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仿宋" w:eastAsia="仿宋" w:hAnsi="仿宋" w:cs="宋体"/>
          <w:b/>
          <w:bCs/>
          <w:kern w:val="0"/>
          <w:sz w:val="44"/>
          <w:szCs w:val="44"/>
        </w:rPr>
      </w:pPr>
      <w:r>
        <w:rPr>
          <w:rFonts w:ascii="仿宋" w:eastAsia="仿宋" w:hAnsi="仿宋" w:cs="宋体" w:hint="eastAsia"/>
          <w:b/>
          <w:bCs/>
          <w:kern w:val="0"/>
          <w:sz w:val="44"/>
          <w:szCs w:val="44"/>
        </w:rPr>
        <w:t>2014年度水区编办部门决算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jc w:val="center"/>
        <w:rPr>
          <w:rFonts w:ascii="宋体" w:cs="宋体" w:hint="eastAsia"/>
          <w:kern w:val="0"/>
          <w:szCs w:val="21"/>
        </w:rPr>
      </w:pP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800"/>
        <w:jc w:val="left"/>
        <w:rPr>
          <w:rFonts w:ascii="宋体" w:cs="宋体" w:hint="eastAsia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第一部分 水区编办概况及决算说明：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63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（一）部门职能</w:t>
      </w:r>
    </w:p>
    <w:p w:rsidR="00822907" w:rsidRDefault="00822907" w:rsidP="00822907">
      <w:pPr>
        <w:spacing w:line="375" w:lineRule="atLeast"/>
        <w:ind w:firstLineChars="200" w:firstLine="640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一、贯彻落实中央、省、市和机构编制业务主管部门有关机构编制的方针、政策和法规，研究制定全区机构编制管理办法和规章制度，并组织实施。统一管理全区各级党政机关、人大、政协、法院、检察院、各民主党派的机构编制工作。</w:t>
      </w:r>
    </w:p>
    <w:p w:rsidR="00822907" w:rsidRDefault="00822907" w:rsidP="00822907">
      <w:pPr>
        <w:widowControl/>
        <w:spacing w:line="375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二、审核区委、区政府各部门、区人大、政协、人民法院、检察院、各民主党派和人民团体的机构设置人员编制和领导职数。</w:t>
      </w:r>
    </w:p>
    <w:p w:rsidR="00822907" w:rsidRDefault="00822907" w:rsidP="00822907">
      <w:pPr>
        <w:widowControl/>
        <w:spacing w:line="375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三、研究制定全区事业单位管理体制和机构改革方案；按规定程序审批、上报区直各部门所属事业单位的机构编制。</w:t>
      </w:r>
    </w:p>
    <w:p w:rsidR="00822907" w:rsidRDefault="00822907" w:rsidP="00822907">
      <w:pPr>
        <w:widowControl/>
        <w:spacing w:line="375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四、扎口管理全区机关事业单位副科级（不含副科级）以下工作人员调配工作。</w:t>
      </w:r>
    </w:p>
    <w:p w:rsidR="00822907" w:rsidRDefault="00822907" w:rsidP="00822907">
      <w:pPr>
        <w:widowControl/>
        <w:spacing w:line="375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五、负责事业单位法人资格认定和登记管理工作。</w:t>
      </w:r>
    </w:p>
    <w:p w:rsidR="00822907" w:rsidRDefault="00822907" w:rsidP="00822907">
      <w:pPr>
        <w:widowControl/>
        <w:spacing w:line="375" w:lineRule="atLeast"/>
        <w:ind w:firstLineChars="200" w:firstLine="64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六、承办区委、区政府和区机构编制委员会交办的其他事项。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472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（二）机构情况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64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水区编办单位规格为正科级，行政及参照编制6名（含事业单位登记管理局），其中领导职数2名（正科级1名，副科级1名），经费形式为全额行政预算。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472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（三）收入支出总体情况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79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收入预算情况：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年初财政拨款补助收入89.73万元</w:t>
      </w: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。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790"/>
        <w:jc w:val="left"/>
        <w:rPr>
          <w:rFonts w:ascii="仿宋" w:eastAsia="仿宋" w:hAnsi="仿宋" w:cs="宋体" w:hint="eastAsia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支出情况：</w:t>
      </w:r>
      <w:r>
        <w:rPr>
          <w:rFonts w:ascii="仿宋" w:eastAsia="仿宋" w:hAnsi="仿宋" w:cs="宋体" w:hint="eastAsia"/>
          <w:kern w:val="0"/>
          <w:sz w:val="32"/>
          <w:szCs w:val="32"/>
        </w:rPr>
        <w:t>年末支出73.30万元。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790"/>
        <w:jc w:val="left"/>
        <w:rPr>
          <w:rFonts w:ascii="宋体" w:cs="宋体" w:hint="eastAsia"/>
          <w:kern w:val="0"/>
          <w:szCs w:val="21"/>
        </w:rPr>
      </w:pP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800"/>
        <w:jc w:val="left"/>
        <w:rPr>
          <w:rFonts w:ascii="宋体" w:cs="宋体" w:hint="eastAsia"/>
          <w:b/>
          <w:kern w:val="0"/>
          <w:szCs w:val="21"/>
        </w:rPr>
      </w:pPr>
      <w:r>
        <w:rPr>
          <w:rFonts w:ascii="仿宋" w:eastAsia="仿宋" w:hAnsi="仿宋" w:cs="宋体" w:hint="eastAsia"/>
          <w:b/>
          <w:kern w:val="0"/>
          <w:sz w:val="32"/>
          <w:szCs w:val="32"/>
        </w:rPr>
        <w:t>二、财政拨款安排的“三公”经费：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63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（一）出国（境）费用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80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出国（境）费用：反映单位工作人员公务出国（境）的住宿费、差旅费、伙食补助费、杂费、培训费等支出，年末支出支出0元。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472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（二）公务用车费用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64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lastRenderedPageBreak/>
        <w:t>公务用车运行维护费。其中：公务用车运行维护费反映公务用车的燃料费、维修费、过桥过路费、保险费等支出，年末支出2.46万元；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63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kern w:val="0"/>
          <w:sz w:val="32"/>
          <w:szCs w:val="32"/>
        </w:rPr>
        <w:t>（三）公务接待费用：</w:t>
      </w:r>
    </w:p>
    <w:p w:rsidR="00822907" w:rsidRDefault="00822907" w:rsidP="00822907">
      <w:pPr>
        <w:widowControl/>
        <w:shd w:val="clear" w:color="auto" w:fill="FFFFFF"/>
        <w:spacing w:before="100" w:beforeAutospacing="1" w:after="100" w:afterAutospacing="1" w:line="432" w:lineRule="auto"/>
        <w:ind w:firstLine="800"/>
        <w:jc w:val="left"/>
        <w:rPr>
          <w:rFonts w:ascii="宋体" w:cs="宋体" w:hint="eastAsia"/>
          <w:kern w:val="0"/>
          <w:szCs w:val="21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公务接待费用：反映单位按规定开支的各类公务接待费用，决算支出0元。</w:t>
      </w:r>
    </w:p>
    <w:p w:rsidR="00001D7C" w:rsidRDefault="00001D7C">
      <w:bookmarkStart w:id="0" w:name="_GoBack"/>
      <w:bookmarkEnd w:id="0"/>
    </w:p>
    <w:sectPr w:rsidR="00001D7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613"/>
    <w:rsid w:val="00001D7C"/>
    <w:rsid w:val="00822907"/>
    <w:rsid w:val="00EC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907"/>
    <w:pPr>
      <w:widowControl w:val="0"/>
      <w:spacing w:after="0" w:line="24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3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580</Characters>
  <Application>Microsoft Office Word</Application>
  <DocSecurity>0</DocSecurity>
  <Lines>4</Lines>
  <Paragraphs>1</Paragraphs>
  <ScaleCrop>false</ScaleCrop>
  <Company>smgq</Company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3</cp:revision>
  <dcterms:created xsi:type="dcterms:W3CDTF">2015-08-20T03:04:00Z</dcterms:created>
  <dcterms:modified xsi:type="dcterms:W3CDTF">2015-08-20T03:04:00Z</dcterms:modified>
</cp:coreProperties>
</file>