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shd w:val="clear" w:color="auto" w:fill="FFFFFF"/>
        <w:spacing w:before="100" w:beforeAutospacing="1" w:after="100" w:afterAutospacing="1" w:line="432" w:lineRule="auto"/>
        <w:jc w:val="center"/>
        <w:rPr>
          <w:rFonts w:ascii="宋体" w:hAnsi="宋体" w:eastAsia="宋体" w:cs="宋体"/>
          <w:kern w:val="0"/>
          <w:szCs w:val="21"/>
        </w:rPr>
      </w:pPr>
      <w:r>
        <w:rPr>
          <w:rFonts w:hint="eastAsia" w:ascii="方正小标宋_GBK" w:hAnsi="宋体" w:eastAsia="方正小标宋_GBK" w:cs="宋体"/>
          <w:kern w:val="0"/>
          <w:sz w:val="44"/>
          <w:szCs w:val="44"/>
        </w:rPr>
        <w:t>2015年水区人防办部门决算</w:t>
      </w:r>
      <w:r>
        <w:rPr>
          <w:rFonts w:hint="eastAsia" w:ascii="方正小标宋_GBK" w:hAnsi="宋体" w:eastAsia="方正小标宋_GBK" w:cs="宋体"/>
          <w:kern w:val="0"/>
          <w:sz w:val="44"/>
          <w:szCs w:val="44"/>
          <w:lang w:eastAsia="zh-CN"/>
        </w:rPr>
        <w:t>公开说明</w:t>
      </w:r>
    </w:p>
    <w:p>
      <w:pPr>
        <w:widowControl/>
        <w:shd w:val="clear" w:color="auto" w:fill="FFFFFF"/>
        <w:spacing w:before="100" w:beforeAutospacing="1" w:after="100" w:afterAutospacing="1" w:line="432" w:lineRule="auto"/>
        <w:ind w:firstLine="643"/>
        <w:jc w:val="left"/>
        <w:rPr>
          <w:rFonts w:hint="eastAsia" w:ascii="宋体" w:hAnsi="宋体" w:eastAsia="宋体" w:cs="宋体"/>
          <w:kern w:val="0"/>
          <w:szCs w:val="21"/>
        </w:rPr>
      </w:pPr>
      <w:r>
        <w:rPr>
          <w:rFonts w:hint="eastAsia" w:ascii="仿宋" w:hAnsi="仿宋" w:eastAsia="仿宋" w:cs="宋体"/>
          <w:b/>
          <w:bCs/>
          <w:kern w:val="0"/>
          <w:sz w:val="32"/>
          <w:szCs w:val="32"/>
        </w:rPr>
        <w:t>一、部门基本情况，包括：部门主要职能和机构设置情况。</w:t>
      </w:r>
    </w:p>
    <w:p>
      <w:pPr>
        <w:widowControl/>
        <w:shd w:val="clear" w:color="auto" w:fill="FFFFFF"/>
        <w:spacing w:before="100" w:beforeAutospacing="1" w:after="100" w:afterAutospacing="1" w:line="432" w:lineRule="auto"/>
        <w:ind w:firstLine="803"/>
        <w:jc w:val="left"/>
        <w:rPr>
          <w:rFonts w:hint="eastAsia" w:ascii="宋体" w:hAnsi="宋体" w:eastAsia="宋体" w:cs="宋体"/>
          <w:kern w:val="0"/>
          <w:szCs w:val="21"/>
        </w:rPr>
      </w:pPr>
      <w:r>
        <w:rPr>
          <w:rFonts w:hint="eastAsia" w:ascii="仿宋" w:hAnsi="仿宋" w:eastAsia="仿宋" w:cs="宋体"/>
          <w:b/>
          <w:bCs/>
          <w:kern w:val="0"/>
          <w:sz w:val="32"/>
          <w:szCs w:val="32"/>
        </w:rPr>
        <w:t>人防办主要职责</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一）贯彻执行国家、自治区和我市有关人民防空工作的方针、政策和法律、法规；起草有关地方性法规、规章草案和政策措施，组织拟订人民防空建设发展战略、总体规划及中长期发展规划、年度计划，并组织实施。</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（二）组织拟订城市防空袭预案、人口疏散计划和其他各项保障方案；参与拟订人民防空建设与城市建设相结合总体规划。</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（三）依法对城市建设和重要经济目标落实人民防空要求情况进行监督检查。</w:t>
      </w:r>
    </w:p>
    <w:p>
      <w:pPr>
        <w:widowControl/>
        <w:shd w:val="clear" w:color="auto" w:fill="FFFFFF"/>
        <w:spacing w:before="100" w:beforeAutospacing="1" w:after="100" w:afterAutospacing="1" w:line="432" w:lineRule="auto"/>
        <w:ind w:firstLine="480"/>
        <w:jc w:val="left"/>
        <w:rPr>
          <w:rFonts w:hint="eastAsia" w:ascii="宋体" w:hAnsi="宋体" w:eastAsia="宋体" w:cs="宋体"/>
          <w:kern w:val="0"/>
          <w:szCs w:val="21"/>
        </w:rPr>
      </w:pPr>
      <w:r>
        <w:rPr>
          <w:rFonts w:hint="eastAsia" w:ascii="仿宋" w:hAnsi="仿宋" w:eastAsia="仿宋" w:cs="宋体"/>
          <w:kern w:val="0"/>
          <w:sz w:val="32"/>
          <w:szCs w:val="32"/>
        </w:rPr>
        <w:t>（四）负责人民防空组织指挥、通信、警报和信息化建设与管理工作；组织和指导人民防空组织指挥体系和群众防空组织建设；组织、训练人民防空专业队伍；组织人民防空专项演习。</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（五）负责全市人民防空工程建设与管理工作；参与审查城市地下空间规划和开发利用，管理结合民用建筑修建防空地下室工作。</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（六）利用人民防空资源，配合有关部门参与重大突发公共事件抢险救灾和应急救援工作。</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（七）拟订人民防空平战结合发展规划，组织指导人民防空平战结合工作；指导区（县）人民防空业务工作。</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（八）负责人民防空宣传和人民防空干部教育培训工作；组织人民防空科学研究，推广应用科技成果。</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（九）监督管理人民防空经费和资产。</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（十）战时组织开展人民防空袭斗争，配合要地防空和城市防卫作战，协助有关部门恢复生产和生活秩序。</w:t>
      </w:r>
    </w:p>
    <w:p>
      <w:pPr>
        <w:widowControl/>
        <w:shd w:val="clear" w:color="auto" w:fill="FFFFFF"/>
        <w:spacing w:before="100" w:beforeAutospacing="1" w:after="100" w:afterAutospacing="1" w:line="432" w:lineRule="auto"/>
        <w:ind w:firstLine="320"/>
        <w:jc w:val="left"/>
        <w:rPr>
          <w:rFonts w:hint="eastAsia" w:ascii="宋体" w:hAnsi="宋体" w:eastAsia="宋体" w:cs="宋体"/>
          <w:kern w:val="0"/>
          <w:szCs w:val="21"/>
        </w:rPr>
      </w:pPr>
      <w:r>
        <w:rPr>
          <w:rFonts w:hint="eastAsia" w:ascii="仿宋" w:hAnsi="仿宋" w:eastAsia="仿宋" w:cs="宋体"/>
          <w:kern w:val="0"/>
          <w:sz w:val="32"/>
          <w:szCs w:val="32"/>
        </w:rPr>
        <w:t>（十一）承办市委、市人民政府、警备区和市国防动员委员会交办的其他事项。</w:t>
      </w:r>
    </w:p>
    <w:p>
      <w:pPr>
        <w:widowControl/>
        <w:shd w:val="clear" w:color="auto" w:fill="FFFFFF"/>
        <w:spacing w:before="100" w:beforeAutospacing="1" w:after="100" w:afterAutospacing="1" w:line="432" w:lineRule="auto"/>
        <w:ind w:firstLine="482"/>
        <w:jc w:val="left"/>
        <w:rPr>
          <w:rFonts w:hint="eastAsia" w:ascii="宋体" w:hAnsi="宋体" w:eastAsia="宋体" w:cs="宋体"/>
          <w:kern w:val="0"/>
          <w:szCs w:val="21"/>
        </w:rPr>
      </w:pPr>
      <w:r>
        <w:rPr>
          <w:rFonts w:hint="eastAsia" w:ascii="仿宋" w:hAnsi="仿宋" w:eastAsia="仿宋" w:cs="宋体"/>
          <w:b/>
          <w:bCs/>
          <w:kern w:val="0"/>
          <w:sz w:val="32"/>
          <w:szCs w:val="32"/>
        </w:rPr>
        <w:t>机构设置</w:t>
      </w:r>
      <w:bookmarkStart w:id="0" w:name="_GoBack"/>
      <w:bookmarkEnd w:id="0"/>
    </w:p>
    <w:p>
      <w:pPr>
        <w:widowControl/>
        <w:shd w:val="clear" w:color="auto" w:fill="FFFFFF"/>
        <w:spacing w:before="100" w:beforeAutospacing="1" w:after="100" w:afterAutospacing="1" w:line="432" w:lineRule="auto"/>
        <w:ind w:firstLine="480"/>
        <w:jc w:val="left"/>
        <w:rPr>
          <w:rFonts w:hint="eastAsia" w:ascii="宋体" w:hAnsi="宋体" w:eastAsia="宋体" w:cs="宋体"/>
          <w:kern w:val="0"/>
          <w:szCs w:val="21"/>
        </w:rPr>
      </w:pPr>
      <w:r>
        <w:rPr>
          <w:rFonts w:hint="eastAsia" w:ascii="仿宋" w:hAnsi="仿宋" w:eastAsia="仿宋" w:cs="宋体"/>
          <w:kern w:val="0"/>
          <w:sz w:val="32"/>
          <w:szCs w:val="32"/>
        </w:rPr>
        <w:t>人防办下设人防设施管理站</w:t>
      </w:r>
    </w:p>
    <w:p>
      <w:pPr>
        <w:widowControl/>
        <w:numPr>
          <w:ilvl w:val="0"/>
          <w:numId w:val="1"/>
        </w:numPr>
        <w:shd w:val="clear" w:color="auto" w:fill="FFFFFF"/>
        <w:spacing w:before="100" w:beforeAutospacing="1" w:after="100" w:afterAutospacing="1" w:line="432" w:lineRule="auto"/>
        <w:ind w:firstLine="643"/>
        <w:jc w:val="left"/>
        <w:rPr>
          <w:rFonts w:hint="eastAsia" w:ascii="仿宋" w:hAnsi="仿宋" w:eastAsia="仿宋" w:cs="宋体"/>
          <w:b/>
          <w:bCs/>
          <w:kern w:val="0"/>
          <w:sz w:val="32"/>
          <w:szCs w:val="32"/>
        </w:rPr>
      </w:pPr>
      <w:r>
        <w:rPr>
          <w:rFonts w:hint="eastAsia" w:ascii="仿宋" w:hAnsi="仿宋" w:eastAsia="仿宋" w:cs="宋体"/>
          <w:b/>
          <w:bCs/>
          <w:kern w:val="0"/>
          <w:sz w:val="32"/>
          <w:szCs w:val="32"/>
        </w:rPr>
        <w:t>部门年度收支情况</w:t>
      </w:r>
      <w:r>
        <w:rPr>
          <w:rFonts w:hint="eastAsia" w:ascii="仿宋" w:hAnsi="仿宋" w:eastAsia="仿宋" w:cs="宋体"/>
          <w:b/>
          <w:bCs/>
          <w:kern w:val="0"/>
          <w:sz w:val="32"/>
          <w:szCs w:val="32"/>
          <w:lang w:eastAsia="zh-CN"/>
        </w:rPr>
        <w:t>和三公经费使用情况。</w:t>
      </w:r>
    </w:p>
    <w:p>
      <w:pPr>
        <w:widowControl/>
        <w:numPr>
          <w:numId w:val="0"/>
        </w:numPr>
        <w:shd w:val="clear" w:color="auto" w:fill="FFFFFF"/>
        <w:spacing w:before="100" w:beforeAutospacing="1" w:after="100" w:afterAutospacing="1" w:line="432" w:lineRule="auto"/>
        <w:jc w:val="left"/>
        <w:rPr>
          <w:rFonts w:hint="eastAsia" w:ascii="宋体" w:hAnsi="宋体" w:eastAsia="宋体" w:cs="宋体"/>
          <w:kern w:val="0"/>
          <w:szCs w:val="21"/>
        </w:rPr>
      </w:pPr>
    </w:p>
    <w:p>
      <w:pPr>
        <w:widowControl/>
        <w:shd w:val="clear" w:color="auto" w:fill="FFFFFF"/>
        <w:spacing w:before="100" w:beforeAutospacing="1" w:after="100" w:afterAutospacing="1" w:line="432" w:lineRule="auto"/>
        <w:ind w:firstLine="640"/>
        <w:jc w:val="left"/>
        <w:rPr>
          <w:rFonts w:hint="eastAsia" w:ascii="仿宋" w:hAnsi="仿宋" w:eastAsia="仿宋" w:cs="宋体"/>
          <w:kern w:val="0"/>
          <w:sz w:val="32"/>
          <w:szCs w:val="32"/>
          <w:lang w:val="en-US" w:eastAsia="zh-CN"/>
        </w:rPr>
      </w:pPr>
      <w:r>
        <w:rPr>
          <w:rFonts w:hint="eastAsia" w:ascii="仿宋" w:hAnsi="仿宋" w:eastAsia="仿宋" w:cs="宋体"/>
          <w:kern w:val="0"/>
          <w:sz w:val="32"/>
          <w:szCs w:val="32"/>
        </w:rPr>
        <w:t>本单位2015年度</w:t>
      </w:r>
      <w:r>
        <w:rPr>
          <w:rFonts w:hint="eastAsia" w:ascii="仿宋" w:hAnsi="仿宋" w:eastAsia="仿宋" w:cs="宋体"/>
          <w:kern w:val="0"/>
          <w:sz w:val="32"/>
          <w:szCs w:val="32"/>
          <w:lang w:eastAsia="zh-CN"/>
        </w:rPr>
        <w:t>上年结转结余</w:t>
      </w:r>
      <w:r>
        <w:rPr>
          <w:rFonts w:hint="eastAsia" w:ascii="仿宋" w:hAnsi="仿宋" w:eastAsia="仿宋" w:cs="宋体"/>
          <w:kern w:val="0"/>
          <w:sz w:val="32"/>
          <w:szCs w:val="32"/>
          <w:lang w:val="en-US" w:eastAsia="zh-CN"/>
        </w:rPr>
        <w:t>36.6万元，本年收入为56.79万元，本年支出为54.54万元，年末结转结余为38.85万元。</w:t>
      </w:r>
    </w:p>
    <w:p>
      <w:pPr>
        <w:widowControl/>
        <w:shd w:val="clear" w:color="auto" w:fill="FFFFFF"/>
        <w:spacing w:before="100" w:beforeAutospacing="1" w:after="100" w:afterAutospacing="1" w:line="432" w:lineRule="auto"/>
        <w:ind w:firstLine="640"/>
        <w:jc w:val="left"/>
        <w:rPr>
          <w:rFonts w:hint="eastAsia" w:ascii="仿宋" w:hAnsi="仿宋" w:eastAsia="仿宋" w:cs="宋体"/>
          <w:kern w:val="0"/>
          <w:sz w:val="32"/>
          <w:szCs w:val="32"/>
          <w:lang w:val="en-US" w:eastAsia="zh-CN"/>
        </w:rPr>
      </w:pPr>
      <w:r>
        <w:rPr>
          <w:rFonts w:hint="eastAsia" w:ascii="仿宋" w:hAnsi="仿宋" w:eastAsia="仿宋" w:cs="宋体"/>
          <w:kern w:val="0"/>
          <w:sz w:val="32"/>
          <w:szCs w:val="32"/>
          <w:lang w:val="en-US" w:eastAsia="zh-CN"/>
        </w:rPr>
        <w:t>“三公经费”中公务出国和公务接待均无列支，只有公务用车维护费当年支出总计1.84万元，与2015年区财政预算2.47万元相比节约开支0.63万元。</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roman"/>
    <w:pitch w:val="default"/>
    <w:sig w:usb0="00000003" w:usb1="080E0000" w:usb2="00000000"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00007A87" w:usb1="80000000" w:usb2="00000008"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00007A87" w:usb1="80000000" w:usb2="00000008"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A00002EF" w:usb1="4000004B" w:usb2="00000000" w:usb3="00000000" w:csb0="2000009F" w:csb1="00000000"/>
  </w:font>
  <w:font w:name="Calibri">
    <w:panose1 w:val="020F0502020204030204"/>
    <w:charset w:val="00"/>
    <w:family w:val="swiss"/>
    <w:pitch w:val="default"/>
    <w:sig w:usb0="A00002EF" w:usb1="4000207B" w:usb2="00000000" w:usb3="00000000" w:csb0="2000009F" w:csb1="00000000"/>
  </w:font>
  <w:font w:name="方正小标宋_GBK">
    <w:altName w:val="宋体"/>
    <w:panose1 w:val="00000000000000000000"/>
    <w:charset w:val="86"/>
    <w:family w:val="roman"/>
    <w:pitch w:val="default"/>
    <w:sig w:usb0="00000000" w:usb1="00000000" w:usb2="00000010" w:usb3="00000000" w:csb0="00040000" w:csb1="00000000"/>
  </w:font>
  <w:font w:name="仿宋">
    <w:altName w:val="仿宋_GB2312"/>
    <w:panose1 w:val="02010609060101010101"/>
    <w:charset w:val="86"/>
    <w:family w:val="modern"/>
    <w:pitch w:val="default"/>
    <w:sig w:usb0="00000000" w:usb1="00000000" w:usb2="00000016" w:usb3="00000000" w:csb0="00040001" w:csb1="00000000"/>
  </w:font>
  <w:font w:name="仿宋_GB2312">
    <w:panose1 w:val="02010609030101010101"/>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仿宋">
    <w:altName w:val="仿宋_GB2312"/>
    <w:panose1 w:val="00000000000000000000"/>
    <w:charset w:val="00"/>
    <w:family w:val="auto"/>
    <w:pitch w:val="default"/>
    <w:sig w:usb0="00000000" w:usb1="00000000" w:usb2="00000000" w:usb3="00000000" w:csb0="0000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796DB6B"/>
    <w:multiLevelType w:val="singleLevel"/>
    <w:tmpl w:val="5796DB6B"/>
    <w:lvl w:ilvl="0" w:tentative="0">
      <w:start w:val="2"/>
      <w:numFmt w:val="chineseCounting"/>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2"/>
  </w:compat>
  <w:rsids>
    <w:rsidRoot w:val="003433AD"/>
    <w:rsid w:val="003433AD"/>
    <w:rsid w:val="00C31FB0"/>
    <w:rsid w:val="634E721B"/>
    <w:rsid w:val="6F6E3A4F"/>
  </w:rsid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unhideWhenUsed/>
    <w:uiPriority w:val="1"/>
  </w:style>
  <w:style w:type="table" w:default="1" w:styleId="3">
    <w:name w:val="Normal Table"/>
    <w:unhideWhenUsed/>
    <w:qFormat/>
    <w:uiPriority w:val="99"/>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MS</Company>
  <Pages>3</Pages>
  <Words>133</Words>
  <Characters>761</Characters>
  <Lines>6</Lines>
  <Paragraphs>1</Paragraphs>
  <TotalTime>0</TotalTime>
  <ScaleCrop>false</ScaleCrop>
  <LinksUpToDate>false</LinksUpToDate>
  <CharactersWithSpaces>893</CharactersWithSpaces>
  <Application>WPS Office_10.1.0.5777_F1E327BC-269C-435d-A152-05C5408002CA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2016-07-26T03:30:00Z</dcterms:created>
  <dc:creator>USER-</dc:creator>
  <cp:lastModifiedBy>Administrator</cp:lastModifiedBy>
  <dcterms:modified xsi:type="dcterms:W3CDTF">2016-07-26T03:58:55Z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2052-10.1.0.5777</vt:lpwstr>
  </property>
</Properties>
</file>