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DB4684">
        <w:rPr>
          <w:rFonts w:ascii="宋体" w:eastAsia="宋体" w:hAnsi="宋体" w:cs="Arial" w:hint="eastAsia"/>
          <w:b/>
          <w:bCs/>
          <w:kern w:val="36"/>
          <w:sz w:val="32"/>
          <w:szCs w:val="32"/>
        </w:rPr>
        <w:t>乌鲁木齐市水磨沟区建设局</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DB4684">
        <w:rPr>
          <w:rFonts w:ascii="宋体" w:eastAsia="宋体" w:hAnsi="宋体" w:cs="Arial" w:hint="eastAsia"/>
          <w:kern w:val="0"/>
          <w:sz w:val="28"/>
          <w:szCs w:val="28"/>
        </w:rPr>
        <w:t>1.贯彻执行国家和自治区、乌鲁木齐市、水磨沟区有关环境保护的规定、制度、办法，确保污水厂出水达标，正常运行，并依照相关法规进行处理。</w:t>
      </w:r>
    </w:p>
    <w:p w:rsidR="00DB4684" w:rsidRPr="00DB4684" w:rsidRDefault="00DB4684" w:rsidP="00DB4684">
      <w:pPr>
        <w:widowControl/>
        <w:shd w:val="clear" w:color="auto" w:fill="FFFFFF"/>
        <w:spacing w:before="100" w:beforeAutospacing="1" w:after="240"/>
        <w:ind w:firstLineChars="100" w:firstLine="280"/>
        <w:jc w:val="left"/>
        <w:textAlignment w:val="top"/>
        <w:rPr>
          <w:rFonts w:ascii="宋体" w:eastAsia="宋体" w:hAnsi="宋体" w:cs="Arial"/>
          <w:kern w:val="0"/>
          <w:sz w:val="28"/>
          <w:szCs w:val="28"/>
        </w:rPr>
      </w:pPr>
      <w:r w:rsidRPr="00DB4684">
        <w:rPr>
          <w:rFonts w:ascii="宋体" w:eastAsia="宋体" w:hAnsi="宋体" w:cs="Arial" w:hint="eastAsia"/>
          <w:kern w:val="0"/>
          <w:sz w:val="28"/>
          <w:szCs w:val="28"/>
        </w:rPr>
        <w:t xml:space="preserve"> 2.认真贯彻年度工作计划及管理实施方案的工作要求，认真落实本单位负责实施的项目，认真落实年度污水处理计划，按时间进度完成相应的工作量或工作进度。</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DB4684">
        <w:rPr>
          <w:rFonts w:ascii="宋体" w:eastAsia="宋体" w:hAnsi="宋体" w:cs="Arial" w:hint="eastAsia"/>
          <w:kern w:val="0"/>
          <w:sz w:val="28"/>
          <w:szCs w:val="28"/>
        </w:rPr>
        <w:t>3.严格按照生产管理制度及操作规程进行管理和操作，保证值班原始记录完整齐全。</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DB4684">
        <w:rPr>
          <w:rFonts w:ascii="宋体" w:eastAsia="宋体" w:hAnsi="宋体" w:cs="Arial" w:hint="eastAsia"/>
          <w:kern w:val="0"/>
          <w:sz w:val="28"/>
          <w:szCs w:val="28"/>
        </w:rPr>
        <w:t>4.收集、处理城市污水，为城市绿化提供灌溉水源，促进水区水塔山、雪莲山一带的荒山生态环境改善。</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DB4684">
        <w:rPr>
          <w:rFonts w:ascii="宋体" w:eastAsia="宋体" w:hAnsi="宋体" w:cs="Arial" w:hint="eastAsia"/>
          <w:kern w:val="0"/>
          <w:sz w:val="28"/>
          <w:szCs w:val="28"/>
        </w:rPr>
        <w:t>5.做好设备养护工作，设备资料保存规范、完整，档案记录等级齐全。严格执行设备经费计划。</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DB4684">
        <w:rPr>
          <w:rFonts w:ascii="宋体" w:eastAsia="宋体" w:hAnsi="宋体" w:cs="Arial" w:hint="eastAsia"/>
          <w:kern w:val="0"/>
          <w:sz w:val="28"/>
          <w:szCs w:val="28"/>
        </w:rPr>
        <w:lastRenderedPageBreak/>
        <w:t>6.认真执行安全生产目标管理制度，狠抓安全生产制度的完善和落实工作，定期开展安全检查，积极参加上级组织的安全培训工作，组织本单位职工安全培训学习，相关档案资料齐全，严格遵守安全制度和操作规程，杜绝生产过程中的各种隐患和安全责任事故。同时保证行车安全，杜绝交通事故的发生。</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DB4684">
        <w:rPr>
          <w:rFonts w:ascii="宋体" w:eastAsia="宋体" w:hAnsi="宋体" w:cs="Arial" w:hint="eastAsia"/>
          <w:kern w:val="0"/>
          <w:sz w:val="28"/>
          <w:szCs w:val="28"/>
        </w:rPr>
        <w:t>7.在完成生产任务的同时，积极研发和开展科研项目。</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DB4684">
        <w:rPr>
          <w:rFonts w:ascii="宋体" w:eastAsia="宋体" w:hAnsi="宋体" w:cs="Arial" w:hint="eastAsia"/>
          <w:kern w:val="0"/>
          <w:sz w:val="28"/>
          <w:szCs w:val="28"/>
        </w:rPr>
        <w:t>8.负责本部门职工的政治思想教育和业务建设，加强职工岗位技能培训，提高职工队伍的整体素质，保证各项生产任务的完成。</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DB4684">
        <w:rPr>
          <w:rFonts w:ascii="宋体" w:eastAsia="宋体" w:hAnsi="宋体" w:cs="Arial" w:hint="eastAsia"/>
          <w:kern w:val="0"/>
          <w:sz w:val="28"/>
          <w:szCs w:val="28"/>
        </w:rPr>
        <w:t>9.负责场内现有资源的合理使用和管理。</w:t>
      </w:r>
    </w:p>
    <w:p w:rsidR="00DB4684" w:rsidRPr="00DB4684" w:rsidRDefault="00DB4684" w:rsidP="00DB4684">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DB4684">
        <w:rPr>
          <w:rFonts w:ascii="宋体" w:eastAsia="宋体" w:hAnsi="宋体" w:cs="Arial" w:hint="eastAsia"/>
          <w:kern w:val="0"/>
          <w:sz w:val="28"/>
          <w:szCs w:val="28"/>
        </w:rPr>
        <w:t>10.完成领导交办的其他工作。</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DB4684">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DB4684">
        <w:rPr>
          <w:rFonts w:ascii="宋体" w:eastAsia="宋体" w:hAnsi="宋体" w:cs="Arial" w:hint="eastAsia"/>
          <w:kern w:val="0"/>
          <w:sz w:val="28"/>
          <w:szCs w:val="28"/>
        </w:rPr>
        <w:t>乌鲁木齐市水磨沟区建设局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DB4684">
        <w:rPr>
          <w:rFonts w:ascii="宋体" w:eastAsia="宋体" w:hAnsi="宋体" w:cs="宋体" w:hint="eastAsia"/>
          <w:kern w:val="0"/>
          <w:sz w:val="28"/>
          <w:szCs w:val="28"/>
        </w:rPr>
        <w:t>8</w:t>
      </w:r>
      <w:r w:rsidRPr="00101A42">
        <w:rPr>
          <w:rFonts w:ascii="宋体" w:eastAsia="宋体" w:hAnsi="宋体" w:cs="宋体" w:hint="eastAsia"/>
          <w:kern w:val="0"/>
          <w:sz w:val="28"/>
          <w:szCs w:val="28"/>
        </w:rPr>
        <w:t>个机构，</w:t>
      </w:r>
      <w:r w:rsidR="00DB4684">
        <w:rPr>
          <w:rFonts w:ascii="宋体" w:eastAsia="宋体" w:hAnsi="宋体" w:cs="Arial" w:hint="eastAsia"/>
          <w:kern w:val="0"/>
          <w:sz w:val="28"/>
          <w:szCs w:val="28"/>
        </w:rPr>
        <w:t>为</w:t>
      </w:r>
      <w:r w:rsidRPr="00101A42">
        <w:rPr>
          <w:rFonts w:ascii="宋体" w:eastAsia="宋体" w:hAnsi="宋体" w:cs="宋体" w:hint="eastAsia"/>
          <w:kern w:val="0"/>
          <w:sz w:val="28"/>
          <w:szCs w:val="28"/>
        </w:rPr>
        <w:t>全额拨款事业单位。</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DB4684"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乌鲁木齐市水磨沟区建设局</w:t>
      </w:r>
      <w:r w:rsidR="00783303" w:rsidRPr="00101A42">
        <w:rPr>
          <w:rFonts w:ascii="宋体" w:eastAsia="宋体" w:hAnsi="宋体" w:cs="宋体" w:hint="eastAsia"/>
          <w:kern w:val="0"/>
          <w:sz w:val="28"/>
          <w:szCs w:val="28"/>
        </w:rPr>
        <w:t>编制人数</w:t>
      </w:r>
      <w:r w:rsidR="001F418E">
        <w:rPr>
          <w:rFonts w:ascii="宋体" w:eastAsia="宋体" w:hAnsi="宋体" w:cs="宋体" w:hint="eastAsia"/>
          <w:kern w:val="0"/>
          <w:sz w:val="28"/>
          <w:szCs w:val="28"/>
        </w:rPr>
        <w:t>88</w:t>
      </w:r>
      <w:r w:rsidR="00783303" w:rsidRPr="00101A42">
        <w:rPr>
          <w:rFonts w:ascii="宋体" w:eastAsia="宋体" w:hAnsi="宋体" w:cs="宋体" w:hint="eastAsia"/>
          <w:kern w:val="0"/>
          <w:sz w:val="28"/>
          <w:szCs w:val="28"/>
        </w:rPr>
        <w:t>人，其中：行政人员编制</w:t>
      </w:r>
      <w:r w:rsidR="001F418E">
        <w:rPr>
          <w:rFonts w:ascii="宋体" w:eastAsia="宋体" w:hAnsi="宋体" w:cs="宋体" w:hint="eastAsia"/>
          <w:kern w:val="0"/>
          <w:sz w:val="28"/>
          <w:szCs w:val="28"/>
        </w:rPr>
        <w:t>8</w:t>
      </w:r>
      <w:r w:rsidR="00783303" w:rsidRPr="00101A42">
        <w:rPr>
          <w:rFonts w:ascii="宋体" w:eastAsia="宋体" w:hAnsi="宋体" w:cs="宋体" w:hint="eastAsia"/>
          <w:kern w:val="0"/>
          <w:sz w:val="28"/>
          <w:szCs w:val="28"/>
        </w:rPr>
        <w:t>人，全额拨款事业单位人员编制</w:t>
      </w:r>
      <w:r w:rsidR="001F418E">
        <w:rPr>
          <w:rFonts w:ascii="宋体" w:eastAsia="宋体" w:hAnsi="宋体" w:cs="宋体" w:hint="eastAsia"/>
          <w:kern w:val="0"/>
          <w:sz w:val="28"/>
          <w:szCs w:val="28"/>
        </w:rPr>
        <w:t>80</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乌鲁木齐市水磨沟区建设局</w:t>
      </w:r>
      <w:r w:rsidR="00783303" w:rsidRPr="00101A42">
        <w:rPr>
          <w:rFonts w:ascii="宋体" w:eastAsia="宋体" w:hAnsi="宋体" w:cs="宋体" w:hint="eastAsia"/>
          <w:kern w:val="0"/>
          <w:sz w:val="28"/>
          <w:szCs w:val="28"/>
        </w:rPr>
        <w:t>实有在职人数</w:t>
      </w:r>
      <w:r w:rsidR="001F418E">
        <w:rPr>
          <w:rFonts w:ascii="宋体" w:eastAsia="宋体" w:hAnsi="宋体" w:cs="宋体" w:hint="eastAsia"/>
          <w:kern w:val="0"/>
          <w:sz w:val="28"/>
          <w:szCs w:val="28"/>
        </w:rPr>
        <w:t>72</w:t>
      </w:r>
      <w:r w:rsidR="00783303" w:rsidRPr="00101A42">
        <w:rPr>
          <w:rFonts w:ascii="宋体" w:eastAsia="宋体" w:hAnsi="宋体" w:cs="宋体" w:hint="eastAsia"/>
          <w:kern w:val="0"/>
          <w:sz w:val="28"/>
          <w:szCs w:val="28"/>
        </w:rPr>
        <w:t>人，其中：行政在职人员</w:t>
      </w:r>
      <w:r w:rsidR="001F418E">
        <w:rPr>
          <w:rFonts w:ascii="宋体" w:eastAsia="宋体" w:hAnsi="宋体" w:cs="宋体" w:hint="eastAsia"/>
          <w:kern w:val="0"/>
          <w:sz w:val="28"/>
          <w:szCs w:val="28"/>
        </w:rPr>
        <w:t>6</w:t>
      </w:r>
      <w:r w:rsidR="00783303" w:rsidRPr="00101A42">
        <w:rPr>
          <w:rFonts w:ascii="宋体" w:eastAsia="宋体" w:hAnsi="宋体" w:cs="宋体" w:hint="eastAsia"/>
          <w:kern w:val="0"/>
          <w:sz w:val="28"/>
          <w:szCs w:val="28"/>
        </w:rPr>
        <w:t>人</w:t>
      </w:r>
      <w:r w:rsidR="001F418E">
        <w:rPr>
          <w:rFonts w:ascii="宋体" w:eastAsia="宋体" w:hAnsi="宋体" w:cs="宋体" w:hint="eastAsia"/>
          <w:kern w:val="0"/>
          <w:sz w:val="28"/>
          <w:szCs w:val="28"/>
        </w:rPr>
        <w:t>，事业单位在职人员66人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第二部分</w:t>
      </w:r>
      <w:r w:rsidR="00DB4684">
        <w:rPr>
          <w:rFonts w:ascii="宋体" w:eastAsia="宋体" w:hAnsi="宋体" w:cs="宋体" w:hint="eastAsia"/>
          <w:b/>
          <w:bCs/>
          <w:kern w:val="0"/>
          <w:sz w:val="28"/>
          <w:szCs w:val="28"/>
        </w:rPr>
        <w:t>乌鲁木齐市水磨沟区建设局</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DB4684">
        <w:rPr>
          <w:rFonts w:ascii="宋体" w:eastAsia="宋体" w:hAnsi="宋体" w:cs="宋体" w:hint="eastAsia"/>
          <w:b/>
          <w:bCs/>
          <w:kern w:val="0"/>
          <w:sz w:val="28"/>
          <w:szCs w:val="28"/>
        </w:rPr>
        <w:t>乌鲁木齐市水磨沟区建设局</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DB4684">
        <w:rPr>
          <w:rFonts w:ascii="宋体" w:eastAsia="宋体" w:hAnsi="宋体" w:cs="宋体" w:hint="eastAsia"/>
          <w:b/>
          <w:bCs/>
          <w:kern w:val="0"/>
          <w:sz w:val="28"/>
          <w:szCs w:val="28"/>
        </w:rPr>
        <w:t>乌鲁木齐市水磨沟区建设局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DB4684"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乌鲁木齐市水磨沟区建设局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1F418E" w:rsidRPr="001F418E">
        <w:rPr>
          <w:rFonts w:ascii="宋体" w:eastAsia="宋体" w:hAnsi="宋体" w:cs="Arial"/>
          <w:kern w:val="0"/>
          <w:sz w:val="28"/>
          <w:szCs w:val="28"/>
        </w:rPr>
        <w:t>16,216.87</w:t>
      </w:r>
      <w:r w:rsidR="00783303" w:rsidRPr="00015D0E">
        <w:rPr>
          <w:rFonts w:ascii="宋体" w:eastAsia="宋体" w:hAnsi="宋体" w:cs="宋体" w:hint="eastAsia"/>
          <w:kern w:val="0"/>
          <w:sz w:val="28"/>
          <w:szCs w:val="28"/>
        </w:rPr>
        <w:t>万元，支出总计</w:t>
      </w:r>
      <w:r w:rsidR="001F418E" w:rsidRPr="001F418E">
        <w:rPr>
          <w:rFonts w:ascii="宋体" w:eastAsia="宋体" w:hAnsi="宋体" w:cs="Arial"/>
          <w:kern w:val="0"/>
          <w:sz w:val="28"/>
          <w:szCs w:val="28"/>
        </w:rPr>
        <w:t>14,388.62</w:t>
      </w:r>
      <w:r w:rsidR="00783303" w:rsidRPr="00015D0E">
        <w:rPr>
          <w:rFonts w:ascii="宋体" w:eastAsia="宋体" w:hAnsi="宋体" w:cs="宋体" w:hint="eastAsia"/>
          <w:kern w:val="0"/>
          <w:sz w:val="28"/>
          <w:szCs w:val="28"/>
        </w:rPr>
        <w:t>万元。收入较上年</w:t>
      </w:r>
      <w:r w:rsidR="00101A42" w:rsidRPr="00015D0E">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2C0264" w:rsidRPr="002C0264">
        <w:rPr>
          <w:rFonts w:ascii="宋体" w:eastAsia="宋体" w:hAnsi="宋体" w:cs="Arial"/>
          <w:kern w:val="0"/>
          <w:sz w:val="28"/>
          <w:szCs w:val="28"/>
        </w:rPr>
        <w:t>27.32</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2C0264" w:rsidRPr="002C0264">
        <w:rPr>
          <w:rFonts w:ascii="宋体" w:eastAsia="宋体" w:hAnsi="宋体" w:cs="Arial"/>
          <w:kern w:val="0"/>
          <w:sz w:val="28"/>
          <w:szCs w:val="28"/>
        </w:rPr>
        <w:t>3,969.14</w:t>
      </w:r>
      <w:r w:rsidR="00783303" w:rsidRPr="00015D0E">
        <w:rPr>
          <w:rFonts w:ascii="宋体" w:eastAsia="宋体" w:hAnsi="宋体" w:cs="宋体" w:hint="eastAsia"/>
          <w:kern w:val="0"/>
          <w:sz w:val="28"/>
          <w:szCs w:val="28"/>
        </w:rPr>
        <w:t>万元，增长</w:t>
      </w:r>
      <w:r w:rsidR="002C0264" w:rsidRPr="002C0264">
        <w:rPr>
          <w:rFonts w:ascii="宋体" w:eastAsia="宋体" w:hAnsi="宋体" w:cs="Arial"/>
          <w:kern w:val="0"/>
          <w:sz w:val="28"/>
          <w:szCs w:val="28"/>
        </w:rPr>
        <w:t>38.09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DB4684"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lastRenderedPageBreak/>
        <w:t>乌鲁木齐市水磨沟区建设局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2C0264" w:rsidRPr="002C0264">
        <w:rPr>
          <w:rFonts w:ascii="宋体" w:eastAsia="宋体" w:hAnsi="宋体" w:cs="Arial"/>
          <w:kern w:val="0"/>
          <w:sz w:val="28"/>
          <w:szCs w:val="28"/>
        </w:rPr>
        <w:t>16,216.87</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2C0264">
        <w:rPr>
          <w:rFonts w:ascii="宋体" w:eastAsia="宋体" w:hAnsi="宋体" w:cs="宋体" w:hint="eastAsia"/>
          <w:kern w:val="0"/>
          <w:sz w:val="28"/>
          <w:szCs w:val="28"/>
        </w:rPr>
        <w:t>3410.70</w:t>
      </w:r>
      <w:r w:rsidR="00101A42" w:rsidRPr="00015D0E">
        <w:rPr>
          <w:rFonts w:ascii="宋体" w:eastAsia="宋体" w:hAnsi="宋体" w:cs="宋体" w:hint="eastAsia"/>
          <w:kern w:val="0"/>
          <w:sz w:val="28"/>
          <w:szCs w:val="28"/>
        </w:rPr>
        <w:t>万元，其他收入</w:t>
      </w:r>
      <w:r w:rsidR="002C0264" w:rsidRPr="002C0264">
        <w:rPr>
          <w:rFonts w:ascii="宋体" w:eastAsia="宋体" w:hAnsi="宋体" w:cs="宋体"/>
          <w:kern w:val="0"/>
          <w:sz w:val="28"/>
          <w:szCs w:val="28"/>
        </w:rPr>
        <w:t>12,806.17</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DB4684"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乌鲁木齐市水磨沟区建设局</w:t>
      </w:r>
      <w:r w:rsidR="00783303" w:rsidRPr="00015D0E">
        <w:rPr>
          <w:rFonts w:ascii="宋体" w:eastAsia="宋体" w:hAnsi="宋体" w:cs="宋体" w:hint="eastAsia"/>
          <w:kern w:val="0"/>
          <w:sz w:val="28"/>
          <w:szCs w:val="28"/>
        </w:rPr>
        <w:t>支出决算为</w:t>
      </w:r>
      <w:r w:rsidR="002C0264" w:rsidRPr="002C0264">
        <w:rPr>
          <w:rFonts w:ascii="宋体" w:eastAsia="宋体" w:hAnsi="宋体" w:cs="Arial"/>
          <w:kern w:val="0"/>
          <w:sz w:val="28"/>
          <w:szCs w:val="28"/>
        </w:rPr>
        <w:t>14,388.62</w:t>
      </w:r>
      <w:r w:rsidR="00783303" w:rsidRPr="00015D0E">
        <w:rPr>
          <w:rFonts w:ascii="宋体" w:eastAsia="宋体" w:hAnsi="宋体" w:cs="宋体" w:hint="eastAsia"/>
          <w:kern w:val="0"/>
          <w:sz w:val="28"/>
          <w:szCs w:val="28"/>
        </w:rPr>
        <w:t>万元，其中，基本支出决算</w:t>
      </w:r>
      <w:r w:rsidR="002C0264" w:rsidRPr="002C0264">
        <w:rPr>
          <w:rFonts w:ascii="宋体" w:eastAsia="宋体" w:hAnsi="宋体" w:cs="Arial"/>
          <w:kern w:val="0"/>
          <w:sz w:val="28"/>
          <w:szCs w:val="28"/>
        </w:rPr>
        <w:t>1,244.51</w:t>
      </w:r>
      <w:r w:rsidR="00783303" w:rsidRPr="00015D0E">
        <w:rPr>
          <w:rFonts w:ascii="宋体" w:eastAsia="宋体" w:hAnsi="宋体" w:cs="宋体" w:hint="eastAsia"/>
          <w:kern w:val="0"/>
          <w:sz w:val="28"/>
          <w:szCs w:val="28"/>
        </w:rPr>
        <w:t>万元，项目支出决算</w:t>
      </w:r>
      <w:r w:rsidR="002C0264" w:rsidRPr="002C0264">
        <w:rPr>
          <w:rFonts w:ascii="宋体" w:eastAsia="宋体" w:hAnsi="宋体" w:cs="Arial"/>
          <w:kern w:val="0"/>
          <w:sz w:val="28"/>
          <w:szCs w:val="28"/>
        </w:rPr>
        <w:t>13,144.11</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B4684">
        <w:rPr>
          <w:rFonts w:ascii="宋体" w:eastAsia="宋体" w:hAnsi="宋体" w:cs="宋体" w:hint="eastAsia"/>
          <w:kern w:val="0"/>
          <w:sz w:val="28"/>
          <w:szCs w:val="28"/>
        </w:rPr>
        <w:t>乌鲁木齐市水磨沟区建设局</w:t>
      </w:r>
      <w:r w:rsidRPr="00015D0E">
        <w:rPr>
          <w:rFonts w:ascii="宋体" w:eastAsia="宋体" w:hAnsi="宋体" w:cs="宋体" w:hint="eastAsia"/>
          <w:kern w:val="0"/>
          <w:sz w:val="28"/>
          <w:szCs w:val="28"/>
        </w:rPr>
        <w:t>结余</w:t>
      </w:r>
      <w:r w:rsidR="002C0264" w:rsidRPr="002C0264">
        <w:rPr>
          <w:rFonts w:ascii="宋体" w:eastAsia="宋体" w:hAnsi="宋体" w:cs="Arial"/>
          <w:kern w:val="0"/>
          <w:sz w:val="28"/>
          <w:szCs w:val="28"/>
        </w:rPr>
        <w:t>17,030.04</w:t>
      </w:r>
      <w:r w:rsidRPr="00015D0E">
        <w:rPr>
          <w:rFonts w:ascii="宋体" w:eastAsia="宋体" w:hAnsi="宋体" w:cs="宋体" w:hint="eastAsia"/>
          <w:kern w:val="0"/>
          <w:sz w:val="28"/>
          <w:szCs w:val="28"/>
        </w:rPr>
        <w:t>万元，其中上年结余</w:t>
      </w:r>
      <w:r w:rsidR="002C0264" w:rsidRPr="002C0264">
        <w:rPr>
          <w:rFonts w:ascii="宋体" w:eastAsia="宋体" w:hAnsi="宋体" w:cs="Arial"/>
          <w:kern w:val="0"/>
          <w:sz w:val="28"/>
          <w:szCs w:val="28"/>
        </w:rPr>
        <w:t>15,201.79</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B4684">
        <w:rPr>
          <w:rFonts w:ascii="宋体" w:eastAsia="宋体" w:hAnsi="宋体" w:cs="宋体" w:hint="eastAsia"/>
          <w:kern w:val="0"/>
          <w:sz w:val="28"/>
          <w:szCs w:val="28"/>
        </w:rPr>
        <w:t>乌鲁木齐市水磨沟区建设局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2C0264" w:rsidRPr="002C0264">
        <w:rPr>
          <w:rFonts w:ascii="宋体" w:eastAsia="宋体" w:hAnsi="宋体" w:cs="Arial"/>
          <w:kern w:val="0"/>
          <w:sz w:val="28"/>
          <w:szCs w:val="28"/>
        </w:rPr>
        <w:t>37.81</w:t>
      </w:r>
      <w:r w:rsidRPr="00015D0E">
        <w:rPr>
          <w:rFonts w:ascii="宋体" w:eastAsia="宋体" w:hAnsi="宋体" w:cs="宋体" w:hint="eastAsia"/>
          <w:kern w:val="0"/>
          <w:sz w:val="28"/>
          <w:szCs w:val="28"/>
        </w:rPr>
        <w:t>万元。比年初预算</w:t>
      </w:r>
      <w:r w:rsidR="002C0264">
        <w:rPr>
          <w:rFonts w:ascii="宋体" w:eastAsia="宋体" w:hAnsi="宋体" w:cs="宋体" w:hint="eastAsia"/>
          <w:kern w:val="0"/>
          <w:sz w:val="28"/>
          <w:szCs w:val="28"/>
        </w:rPr>
        <w:t>降低了20.03</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B4684">
        <w:rPr>
          <w:rFonts w:ascii="宋体" w:eastAsia="宋体" w:hAnsi="宋体" w:cs="宋体" w:hint="eastAsia"/>
          <w:kern w:val="0"/>
          <w:sz w:val="28"/>
          <w:szCs w:val="28"/>
        </w:rPr>
        <w:t>乌鲁木齐市水磨沟区建设局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DB4684">
        <w:rPr>
          <w:rFonts w:ascii="宋体" w:eastAsia="宋体" w:hAnsi="宋体" w:cs="宋体" w:hint="eastAsia"/>
          <w:kern w:val="0"/>
          <w:sz w:val="28"/>
          <w:szCs w:val="28"/>
        </w:rPr>
        <w:t>乌鲁木齐市水磨沟区建设局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（三）公务用车运行维护费决算公开</w:t>
      </w:r>
    </w:p>
    <w:p w:rsidR="00A51532" w:rsidRPr="002C0264" w:rsidRDefault="00783303" w:rsidP="002C0264">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B4684">
        <w:rPr>
          <w:rFonts w:ascii="宋体" w:eastAsia="宋体" w:hAnsi="宋体" w:cs="宋体" w:hint="eastAsia"/>
          <w:kern w:val="0"/>
          <w:sz w:val="28"/>
          <w:szCs w:val="28"/>
        </w:rPr>
        <w:t>乌鲁木齐市水磨沟区建设局</w:t>
      </w:r>
      <w:r w:rsidRPr="00015D0E">
        <w:rPr>
          <w:rFonts w:ascii="宋体" w:eastAsia="宋体" w:hAnsi="宋体" w:cs="宋体" w:hint="eastAsia"/>
          <w:kern w:val="0"/>
          <w:sz w:val="28"/>
          <w:szCs w:val="28"/>
        </w:rPr>
        <w:t>公务用车运行维护费</w:t>
      </w:r>
      <w:r w:rsidR="002C0264" w:rsidRPr="002C0264">
        <w:rPr>
          <w:rFonts w:ascii="宋体" w:eastAsia="宋体" w:hAnsi="宋体" w:cs="Arial"/>
          <w:kern w:val="0"/>
          <w:sz w:val="28"/>
          <w:szCs w:val="28"/>
        </w:rPr>
        <w:t>37.81</w:t>
      </w:r>
      <w:r w:rsidRPr="00015D0E">
        <w:rPr>
          <w:rFonts w:ascii="宋体" w:eastAsia="宋体" w:hAnsi="宋体" w:cs="宋体" w:hint="eastAsia"/>
          <w:kern w:val="0"/>
          <w:sz w:val="28"/>
          <w:szCs w:val="28"/>
        </w:rPr>
        <w:t>万元，</w:t>
      </w:r>
      <w:r w:rsidR="002C0264">
        <w:rPr>
          <w:rFonts w:ascii="宋体" w:eastAsia="宋体" w:hAnsi="宋体" w:cs="宋体" w:hint="eastAsia"/>
          <w:kern w:val="0"/>
          <w:sz w:val="28"/>
          <w:szCs w:val="28"/>
        </w:rPr>
        <w:t>比上年降低了</w:t>
      </w:r>
      <w:r w:rsidR="002C0264" w:rsidRPr="002C0264">
        <w:rPr>
          <w:rFonts w:ascii="宋体" w:eastAsia="宋体" w:hAnsi="宋体" w:cs="宋体"/>
          <w:kern w:val="0"/>
          <w:sz w:val="28"/>
          <w:szCs w:val="28"/>
        </w:rPr>
        <w:t>5.00</w:t>
      </w:r>
      <w:r w:rsidR="002C0264">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DB4684">
        <w:rPr>
          <w:rFonts w:ascii="宋体" w:eastAsia="宋体" w:hAnsi="宋体" w:cs="宋体" w:hint="eastAsia"/>
          <w:kern w:val="0"/>
          <w:sz w:val="28"/>
          <w:szCs w:val="28"/>
        </w:rPr>
        <w:t>乌鲁木齐市水磨沟区建设局</w:t>
      </w:r>
      <w:r w:rsidRPr="00015D0E">
        <w:rPr>
          <w:rFonts w:ascii="宋体" w:eastAsia="宋体" w:hAnsi="宋体" w:cs="宋体" w:hint="eastAsia"/>
          <w:kern w:val="0"/>
          <w:sz w:val="28"/>
          <w:szCs w:val="28"/>
        </w:rPr>
        <w:t>财政拨款支出年初预算为</w:t>
      </w:r>
      <w:r w:rsidR="002C0264" w:rsidRPr="002C0264">
        <w:rPr>
          <w:rFonts w:ascii="宋体" w:eastAsia="宋体" w:hAnsi="宋体" w:cs="Arial"/>
          <w:kern w:val="0"/>
          <w:sz w:val="28"/>
          <w:szCs w:val="28"/>
        </w:rPr>
        <w:t>1,462.55</w:t>
      </w:r>
      <w:r w:rsidRPr="00015D0E">
        <w:rPr>
          <w:rFonts w:ascii="宋体" w:eastAsia="宋体" w:hAnsi="宋体" w:cs="宋体" w:hint="eastAsia"/>
          <w:kern w:val="0"/>
          <w:sz w:val="28"/>
          <w:szCs w:val="28"/>
        </w:rPr>
        <w:t>万元，支出决算为</w:t>
      </w:r>
      <w:r w:rsidR="002C0264" w:rsidRPr="002C0264">
        <w:rPr>
          <w:rFonts w:ascii="宋体" w:eastAsia="宋体" w:hAnsi="宋体" w:cs="Arial"/>
          <w:kern w:val="0"/>
          <w:sz w:val="28"/>
          <w:szCs w:val="28"/>
        </w:rPr>
        <w:t>14,388.62</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2C0264" w:rsidRPr="002C0264">
        <w:rPr>
          <w:rFonts w:ascii="宋体" w:eastAsia="宋体" w:hAnsi="宋体" w:cs="宋体" w:hint="eastAsia"/>
          <w:kern w:val="0"/>
          <w:sz w:val="28"/>
          <w:szCs w:val="28"/>
        </w:rPr>
        <w:t>完成预算的</w:t>
      </w:r>
      <w:r w:rsidR="002C0264">
        <w:rPr>
          <w:rFonts w:ascii="宋体" w:eastAsia="宋体" w:hAnsi="宋体" w:cs="宋体" w:hint="eastAsia"/>
          <w:kern w:val="0"/>
          <w:sz w:val="28"/>
          <w:szCs w:val="28"/>
        </w:rPr>
        <w:t>983.80</w:t>
      </w:r>
      <w:r w:rsidR="002C0264" w:rsidRPr="002C0264">
        <w:rPr>
          <w:rFonts w:ascii="宋体" w:eastAsia="宋体" w:hAnsi="宋体" w:cs="宋体"/>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DB4684">
        <w:rPr>
          <w:rFonts w:ascii="宋体" w:eastAsia="宋体" w:hAnsi="宋体" w:cs="宋体" w:hint="eastAsia"/>
          <w:kern w:val="0"/>
          <w:sz w:val="28"/>
          <w:szCs w:val="28"/>
        </w:rPr>
        <w:t>乌鲁木齐市水磨沟区建设局</w:t>
      </w:r>
      <w:r w:rsidRPr="00015D0E">
        <w:rPr>
          <w:rFonts w:ascii="宋体" w:eastAsia="宋体" w:hAnsi="宋体" w:cs="宋体" w:hint="eastAsia"/>
          <w:kern w:val="0"/>
          <w:sz w:val="28"/>
          <w:szCs w:val="28"/>
        </w:rPr>
        <w:t>机关运行经费支出</w:t>
      </w:r>
      <w:r w:rsidR="002C0264" w:rsidRPr="002C0264">
        <w:rPr>
          <w:rFonts w:ascii="宋体" w:eastAsia="宋体" w:hAnsi="宋体" w:cs="宋体"/>
          <w:kern w:val="0"/>
          <w:sz w:val="28"/>
          <w:szCs w:val="28"/>
        </w:rPr>
        <w:t>64.96</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2C0264" w:rsidRPr="002C0264">
        <w:rPr>
          <w:rFonts w:ascii="宋体" w:eastAsia="宋体" w:hAnsi="宋体" w:cs="Arial"/>
          <w:kern w:val="0"/>
          <w:sz w:val="28"/>
          <w:szCs w:val="28"/>
        </w:rPr>
        <w:t>21.41</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2C0264">
        <w:rPr>
          <w:rFonts w:ascii="宋体" w:eastAsia="宋体" w:hAnsi="宋体" w:cs="Arial" w:hint="eastAsia"/>
          <w:kern w:val="0"/>
          <w:sz w:val="28"/>
          <w:szCs w:val="28"/>
        </w:rPr>
        <w:t>14</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2C0264">
        <w:rPr>
          <w:rFonts w:ascii="宋体" w:eastAsia="宋体" w:hAnsi="宋体" w:cs="宋体" w:hint="eastAsia"/>
          <w:kern w:val="0"/>
          <w:sz w:val="28"/>
          <w:szCs w:val="28"/>
        </w:rPr>
        <w:t>11</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2C0264">
        <w:rPr>
          <w:rFonts w:ascii="宋体" w:eastAsia="宋体" w:hAnsi="宋体" w:cs="宋体" w:hint="eastAsia"/>
          <w:kern w:val="0"/>
          <w:sz w:val="28"/>
          <w:szCs w:val="28"/>
        </w:rPr>
        <w:t>3</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w:t>
      </w:r>
      <w:r w:rsidRPr="00015D0E">
        <w:rPr>
          <w:rFonts w:ascii="宋体" w:eastAsia="宋体" w:hAnsi="宋体" w:cs="宋体" w:hint="eastAsia"/>
          <w:kern w:val="0"/>
          <w:sz w:val="28"/>
          <w:szCs w:val="28"/>
        </w:rPr>
        <w:lastRenderedPageBreak/>
        <w:t>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CE" w:rsidRDefault="00D00BCE" w:rsidP="00DB4684">
      <w:r>
        <w:separator/>
      </w:r>
    </w:p>
  </w:endnote>
  <w:endnote w:type="continuationSeparator" w:id="1">
    <w:p w:rsidR="00D00BCE" w:rsidRDefault="00D00BCE" w:rsidP="00DB4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CE" w:rsidRDefault="00D00BCE" w:rsidP="00DB4684">
      <w:r>
        <w:separator/>
      </w:r>
    </w:p>
  </w:footnote>
  <w:footnote w:type="continuationSeparator" w:id="1">
    <w:p w:rsidR="00D00BCE" w:rsidRDefault="00D00BCE" w:rsidP="00DB4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F418E"/>
    <w:rsid w:val="002C0264"/>
    <w:rsid w:val="00613F59"/>
    <w:rsid w:val="00635209"/>
    <w:rsid w:val="006474CB"/>
    <w:rsid w:val="006B784D"/>
    <w:rsid w:val="00783303"/>
    <w:rsid w:val="00A51532"/>
    <w:rsid w:val="00A809EF"/>
    <w:rsid w:val="00BF0ED1"/>
    <w:rsid w:val="00C1296B"/>
    <w:rsid w:val="00C740BC"/>
    <w:rsid w:val="00D00BCE"/>
    <w:rsid w:val="00D6091E"/>
    <w:rsid w:val="00D74FF9"/>
    <w:rsid w:val="00DB4684"/>
    <w:rsid w:val="00E67D5F"/>
    <w:rsid w:val="00E9632F"/>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DB4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DB4684"/>
    <w:rPr>
      <w:rFonts w:cs="等线"/>
      <w:kern w:val="2"/>
      <w:sz w:val="18"/>
      <w:szCs w:val="18"/>
    </w:rPr>
  </w:style>
  <w:style w:type="paragraph" w:styleId="a8">
    <w:name w:val="footer"/>
    <w:basedOn w:val="a"/>
    <w:link w:val="Char0"/>
    <w:uiPriority w:val="99"/>
    <w:semiHidden/>
    <w:unhideWhenUsed/>
    <w:rsid w:val="00DB4684"/>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DB4684"/>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456</Words>
  <Characters>2600</Characters>
  <Application>Microsoft Office Word</Application>
  <DocSecurity>0</DocSecurity>
  <Lines>21</Lines>
  <Paragraphs>6</Paragraphs>
  <ScaleCrop>false</ScaleCrop>
  <Company>微软中国</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Sky123.Org</cp:lastModifiedBy>
  <cp:revision>3</cp:revision>
  <dcterms:created xsi:type="dcterms:W3CDTF">2017-08-01T04:01:00Z</dcterms:created>
  <dcterms:modified xsi:type="dcterms:W3CDTF">2017-08-01T04:12:00Z</dcterms:modified>
</cp:coreProperties>
</file>