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BC" w:rsidRPr="00A51532" w:rsidRDefault="002445BC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乌鲁木齐市水磨沟区南湖广场管理中心</w:t>
      </w:r>
      <w:r>
        <w:rPr>
          <w:rFonts w:ascii="宋体" w:eastAsia="宋体" w:hAnsi="宋体" w:cs="Arial"/>
          <w:b/>
          <w:bCs/>
          <w:kern w:val="36"/>
          <w:sz w:val="32"/>
          <w:szCs w:val="32"/>
        </w:rPr>
        <w:t xml:space="preserve">         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补充说明</w:t>
      </w:r>
    </w:p>
    <w:p w:rsidR="002445BC" w:rsidRDefault="002445BC" w:rsidP="00837C4B">
      <w:pPr>
        <w:widowControl/>
        <w:shd w:val="clear" w:color="auto" w:fill="FFFFFF"/>
        <w:spacing w:before="100" w:beforeAutospacing="1" w:after="24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</w:t>
      </w: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机关运行经费支出情况</w:t>
      </w:r>
    </w:p>
    <w:p w:rsidR="002445BC" w:rsidRDefault="002445BC" w:rsidP="003A01E6">
      <w:pPr>
        <w:widowControl/>
        <w:shd w:val="clear" w:color="auto" w:fill="FFFFFF"/>
        <w:spacing w:before="100" w:beforeAutospacing="1" w:after="240"/>
        <w:ind w:firstLineChars="200" w:firstLine="3168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 xml:space="preserve">2016 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乌鲁木齐市水磨沟区南湖广场管理中心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机关运行经费支出</w:t>
      </w:r>
      <w:r w:rsidRPr="002642DD">
        <w:rPr>
          <w:rFonts w:ascii="宋体" w:eastAsia="宋体" w:hAnsi="宋体" w:cs="宋体"/>
          <w:kern w:val="0"/>
          <w:sz w:val="28"/>
          <w:szCs w:val="28"/>
        </w:rPr>
        <w:t>11.01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万元，较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</w:t>
      </w:r>
      <w:r>
        <w:rPr>
          <w:rFonts w:ascii="宋体" w:eastAsia="宋体" w:hAnsi="宋体" w:cs="Arial"/>
          <w:kern w:val="0"/>
          <w:sz w:val="28"/>
          <w:szCs w:val="28"/>
        </w:rPr>
        <w:t>5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年机关运行经费支出</w:t>
      </w:r>
      <w:r>
        <w:rPr>
          <w:rFonts w:ascii="宋体" w:eastAsia="宋体" w:hAnsi="宋体" w:cs="宋体"/>
          <w:kern w:val="0"/>
          <w:sz w:val="28"/>
          <w:szCs w:val="28"/>
        </w:rPr>
        <w:t>18.94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万元，减少</w:t>
      </w:r>
      <w:r>
        <w:rPr>
          <w:rFonts w:ascii="宋体" w:eastAsia="宋体" w:hAnsi="宋体" w:cs="宋体"/>
          <w:kern w:val="0"/>
          <w:sz w:val="28"/>
          <w:szCs w:val="28"/>
        </w:rPr>
        <w:t>7.93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8628BC">
        <w:rPr>
          <w:rFonts w:ascii="宋体" w:eastAsia="宋体" w:hAnsi="宋体" w:cs="宋体" w:hint="eastAsia"/>
          <w:kern w:val="0"/>
          <w:sz w:val="28"/>
          <w:szCs w:val="28"/>
        </w:rPr>
        <w:t>减少</w:t>
      </w:r>
      <w:r>
        <w:rPr>
          <w:rFonts w:ascii="宋体" w:eastAsia="宋体" w:hAnsi="宋体" w:cs="宋体" w:hint="eastAsia"/>
          <w:kern w:val="0"/>
          <w:sz w:val="28"/>
          <w:szCs w:val="28"/>
        </w:rPr>
        <w:t>原因说明：</w:t>
      </w:r>
      <w:r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、取暖费较</w:t>
      </w:r>
      <w:r>
        <w:rPr>
          <w:rFonts w:ascii="宋体" w:eastAsia="宋体" w:hAnsi="宋体" w:cs="宋体"/>
          <w:kern w:val="0"/>
          <w:sz w:val="28"/>
          <w:szCs w:val="28"/>
        </w:rPr>
        <w:t>2015</w:t>
      </w:r>
      <w:r>
        <w:rPr>
          <w:rFonts w:ascii="宋体" w:eastAsia="宋体" w:hAnsi="宋体" w:cs="宋体" w:hint="eastAsia"/>
          <w:kern w:val="0"/>
          <w:sz w:val="28"/>
          <w:szCs w:val="28"/>
        </w:rPr>
        <w:t>年减少</w:t>
      </w:r>
      <w:r>
        <w:rPr>
          <w:rFonts w:ascii="宋体" w:eastAsia="宋体" w:hAnsi="宋体" w:cs="宋体"/>
          <w:kern w:val="0"/>
          <w:sz w:val="28"/>
          <w:szCs w:val="28"/>
        </w:rPr>
        <w:t>3.35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万元，由于暖气不热，热力公司未前来收取暖费；</w:t>
      </w:r>
      <w:r>
        <w:rPr>
          <w:rFonts w:ascii="宋体" w:eastAsia="宋体" w:hAnsi="宋体" w:cs="宋体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、专用燃料费较</w:t>
      </w:r>
      <w:r>
        <w:rPr>
          <w:rFonts w:ascii="宋体" w:eastAsia="宋体" w:hAnsi="宋体" w:cs="宋体"/>
          <w:kern w:val="0"/>
          <w:sz w:val="28"/>
          <w:szCs w:val="28"/>
        </w:rPr>
        <w:t>2015</w:t>
      </w:r>
      <w:r>
        <w:rPr>
          <w:rFonts w:ascii="宋体" w:eastAsia="宋体" w:hAnsi="宋体" w:cs="宋体" w:hint="eastAsia"/>
          <w:kern w:val="0"/>
          <w:sz w:val="28"/>
          <w:szCs w:val="28"/>
        </w:rPr>
        <w:t>年减少</w:t>
      </w:r>
      <w:r>
        <w:rPr>
          <w:rFonts w:ascii="宋体" w:eastAsia="宋体" w:hAnsi="宋体" w:cs="宋体"/>
          <w:kern w:val="0"/>
          <w:sz w:val="28"/>
          <w:szCs w:val="28"/>
        </w:rPr>
        <w:t>2.90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万元，由于</w:t>
      </w:r>
      <w:r>
        <w:rPr>
          <w:rFonts w:ascii="宋体" w:eastAsia="宋体" w:hAnsi="宋体" w:cs="宋体"/>
          <w:kern w:val="0"/>
          <w:sz w:val="28"/>
          <w:szCs w:val="28"/>
        </w:rPr>
        <w:t>2015</w:t>
      </w:r>
      <w:r>
        <w:rPr>
          <w:rFonts w:ascii="宋体" w:eastAsia="宋体" w:hAnsi="宋体" w:cs="宋体" w:hint="eastAsia"/>
          <w:kern w:val="0"/>
          <w:sz w:val="28"/>
          <w:szCs w:val="28"/>
        </w:rPr>
        <w:t>年调账，记在专用燃料费科目下（后附附件）；</w:t>
      </w:r>
      <w:r>
        <w:rPr>
          <w:rFonts w:ascii="宋体" w:eastAsia="宋体" w:hAnsi="宋体" w:cs="宋体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、其他资本性支出较</w:t>
      </w:r>
      <w:r>
        <w:rPr>
          <w:rFonts w:ascii="宋体" w:eastAsia="宋体" w:hAnsi="宋体" w:cs="宋体"/>
          <w:kern w:val="0"/>
          <w:sz w:val="28"/>
          <w:szCs w:val="28"/>
        </w:rPr>
        <w:t>2015</w:t>
      </w:r>
      <w:r>
        <w:rPr>
          <w:rFonts w:ascii="宋体" w:eastAsia="宋体" w:hAnsi="宋体" w:cs="宋体" w:hint="eastAsia"/>
          <w:kern w:val="0"/>
          <w:sz w:val="28"/>
          <w:szCs w:val="28"/>
        </w:rPr>
        <w:t>年减少</w:t>
      </w:r>
      <w:r>
        <w:rPr>
          <w:rFonts w:ascii="宋体" w:eastAsia="宋体" w:hAnsi="宋体" w:cs="宋体"/>
          <w:kern w:val="0"/>
          <w:sz w:val="28"/>
          <w:szCs w:val="28"/>
        </w:rPr>
        <w:t>1.51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>
        <w:rPr>
          <w:rFonts w:ascii="宋体" w:eastAsia="宋体" w:hAnsi="宋体" w:cs="宋体"/>
          <w:kern w:val="0"/>
          <w:sz w:val="28"/>
          <w:szCs w:val="28"/>
        </w:rPr>
        <w:t>2015</w:t>
      </w:r>
      <w:r>
        <w:rPr>
          <w:rFonts w:ascii="宋体" w:eastAsia="宋体" w:hAnsi="宋体" w:cs="宋体" w:hint="eastAsia"/>
          <w:kern w:val="0"/>
          <w:sz w:val="28"/>
          <w:szCs w:val="28"/>
        </w:rPr>
        <w:t>年购入一般办公家具及一般办公设备，</w:t>
      </w:r>
      <w:r>
        <w:rPr>
          <w:rFonts w:ascii="宋体" w:eastAsia="宋体" w:hAnsi="宋体" w:cs="宋体"/>
          <w:kern w:val="0"/>
          <w:sz w:val="28"/>
          <w:szCs w:val="28"/>
        </w:rPr>
        <w:t>2016</w:t>
      </w:r>
      <w:r>
        <w:rPr>
          <w:rFonts w:ascii="宋体" w:eastAsia="宋体" w:hAnsi="宋体" w:cs="宋体" w:hint="eastAsia"/>
          <w:kern w:val="0"/>
          <w:sz w:val="28"/>
          <w:szCs w:val="28"/>
        </w:rPr>
        <w:t>年未支出。</w:t>
      </w:r>
    </w:p>
    <w:p w:rsidR="002445BC" w:rsidRDefault="002445BC" w:rsidP="005771DF">
      <w:pPr>
        <w:widowControl/>
        <w:shd w:val="clear" w:color="auto" w:fill="FFFFFF"/>
        <w:spacing w:before="100" w:beforeAutospacing="1" w:after="24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二、政府采购情况说明</w:t>
      </w:r>
    </w:p>
    <w:p w:rsidR="002445BC" w:rsidRPr="00015D0E" w:rsidRDefault="002445BC" w:rsidP="003A01E6">
      <w:pPr>
        <w:widowControl/>
        <w:shd w:val="clear" w:color="auto" w:fill="FFFFFF"/>
        <w:spacing w:before="100" w:beforeAutospacing="1" w:after="240"/>
        <w:ind w:firstLineChars="200" w:firstLine="3168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2016</w:t>
      </w:r>
      <w:r>
        <w:rPr>
          <w:rFonts w:ascii="宋体" w:eastAsia="宋体" w:hAnsi="宋体" w:cs="宋体" w:hint="eastAsia"/>
          <w:kern w:val="0"/>
          <w:sz w:val="28"/>
          <w:szCs w:val="28"/>
        </w:rPr>
        <w:t>年单位政府采购金额为</w:t>
      </w:r>
      <w:r>
        <w:rPr>
          <w:rFonts w:ascii="宋体" w:eastAsia="宋体" w:hAnsi="宋体" w:cs="宋体"/>
          <w:kern w:val="0"/>
          <w:sz w:val="28"/>
          <w:szCs w:val="28"/>
        </w:rPr>
        <w:t>1.24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万元，较上年减少</w:t>
      </w:r>
      <w:r>
        <w:rPr>
          <w:rFonts w:ascii="宋体" w:eastAsia="宋体" w:hAnsi="宋体" w:cs="宋体"/>
          <w:kern w:val="0"/>
          <w:sz w:val="28"/>
          <w:szCs w:val="28"/>
        </w:rPr>
        <w:t>2.76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万元。原因说明：</w:t>
      </w:r>
      <w:r>
        <w:rPr>
          <w:rFonts w:ascii="宋体" w:eastAsia="宋体" w:hAnsi="宋体" w:cs="宋体"/>
          <w:kern w:val="0"/>
          <w:sz w:val="28"/>
          <w:szCs w:val="28"/>
        </w:rPr>
        <w:t>2016</w:t>
      </w:r>
      <w:r>
        <w:rPr>
          <w:rFonts w:ascii="宋体" w:eastAsia="宋体" w:hAnsi="宋体" w:cs="宋体" w:hint="eastAsia"/>
          <w:kern w:val="0"/>
          <w:sz w:val="28"/>
          <w:szCs w:val="28"/>
        </w:rPr>
        <w:t>年专用设备购置。</w:t>
      </w:r>
    </w:p>
    <w:p w:rsidR="002445BC" w:rsidRPr="002642DD" w:rsidRDefault="002445BC" w:rsidP="00EB1FE1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cs="Times New Roman"/>
        </w:rPr>
      </w:pPr>
    </w:p>
    <w:sectPr w:rsidR="002445BC" w:rsidRPr="002642DD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BC" w:rsidRDefault="002445BC" w:rsidP="00AE2DED">
      <w:r>
        <w:separator/>
      </w:r>
    </w:p>
  </w:endnote>
  <w:endnote w:type="continuationSeparator" w:id="0">
    <w:p w:rsidR="002445BC" w:rsidRDefault="002445BC" w:rsidP="00AE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BC" w:rsidRDefault="002445BC" w:rsidP="00AE2DED">
      <w:r>
        <w:separator/>
      </w:r>
    </w:p>
  </w:footnote>
  <w:footnote w:type="continuationSeparator" w:id="0">
    <w:p w:rsidR="002445BC" w:rsidRDefault="002445BC" w:rsidP="00AE2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E12"/>
    <w:rsid w:val="00015D0E"/>
    <w:rsid w:val="00021AA8"/>
    <w:rsid w:val="00037E23"/>
    <w:rsid w:val="000D55FE"/>
    <w:rsid w:val="00101A42"/>
    <w:rsid w:val="00115DE6"/>
    <w:rsid w:val="00116F56"/>
    <w:rsid w:val="001773C4"/>
    <w:rsid w:val="001807F4"/>
    <w:rsid w:val="00231E40"/>
    <w:rsid w:val="002445BC"/>
    <w:rsid w:val="002642DD"/>
    <w:rsid w:val="002F0000"/>
    <w:rsid w:val="00372801"/>
    <w:rsid w:val="003A01E6"/>
    <w:rsid w:val="00413C2B"/>
    <w:rsid w:val="0043106E"/>
    <w:rsid w:val="0044124D"/>
    <w:rsid w:val="00502C89"/>
    <w:rsid w:val="00530C89"/>
    <w:rsid w:val="0056032D"/>
    <w:rsid w:val="0057298F"/>
    <w:rsid w:val="005735D0"/>
    <w:rsid w:val="005771DF"/>
    <w:rsid w:val="00613F59"/>
    <w:rsid w:val="00616105"/>
    <w:rsid w:val="00635209"/>
    <w:rsid w:val="006474CB"/>
    <w:rsid w:val="00651F07"/>
    <w:rsid w:val="006765BF"/>
    <w:rsid w:val="006B784D"/>
    <w:rsid w:val="006D6251"/>
    <w:rsid w:val="006F5D34"/>
    <w:rsid w:val="00740F10"/>
    <w:rsid w:val="0076383C"/>
    <w:rsid w:val="00783303"/>
    <w:rsid w:val="007B700F"/>
    <w:rsid w:val="007C188F"/>
    <w:rsid w:val="00806FFD"/>
    <w:rsid w:val="00831FE8"/>
    <w:rsid w:val="00837C4B"/>
    <w:rsid w:val="00840998"/>
    <w:rsid w:val="00860C3F"/>
    <w:rsid w:val="008628BC"/>
    <w:rsid w:val="00931A29"/>
    <w:rsid w:val="0094303A"/>
    <w:rsid w:val="00966260"/>
    <w:rsid w:val="009D26EE"/>
    <w:rsid w:val="00A51532"/>
    <w:rsid w:val="00A77BDC"/>
    <w:rsid w:val="00A809EF"/>
    <w:rsid w:val="00A94B41"/>
    <w:rsid w:val="00AB588C"/>
    <w:rsid w:val="00AB7A90"/>
    <w:rsid w:val="00AE2DED"/>
    <w:rsid w:val="00B1552F"/>
    <w:rsid w:val="00B249DB"/>
    <w:rsid w:val="00BB7BD0"/>
    <w:rsid w:val="00BD0E42"/>
    <w:rsid w:val="00BF0ED1"/>
    <w:rsid w:val="00BF4D49"/>
    <w:rsid w:val="00C1296B"/>
    <w:rsid w:val="00C5150C"/>
    <w:rsid w:val="00D262B4"/>
    <w:rsid w:val="00D6091E"/>
    <w:rsid w:val="00D70019"/>
    <w:rsid w:val="00D74FF9"/>
    <w:rsid w:val="00DF5D66"/>
    <w:rsid w:val="00DF73D3"/>
    <w:rsid w:val="00E0201B"/>
    <w:rsid w:val="00E27D79"/>
    <w:rsid w:val="00E67D5F"/>
    <w:rsid w:val="00E81A2B"/>
    <w:rsid w:val="00E9632F"/>
    <w:rsid w:val="00E96EEC"/>
    <w:rsid w:val="00EB1FE1"/>
    <w:rsid w:val="00EC422D"/>
    <w:rsid w:val="00ED701E"/>
    <w:rsid w:val="00FD1881"/>
    <w:rsid w:val="00FD7575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F9"/>
    <w:pPr>
      <w:widowControl w:val="0"/>
      <w:jc w:val="both"/>
    </w:pPr>
    <w:rPr>
      <w:rFonts w:cs="等线"/>
      <w:szCs w:val="21"/>
    </w:rPr>
  </w:style>
  <w:style w:type="paragraph" w:styleId="Heading1">
    <w:name w:val="heading 1"/>
    <w:basedOn w:val="Normal"/>
    <w:link w:val="Heading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Times New Roman"/>
      <w:b/>
      <w:bCs/>
      <w:kern w:val="36"/>
      <w:sz w:val="43"/>
      <w:szCs w:val="4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7575"/>
    <w:rPr>
      <w:rFonts w:ascii="宋体" w:eastAsia="宋体" w:hAnsi="宋体"/>
      <w:b/>
      <w:kern w:val="36"/>
      <w:sz w:val="43"/>
    </w:rPr>
  </w:style>
  <w:style w:type="character" w:styleId="Hyperlink">
    <w:name w:val="Hyperlink"/>
    <w:basedOn w:val="DefaultParagraphFont"/>
    <w:uiPriority w:val="99"/>
    <w:semiHidden/>
    <w:rsid w:val="00FD7575"/>
    <w:rPr>
      <w:rFonts w:cs="Times New Roman"/>
      <w:color w:val="auto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FD7575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FD7575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DefaultParagraphFont"/>
    <w:uiPriority w:val="99"/>
    <w:rsid w:val="00FD75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E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2DED"/>
    <w:rPr>
      <w:rFonts w:cs="等线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2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2DED"/>
    <w:rPr>
      <w:rFonts w:cs="等线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16F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69"/>
    <w:rPr>
      <w:rFonts w:cs="等线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0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0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0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0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0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0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50</Words>
  <Characters>289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2016年度乌鲁木齐市水磨沟区南湖广场管理中心         部门决算公开补充说明</dc:title>
  <dc:subject/>
  <dc:creator>zsxy</dc:creator>
  <cp:keywords/>
  <dc:description/>
  <cp:lastModifiedBy>新中大</cp:lastModifiedBy>
  <cp:revision>5</cp:revision>
  <cp:lastPrinted>2018-11-21T07:04:00Z</cp:lastPrinted>
  <dcterms:created xsi:type="dcterms:W3CDTF">2018-11-21T06:05:00Z</dcterms:created>
  <dcterms:modified xsi:type="dcterms:W3CDTF">2018-11-21T07:13:00Z</dcterms:modified>
</cp:coreProperties>
</file>