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sz w:val="36"/>
          <w:szCs w:val="36"/>
        </w:rPr>
      </w:pPr>
      <w:r>
        <w:rPr>
          <w:rFonts w:hint="eastAsia" w:ascii="华文中宋" w:hAnsi="华文中宋" w:eastAsia="华文中宋"/>
          <w:sz w:val="36"/>
          <w:szCs w:val="36"/>
        </w:rPr>
        <w:pict>
          <v:shape id="AutoShape 4" o:spid="_x0000_s1026" o:spt="136" type="#_x0000_t136" style="position:absolute;left:0pt;margin-left:8.5pt;margin-top:9.1pt;height:38.25pt;width:404.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中 共 水 磨 沟 区 委 宣 传 部" style="font-family:方正小标宋_GBK;font-size:32pt;font-weight:bold;v-text-align:center;"/>
          </v:shape>
        </w:pict>
      </w:r>
    </w:p>
    <w:p>
      <w:pPr>
        <w:spacing w:line="560" w:lineRule="exact"/>
        <w:jc w:val="center"/>
        <w:rPr>
          <w:rFonts w:hint="eastAsia" w:ascii="华文中宋" w:hAnsi="华文中宋" w:eastAsia="华文中宋"/>
          <w:sz w:val="36"/>
          <w:szCs w:val="36"/>
        </w:rPr>
      </w:pPr>
      <w:r>
        <w:rPr>
          <w:rFonts w:hint="eastAsia" w:ascii="华文中宋" w:hAnsi="华文中宋" w:eastAsia="华文中宋"/>
          <w:sz w:val="36"/>
          <w:szCs w:val="36"/>
        </w:rPr>
        <mc:AlternateContent>
          <mc:Choice Requires="wps">
            <w:drawing>
              <wp:anchor distT="0" distB="0" distL="114300" distR="114300" simplePos="0" relativeHeight="251658240" behindDoc="0" locked="0" layoutInCell="1" allowOverlap="1">
                <wp:simplePos x="0" y="0"/>
                <wp:positionH relativeFrom="column">
                  <wp:posOffset>-112395</wp:posOffset>
                </wp:positionH>
                <wp:positionV relativeFrom="paragraph">
                  <wp:posOffset>320040</wp:posOffset>
                </wp:positionV>
                <wp:extent cx="5659120" cy="1778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59120" cy="17780"/>
                        </a:xfrm>
                        <a:custGeom>
                          <a:avLst/>
                          <a:gdLst/>
                          <a:ahLst/>
                          <a:cxnLst/>
                          <a:pathLst>
                            <a:path w="4830" h="28">
                              <a:moveTo>
                                <a:pt x="0" y="28"/>
                              </a:moveTo>
                              <a:lnTo>
                                <a:pt x="405" y="28"/>
                              </a:lnTo>
                              <a:lnTo>
                                <a:pt x="4830" y="0"/>
                              </a:lnTo>
                            </a:path>
                          </a:pathLst>
                        </a:custGeom>
                        <a:noFill/>
                        <a:ln w="28575"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85pt;margin-top:25.2pt;height:1.4pt;width:445.6pt;z-index:251658240;mso-width-relative:page;mso-height-relative:page;" filled="f" stroked="t" coordsize="4830,28" o:gfxdata="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1CNO9gAAAAJAQAADwAAAAAAAAABACAAAAAiAAAAZHJzL2Rvd25yZXYueG1sUEsBAhQA&#10;FAAAAAgAh07iQJMw4mQrAgAAaAQAAA4AAAAAAAAAAQAgAAAAJwEAAGRycy9lMm9Eb2MueG1sUEsF&#10;BgAAAAAGAAYAWQEAAMQFAAAAAA==&#10;" path="m0,28l405,28,4830,0e">
                <v:fill on="f" focussize="0,0"/>
                <v:stroke weight="2.25pt" color="#FF0000" joinstyle="round"/>
                <v:imagedata o:title=""/>
                <o:lock v:ext="edit" aspectratio="f"/>
              </v:shape>
            </w:pict>
          </mc:Fallback>
        </mc:AlternateContent>
      </w:r>
    </w:p>
    <w:p>
      <w:pPr>
        <w:spacing w:line="560" w:lineRule="exact"/>
        <w:jc w:val="right"/>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水磨沟区</w:t>
      </w:r>
      <w:r>
        <w:rPr>
          <w:rFonts w:hint="eastAsia" w:ascii="方正小标宋_GBK" w:eastAsia="方正小标宋_GBK"/>
          <w:sz w:val="44"/>
          <w:szCs w:val="44"/>
          <w:lang w:eastAsia="zh-CN"/>
        </w:rPr>
        <w:t>委宣传部</w:t>
      </w:r>
      <w:r>
        <w:rPr>
          <w:rFonts w:hint="eastAsia" w:ascii="方正小标宋_GBK" w:eastAsia="方正小标宋_GBK"/>
          <w:sz w:val="44"/>
          <w:szCs w:val="44"/>
        </w:rPr>
        <w:t>2016年部门决算公开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rPr>
        <w:t>整改</w:t>
      </w:r>
      <w:r>
        <w:rPr>
          <w:rFonts w:hint="eastAsia" w:ascii="方正小标宋_GBK" w:eastAsia="方正小标宋_GBK"/>
          <w:sz w:val="44"/>
          <w:szCs w:val="44"/>
          <w:lang w:eastAsia="zh-CN"/>
        </w:rPr>
        <w:t>报告</w:t>
      </w:r>
    </w:p>
    <w:p>
      <w:pPr>
        <w:spacing w:line="560" w:lineRule="exact"/>
        <w:ind w:firstLine="640" w:firstLineChars="200"/>
        <w:rPr>
          <w:rFonts w:hint="default" w:ascii="Times New Roman" w:hAnsi="Times New Roman" w:eastAsia="方正仿宋_GBK" w:cs="Times New Roman"/>
          <w:sz w:val="32"/>
          <w:szCs w:val="32"/>
        </w:rPr>
      </w:pPr>
    </w:p>
    <w:p>
      <w:pPr>
        <w:spacing w:line="560" w:lineRule="exact"/>
        <w:ind w:firstLine="640" w:firstLineChars="200"/>
        <w:rPr>
          <w:rFonts w:hint="eastAsia" w:eastAsia="方正仿宋_GBK"/>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2017年12月5日至2017年12月10日财政部驻疆专员办对2016</w:t>
      </w:r>
      <w:r>
        <w:rPr>
          <w:rFonts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eastAsia="zh-CN"/>
          <w14:textFill>
            <w14:solidFill>
              <w14:schemeClr w14:val="tx1"/>
            </w14:solidFill>
          </w14:textFill>
        </w:rPr>
        <w:t>部门“三公经费”</w:t>
      </w:r>
      <w:r>
        <w:rPr>
          <w:rFonts w:eastAsia="方正仿宋_GBK"/>
          <w:color w:val="000000" w:themeColor="text1"/>
          <w:sz w:val="32"/>
          <w:szCs w:val="32"/>
          <w14:textFill>
            <w14:solidFill>
              <w14:schemeClr w14:val="tx1"/>
            </w14:solidFill>
          </w14:textFill>
        </w:rPr>
        <w:t>决算公开情况进行了专项检查，</w:t>
      </w:r>
      <w:r>
        <w:rPr>
          <w:rFonts w:hint="eastAsia" w:eastAsia="方正仿宋_GBK"/>
          <w:color w:val="000000" w:themeColor="text1"/>
          <w:sz w:val="32"/>
          <w:szCs w:val="32"/>
          <w:lang w:eastAsia="zh-CN"/>
          <w14:textFill>
            <w14:solidFill>
              <w14:schemeClr w14:val="tx1"/>
            </w14:solidFill>
          </w14:textFill>
        </w:rPr>
        <w:t>现就我部门在决算</w:t>
      </w:r>
      <w:r>
        <w:rPr>
          <w:rFonts w:eastAsia="方正仿宋_GBK"/>
          <w:color w:val="000000" w:themeColor="text1"/>
          <w:sz w:val="32"/>
          <w:szCs w:val="32"/>
          <w14:textFill>
            <w14:solidFill>
              <w14:schemeClr w14:val="tx1"/>
            </w14:solidFill>
          </w14:textFill>
        </w:rPr>
        <w:t>公开</w:t>
      </w:r>
      <w:r>
        <w:rPr>
          <w:rFonts w:hint="eastAsia" w:eastAsia="方正仿宋_GBK"/>
          <w:color w:val="000000" w:themeColor="text1"/>
          <w:sz w:val="32"/>
          <w:szCs w:val="32"/>
          <w:lang w:eastAsia="zh-CN"/>
          <w14:textFill>
            <w14:solidFill>
              <w14:schemeClr w14:val="tx1"/>
            </w14:solidFill>
          </w14:textFill>
        </w:rPr>
        <w:t>中</w:t>
      </w:r>
      <w:r>
        <w:rPr>
          <w:rFonts w:eastAsia="方正仿宋_GBK"/>
          <w:color w:val="000000" w:themeColor="text1"/>
          <w:sz w:val="32"/>
          <w:szCs w:val="32"/>
          <w14:textFill>
            <w14:solidFill>
              <w14:schemeClr w14:val="tx1"/>
            </w14:solidFill>
          </w14:textFill>
        </w:rPr>
        <w:t>出现的问题</w:t>
      </w:r>
      <w:r>
        <w:rPr>
          <w:rFonts w:hint="eastAsia" w:eastAsia="方正仿宋_GBK"/>
          <w:color w:val="000000" w:themeColor="text1"/>
          <w:sz w:val="32"/>
          <w:szCs w:val="32"/>
          <w:lang w:eastAsia="zh-CN"/>
          <w14:textFill>
            <w14:solidFill>
              <w14:schemeClr w14:val="tx1"/>
            </w14:solidFill>
          </w14:textFill>
        </w:rPr>
        <w:t>进行整改如下：</w:t>
      </w:r>
    </w:p>
    <w:p>
      <w:pPr>
        <w:numPr>
          <w:ilvl w:val="0"/>
          <w:numId w:val="1"/>
        </w:numPr>
        <w:spacing w:line="560" w:lineRule="exact"/>
        <w:ind w:firstLine="640" w:firstLineChars="200"/>
        <w:rPr>
          <w:rFonts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pPr>
      <w:r>
        <w:rPr>
          <w:rFonts w:ascii="方正黑体_GBK" w:hAnsi="方正黑体_GBK" w:eastAsia="方正黑体_GBK" w:cs="方正黑体_GBK"/>
          <w:i w:val="0"/>
          <w:caps w:val="0"/>
          <w:color w:val="000000" w:themeColor="text1"/>
          <w:spacing w:val="0"/>
          <w:sz w:val="32"/>
          <w:szCs w:val="32"/>
          <w:shd w:val="clear" w:fill="FFFFFF"/>
          <w14:textFill>
            <w14:solidFill>
              <w14:schemeClr w14:val="tx1"/>
            </w14:solidFill>
          </w14:textFill>
        </w:rPr>
        <w:t>领导高度重视，落实整改工作</w:t>
      </w:r>
    </w:p>
    <w:p>
      <w:pPr>
        <w:numPr>
          <w:ilvl w:val="0"/>
          <w:numId w:val="0"/>
        </w:numPr>
        <w:spacing w:line="560" w:lineRule="exact"/>
        <w:ind w:firstLine="640" w:firstLineChars="200"/>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收到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《关于水磨沟区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2016年部门决算公开整改通知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》（水财发〔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2018〕131号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）文件后，</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我单位领导高度重视，就存在的问题，责成相关人员认真查找原因，做出书面报告，并认真落实整改内容。</w:t>
      </w:r>
    </w:p>
    <w:p>
      <w:pPr>
        <w:numPr>
          <w:ilvl w:val="0"/>
          <w:numId w:val="0"/>
        </w:numPr>
        <w:spacing w:line="560" w:lineRule="exact"/>
        <w:ind w:firstLine="640" w:firstLineChars="200"/>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二、存在的问题</w:t>
      </w:r>
    </w:p>
    <w:p>
      <w:pPr>
        <w:numPr>
          <w:ilvl w:val="0"/>
          <w:numId w:val="0"/>
        </w:numPr>
        <w:spacing w:line="56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eastAsia="方正仿宋_GBK"/>
          <w:color w:val="000000" w:themeColor="text1"/>
          <w:sz w:val="32"/>
          <w:szCs w:val="32"/>
          <w14:textFill>
            <w14:solidFill>
              <w14:schemeClr w14:val="tx1"/>
            </w14:solidFill>
          </w14:textFill>
        </w:rPr>
        <w:t>按照《财政部关于印发＜地方预决算公开操作规程＞的通知》（财预</w:t>
      </w:r>
      <w:r>
        <w:rPr>
          <w:rFonts w:hint="default" w:ascii="Times New Roman" w:hAnsi="Times New Roman" w:eastAsia="方正仿宋_GBK" w:cs="Times New Roman"/>
          <w:color w:val="000000" w:themeColor="text1"/>
          <w:sz w:val="32"/>
          <w:szCs w:val="32"/>
          <w14:textFill>
            <w14:solidFill>
              <w14:schemeClr w14:val="tx1"/>
            </w14:solidFill>
          </w14:textFill>
        </w:rPr>
        <w:t>[2016]143号）第十八条、第十九条、第二十条，财政部《关于深入推进地方预决算公开工作的通知》（财预[2014]36号）</w:t>
      </w:r>
      <w:r>
        <w:rPr>
          <w:rFonts w:eastAsia="方正仿宋_GBK"/>
          <w:color w:val="000000" w:themeColor="text1"/>
          <w:sz w:val="32"/>
          <w:szCs w:val="32"/>
          <w14:textFill>
            <w14:solidFill>
              <w14:schemeClr w14:val="tx1"/>
            </w14:solidFill>
          </w14:textFill>
        </w:rPr>
        <w:t>文件要求的公开内容，</w:t>
      </w:r>
      <w:r>
        <w:rPr>
          <w:rFonts w:hint="eastAsia" w:eastAsia="方正仿宋_GBK"/>
          <w:color w:val="000000" w:themeColor="text1"/>
          <w:sz w:val="32"/>
          <w:szCs w:val="32"/>
          <w:lang w:val="en-US" w:eastAsia="zh-CN"/>
          <w14:textFill>
            <w14:solidFill>
              <w14:schemeClr w14:val="tx1"/>
            </w14:solidFill>
          </w14:textFill>
        </w:rPr>
        <w:t>在决算公开中，“三公经费”决算公开内容不完整、细化程度未达到要求。所涉及到的是公务用车运行维护费</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15.74</w:t>
      </w:r>
      <w:r>
        <w:rPr>
          <w:rFonts w:hint="eastAsia" w:eastAsia="方正仿宋_GBK"/>
          <w:color w:val="000000" w:themeColor="text1"/>
          <w:sz w:val="32"/>
          <w:szCs w:val="32"/>
          <w:lang w:val="en-US" w:eastAsia="zh-CN"/>
          <w14:textFill>
            <w14:solidFill>
              <w14:schemeClr w14:val="tx1"/>
            </w14:solidFill>
          </w14:textFill>
        </w:rPr>
        <w:t>万元，较上年增长</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17.84%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，没有对其增减变动原因进行详细说明。</w:t>
      </w:r>
    </w:p>
    <w:p>
      <w:pPr>
        <w:numPr>
          <w:ilvl w:val="0"/>
          <w:numId w:val="0"/>
        </w:numPr>
        <w:spacing w:line="560" w:lineRule="exact"/>
        <w:ind w:firstLine="640" w:firstLineChars="200"/>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三、整改具体情况</w:t>
      </w:r>
    </w:p>
    <w:p>
      <w:pPr>
        <w:ind w:firstLine="640" w:firstLineChars="200"/>
        <w:rPr>
          <w:rFonts w:hint="eastAsia" w:ascii="宋体" w:hAnsi="宋体" w:eastAsia="宋体" w:cs="宋体"/>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（一）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2016</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年新疆中共乌鲁木齐市水磨沟区委员会宣传部“三公”经费决算支出总额为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15.74</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万元。比年初预算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57</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万元，降低了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40</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76%</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，系缩减经费节约开支所致。</w:t>
      </w:r>
    </w:p>
    <w:p>
      <w:pPr>
        <w:numPr>
          <w:ilvl w:val="0"/>
          <w:numId w:val="0"/>
        </w:numPr>
        <w:spacing w:line="56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2016年度公务用车运行维护费</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15.74</w:t>
      </w:r>
      <w:r>
        <w:rPr>
          <w:rFonts w:hint="eastAsia" w:eastAsia="方正仿宋_GBK"/>
          <w:color w:val="000000" w:themeColor="text1"/>
          <w:sz w:val="32"/>
          <w:szCs w:val="32"/>
          <w:lang w:val="en-US" w:eastAsia="zh-CN"/>
          <w14:textFill>
            <w14:solidFill>
              <w14:schemeClr w14:val="tx1"/>
            </w14:solidFill>
          </w14:textFill>
        </w:rPr>
        <w:t>万元，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较上年增</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加支出23826.86元，增长了17.84%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经查账核实，一是当年工作任务量增多，车辆燃油费、维护维修费增加；二是车辆保险费中将车辆商业保险费增加了保险内容进行了车辆全保，故2016年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度公车运行维护费较上年增长。</w:t>
      </w:r>
    </w:p>
    <w:p>
      <w:pPr>
        <w:spacing w:line="560" w:lineRule="exact"/>
        <w:ind w:firstLine="624" w:firstLineChars="200"/>
        <w:rPr>
          <w:rFonts w:hint="eastAsia" w:ascii="方正仿宋_GBK" w:hAnsi="方正仿宋_GBK" w:eastAsia="方正仿宋_GBK" w:cs="方正仿宋_GBK"/>
          <w:i w:val="0"/>
          <w:caps w:val="0"/>
          <w:color w:val="000000" w:themeColor="text1"/>
          <w:spacing w:val="-4"/>
          <w:sz w:val="32"/>
          <w:szCs w:val="32"/>
          <w:shd w:val="clear" w:fill="FFFFFF"/>
          <w:lang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4"/>
          <w:sz w:val="32"/>
          <w:szCs w:val="32"/>
          <w:shd w:val="clear" w:fill="FFFFFF"/>
          <w:lang w:eastAsia="zh-CN"/>
          <w14:textFill>
            <w14:solidFill>
              <w14:schemeClr w14:val="tx1"/>
            </w14:solidFill>
          </w14:textFill>
        </w:rPr>
        <w:t>四、</w:t>
      </w:r>
      <w:r>
        <w:rPr>
          <w:rFonts w:hint="eastAsia" w:ascii="方正黑体_GBK" w:hAnsi="方正黑体_GBK" w:eastAsia="方正黑体_GBK" w:cs="方正黑体_GBK"/>
          <w:color w:val="000000" w:themeColor="text1"/>
          <w:sz w:val="32"/>
          <w:szCs w:val="32"/>
          <w14:textFill>
            <w14:solidFill>
              <w14:schemeClr w14:val="tx1"/>
            </w14:solidFill>
          </w14:textFill>
        </w:rPr>
        <w:t>严格全面公开部门决算</w:t>
      </w:r>
    </w:p>
    <w:p>
      <w:pPr>
        <w:spacing w:line="560" w:lineRule="exact"/>
        <w:ind w:firstLine="640" w:firstLineChars="200"/>
        <w:rPr>
          <w:rFonts w:hint="eastAsia" w:ascii="方正仿宋_GBK" w:hAnsi="方正仿宋_GBK" w:eastAsia="方正仿宋_GBK" w:cs="方正仿宋_GBK"/>
          <w:i w:val="0"/>
          <w:caps w:val="0"/>
          <w:color w:val="000000" w:themeColor="text1"/>
          <w:spacing w:val="-4"/>
          <w:sz w:val="32"/>
          <w:szCs w:val="32"/>
          <w:shd w:val="clear" w:fill="FFFFFF"/>
          <w14:textFill>
            <w14:solidFill>
              <w14:schemeClr w14:val="tx1"/>
            </w14:solidFill>
          </w14:textFill>
        </w:rPr>
      </w:pPr>
      <w:r>
        <w:rPr>
          <w:rFonts w:eastAsia="方正仿宋_GBK"/>
          <w:color w:val="000000" w:themeColor="text1"/>
          <w:sz w:val="32"/>
          <w:szCs w:val="32"/>
          <w14:textFill>
            <w14:solidFill>
              <w14:schemeClr w14:val="tx1"/>
            </w14:solidFill>
          </w14:textFill>
        </w:rPr>
        <w:t>严格遵照《中华人民共和国预算法》、《中华人民共和国政府信息公开条例》、《行政单位会计制度》、《事业单位会计准则》等法规和规定执行</w:t>
      </w:r>
      <w:r>
        <w:rPr>
          <w:rFonts w:hint="eastAsia" w:eastAsia="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4"/>
          <w:sz w:val="32"/>
          <w:szCs w:val="32"/>
          <w:shd w:val="clear" w:fill="FFFFFF"/>
          <w14:textFill>
            <w14:solidFill>
              <w14:schemeClr w14:val="tx1"/>
            </w14:solidFill>
          </w14:textFill>
        </w:rPr>
        <w:t>持续跟踪未按要求公开的情况，及时采取措施，将督促整改工作一抓到底、落实到位，进一步规范预决算公开机制。</w:t>
      </w:r>
    </w:p>
    <w:p>
      <w:pPr>
        <w:spacing w:line="560" w:lineRule="exact"/>
        <w:ind w:firstLine="624" w:firstLineChars="200"/>
        <w:rPr>
          <w:rFonts w:hint="eastAsia" w:ascii="方正仿宋_GBK" w:hAnsi="方正仿宋_GBK" w:eastAsia="方正仿宋_GBK" w:cs="方正仿宋_GBK"/>
          <w:i w:val="0"/>
          <w:caps w:val="0"/>
          <w:color w:val="000000" w:themeColor="text1"/>
          <w:spacing w:val="-4"/>
          <w:sz w:val="32"/>
          <w:szCs w:val="32"/>
          <w:shd w:val="clear" w:fill="FFFFFF"/>
          <w14:textFill>
            <w14:solidFill>
              <w14:schemeClr w14:val="tx1"/>
            </w14:solidFill>
          </w14:textFill>
        </w:rPr>
      </w:pPr>
      <w:bookmarkStart w:id="0" w:name="_GoBack"/>
      <w:bookmarkEnd w:id="0"/>
    </w:p>
    <w:p>
      <w:pPr>
        <w:spacing w:line="560" w:lineRule="exact"/>
        <w:ind w:firstLine="4368" w:firstLineChars="1400"/>
        <w:rPr>
          <w:rFonts w:hint="eastAsia" w:ascii="方正仿宋_GBK" w:hAnsi="方正仿宋_GBK" w:eastAsia="方正仿宋_GBK" w:cs="方正仿宋_GBK"/>
          <w:i w:val="0"/>
          <w:caps w:val="0"/>
          <w:color w:val="000000" w:themeColor="text1"/>
          <w:spacing w:val="-4"/>
          <w:sz w:val="32"/>
          <w:szCs w:val="32"/>
          <w:shd w:val="clear" w:fill="FFFFFF"/>
          <w:lang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4"/>
          <w:sz w:val="32"/>
          <w:szCs w:val="32"/>
          <w:shd w:val="clear" w:fill="FFFFFF"/>
          <w:lang w:eastAsia="zh-CN"/>
          <w14:textFill>
            <w14:solidFill>
              <w14:schemeClr w14:val="tx1"/>
            </w14:solidFill>
          </w14:textFill>
        </w:rPr>
        <w:t>中共水磨沟区委员会宣传部</w:t>
      </w:r>
    </w:p>
    <w:p>
      <w:pPr>
        <w:spacing w:line="560" w:lineRule="exact"/>
        <w:ind w:firstLine="4992" w:firstLineChars="1600"/>
        <w:rPr>
          <w:rFonts w:hint="default" w:ascii="Times New Roman" w:hAnsi="Times New Roman" w:eastAsia="方正仿宋_GBK" w:cs="Times New Roman"/>
          <w:i w:val="0"/>
          <w:caps w:val="0"/>
          <w:color w:val="000000" w:themeColor="text1"/>
          <w:spacing w:val="-4"/>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4"/>
          <w:sz w:val="32"/>
          <w:szCs w:val="32"/>
          <w:shd w:val="clear" w:fill="FFFFFF"/>
          <w:lang w:val="en-US" w:eastAsia="zh-CN"/>
          <w14:textFill>
            <w14:solidFill>
              <w14:schemeClr w14:val="tx1"/>
            </w14:solidFill>
          </w14:textFill>
        </w:rPr>
        <w:t>2018年11月21日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44AA3"/>
    <w:multiLevelType w:val="singleLevel"/>
    <w:tmpl w:val="BDB44A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7492C"/>
    <w:rsid w:val="05172D94"/>
    <w:rsid w:val="187D58EA"/>
    <w:rsid w:val="27970691"/>
    <w:rsid w:val="2C5A09FD"/>
    <w:rsid w:val="2D896007"/>
    <w:rsid w:val="3B0D02E4"/>
    <w:rsid w:val="47D7492C"/>
    <w:rsid w:val="4AA71032"/>
    <w:rsid w:val="55110E8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2018-11-21T04:41:00Z</dcterms:created>
  <dc:creator>满庭花雨</dc:creator>
  <cp:lastModifiedBy>满庭花雨</cp:lastModifiedBy>
  <dcterms:modified xsi:type="dcterms:W3CDTF">2018-11-21T06:16:26Z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