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2016年度乌鲁木齐市第三十二中学部门决算公开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按照《义务教育法》的规定，学校应当按照确定的教学内容和课程设置开展教育教学活动，保证教育教学达到国家规定的基本质量要求。学校应当把德育放在首位，寓德育于教育教学之中，开展与学生年龄相适应的社会实践活动，形成学校、家庭、社会相互配合的思想道德教育体系，促进学生养成良好的思想品德和行为习惯。学校应当保证学生的课外活动时间，组织开展文化娱乐等课外活动。同时，学校还应当建立健全安全制度和应急机制，对学生进行安全教育，加强管理，及时消除隐患，预防事故发生，学校对违反学校管理制度的学生，应当予以批评教育，不得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根据职责，纳入乌鲁木齐市第三十二中学2016年部门决算编制范围内设4个机构，属于全额拨款事业单位。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乌鲁木齐市第三十二中学编制人数71人，全额拨款事业单位人员编制71人。乌鲁木齐市第三十二中学实有在职人数68人，其中：全额拨款事业单位人员编制68人。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关于乌鲁木齐市第三十二中学2016年度收入支出决算总体情况说明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乌鲁木齐市第三十二中学2016年度收入总计1,909.9万元，支出总计1,568.4万元。收入较上年增长了21.97%；支出降低了138万元，降低8.09%。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乌鲁木齐市第三十二中学2016年收入1,909.9万元，其中：财政拨款1,900.1万元，其他收入9.8万元。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乌鲁木齐市第三十二中学支出决算为1,568.4万元，其中，基本支出决算1,085.1万元，项目支出决算483.3万元。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2016年乌鲁木齐市第三十二中学结余786.7万元，其中上年结445.1万元。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2016年乌鲁木齐市第三十二中学“三公”经费决算支出总额0万元。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2016年因公出国（境）费用支出0万元。2016年乌鲁木齐市第三十二中学因公出国共0人次，参加0个团组。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万元，乌鲁木齐市第三十二中学共计接待0批次0人。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2016年乌鲁木齐市第三十二中学公务用车运行维护费0万元。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2016年乌鲁木齐市第三十二中学财政拨款支出年初预算为1,365.0万元，支出决算为1,568.4元，完成预算的114.9%。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2016年乌鲁木齐市第三十二中学机关运行经费支出0万元。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截至2016年12月31日，本部门共有车辆2辆。其中，省部级领导干部用车0 辆、一般公务用车1辆、一般执法执勤用车0辆、特种专业技术用车0辆、其他用车1辆；单位价值100万元以上大型设备0台（套）。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B5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