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  <w:t>2017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  <w:t>年乌鲁木齐市第三十一中学预算公示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根据自治区财政厅《关于进一步做好自治区预决算信息公开工作的通知》等文件要求，现将我单位预算情况公示如下：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我单位主要职能是高中学历教育，促进基础教育发展。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根据上述职责，本单位设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个内设机构：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840" w:right="0" w:hanging="36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1、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14"/>
          <w:szCs w:val="14"/>
          <w:bdr w:val="none" w:color="auto" w:sz="0" w:space="0"/>
          <w:shd w:val="clear" w:fill="FFFFFF"/>
        </w:rPr>
        <w:t>     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党政办公室。负责学校党支部事务和学校行政事务管理工作。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、教务处。负责学生招生、学籍和教学管理工作。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、德育处。负责学生德育和年级、班级管理工作。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、教研室。负责学校教学科研和教研组管理工作。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、总务处。负责学校后勤、生活和设施设备的建设维护管理工作。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、工会室：负责保障全体教职员工的各项权益，定期组织开展工会活动。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、保卫科：负责做好学校的各项安全保卫工作。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、团支部：负责教育和团结全体团员教师，组织开展志愿者等团活动。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、财务室。负责学校资金管理工作。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乌鲁木齐市第三十一中学编制人数76人，实有在职人数67人，退休109人。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36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年我单位一般公共预算收入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1092.44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万元，较上年减少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23.36%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；主要原因是退休人员工资纳入社保。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1092.44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万元，较上年减少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23.36%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；主要原因是退休人员工资纳入社保。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基本支出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1092.44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万元，较上年减少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23.36%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；主要原因是退休人员工资纳入社保。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、工资福利支出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589.73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、商品服务支出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221.84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、对个人和家庭补助支出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280.87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（一）无因国公出国（境）经费预算；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862" w:right="0" w:hanging="72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14"/>
          <w:szCs w:val="14"/>
          <w:bdr w:val="none" w:color="auto" w:sz="0" w:space="0"/>
          <w:shd w:val="clear" w:fill="FFFFFF"/>
        </w:rPr>
        <w:t>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公务接待经费预算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0.68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万元，与上年持平；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15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（三）无公务用车购置及运行维护费预算。</w:t>
      </w:r>
    </w:p>
    <w:p>
      <w:pP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F0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2018-11-22T04:15:33Z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