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bdr w:val="none" w:color="auto" w:sz="0" w:space="0"/>
          <w:shd w:val="clear" w:fill="FFFFFF"/>
        </w:rPr>
        <w:t>乌鲁木齐市第四十一小学预算公开公示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 </w:t>
      </w: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我校系水磨沟区区属小学，主要职能是实施小学教育，促进基础教育发展，执行中小学校会计制度单位，属财政预算全额拨款。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根据上述职责，学校内设机构：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、党政办公室；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、工会办公室；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、总务办公室；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、校长室；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、书记室；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、副校长室；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、教导处；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、教科研室；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、财务室；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、档案室；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、各年级办公室。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（三）事业单位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学校属于事业单位，机构规格均相当正科级，经费形式为全额预算管理。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（四）人员编制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乌鲁木齐市第四十一小学编制人数73人，其中：全额拨款事业单位人员编制73人。乌鲁木齐市第四十一小学实有在职人数67人，其中：全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额拨款事业单位在职人员67人。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1081.54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10.93%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；主要原因是退休人员进入社保统筹。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1081.54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10.93%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；主要原因是退休人员进入社保统筹。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基本支出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1081.54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10.93%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；主要原因是退休人员进入社保统筹。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632.32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198.78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250.44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0.63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万元，与上年一致。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（三）无公务用车购置及运行维护费预算和支出。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0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