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乌鲁木齐市水磨沟区青少年校外活动中心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201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  <w:t>7年预算公示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根据自治区财政厅《关于进一步做好自治区预决算信息公开工作的通知》等文件要求，现将我单位预算情况公示如下：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一、部门基本情况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乌鲁木齐市水磨沟区青少年校外活动中心是集科技、音乐、美术、舞蹈、体育、语言及拓展等教育培训、文化娱乐活动为一体的青少年校外文化教育单位。属财政预算全额拨款。事业编制数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6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人，年末实有人数</w:t>
      </w: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5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（二）内设机构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根据上述职责，本单位设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个内设机构：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480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、培训部。负责学生培训事务管理工作。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、活动部。负责学生开展活动管理工作。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、总务后勤部。负责安保、财务、后勤服务工作。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360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二、部门年度预算收支情况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（一）一般公共预算收入情况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年我单位一般公共预算收入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671.38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万元，较上年增加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60%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；主要原因是外聘教师代课费增加，日常活动费用增加。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（二）一般预算支出情况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年我单位一般公共预算支出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671.38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万元，较上年增加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60%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；主要原因是外聘教师代课费增加，日常活动费用增加。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项目支出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2050203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款初中教育为青少年活动专项经费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500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万元，较上年增加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100%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；主要原因是外聘教师代课费增加，日常活动费用增加。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（三）无政府性基金预算收入和支出。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三、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三公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经费支出预算情况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42" w:right="0" w:firstLine="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（一）无因国公出国（境）经费预算；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862" w:right="0" w:hanging="72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14"/>
          <w:szCs w:val="14"/>
          <w:bdr w:val="none" w:color="auto" w:sz="0" w:space="0"/>
          <w:shd w:val="clear" w:fill="FFFFFF"/>
        </w:rPr>
        <w:t>    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公务接待经费预算</w:t>
      </w:r>
      <w:r>
        <w:rPr>
          <w:rFonts w:hint="default" w:ascii="Times New Roman" w:hAnsi="Times New Roman" w:eastAsia="宋体" w:cs="Times New Roman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0.02</w:t>
      </w: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万元，与上年持平；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115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（三）无公务用车购置及运行维护费预算。</w:t>
      </w:r>
    </w:p>
    <w:p>
      <w:pPr>
        <w:rPr>
          <w:rFonts w:hint="default" w:ascii="方正小标宋_GBK" w:hAnsi="方正小标宋_GBK" w:eastAsia="方正小标宋_GBK" w:cs="方正小标宋_GBK"/>
          <w:i w:val="0"/>
          <w:caps w:val="0"/>
          <w:color w:val="2B2B2B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62B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橘子禾装饰小王17690808100</cp:lastModifiedBy>
  <dcterms:modified xsi:type="dcterms:W3CDTF">2018-11-22T04:32:00Z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