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olor w:val="181717" w:themeColor="background2" w:themeShade="1A"/>
          <w:sz w:val="44"/>
          <w:szCs w:val="44"/>
        </w:rPr>
      </w:pPr>
      <w:r>
        <w:rPr>
          <w:rFonts w:hint="eastAsia" w:ascii="黑体" w:hAnsi="黑体" w:eastAsia="黑体"/>
          <w:color w:val="181717" w:themeColor="background2" w:themeShade="1A"/>
          <w:sz w:val="44"/>
          <w:szCs w:val="44"/>
        </w:rPr>
        <w:t>附件：</w:t>
      </w:r>
    </w:p>
    <w:p>
      <w:pPr>
        <w:widowControl/>
        <w:spacing w:before="100" w:beforeAutospacing="1" w:after="100" w:afterAutospacing="1"/>
        <w:jc w:val="center"/>
        <w:outlineLvl w:val="1"/>
        <w:rPr>
          <w:rFonts w:ascii="黑体" w:hAnsi="黑体" w:eastAsia="黑体"/>
          <w:color w:val="181717" w:themeColor="background2" w:themeShade="1A"/>
          <w:kern w:val="0"/>
          <w:sz w:val="44"/>
          <w:szCs w:val="44"/>
        </w:rPr>
      </w:pPr>
    </w:p>
    <w:p>
      <w:pPr>
        <w:widowControl/>
        <w:spacing w:before="100" w:beforeAutospacing="1" w:after="100" w:afterAutospacing="1"/>
        <w:jc w:val="center"/>
        <w:outlineLvl w:val="1"/>
        <w:rPr>
          <w:rFonts w:ascii="黑体" w:hAnsi="黑体" w:eastAsia="黑体"/>
          <w:color w:val="181717" w:themeColor="background2" w:themeShade="1A"/>
          <w:kern w:val="0"/>
          <w:sz w:val="44"/>
          <w:szCs w:val="44"/>
        </w:rPr>
      </w:pPr>
    </w:p>
    <w:p>
      <w:pPr>
        <w:widowControl/>
        <w:spacing w:before="100" w:beforeAutospacing="1" w:after="100" w:afterAutospacing="1"/>
        <w:jc w:val="center"/>
        <w:outlineLvl w:val="1"/>
        <w:rPr>
          <w:rFonts w:ascii="黑体" w:hAnsi="黑体" w:eastAsia="黑体"/>
          <w:color w:val="181717" w:themeColor="background2" w:themeShade="1A"/>
          <w:kern w:val="0"/>
          <w:sz w:val="44"/>
          <w:szCs w:val="44"/>
        </w:rPr>
      </w:pPr>
    </w:p>
    <w:p>
      <w:pPr>
        <w:widowControl/>
        <w:spacing w:before="100" w:beforeAutospacing="1" w:after="100" w:afterAutospacing="1"/>
        <w:jc w:val="center"/>
        <w:outlineLvl w:val="1"/>
        <w:rPr>
          <w:rFonts w:ascii="黑体" w:hAnsi="黑体" w:eastAsia="黑体"/>
          <w:color w:val="181717" w:themeColor="background2" w:themeShade="1A"/>
          <w:kern w:val="0"/>
          <w:sz w:val="44"/>
          <w:szCs w:val="44"/>
        </w:rPr>
      </w:pPr>
      <w:r>
        <w:rPr>
          <w:rFonts w:hint="eastAsia" w:ascii="黑体" w:hAnsi="黑体" w:eastAsia="黑体"/>
          <w:color w:val="181717" w:themeColor="background2" w:themeShade="1A"/>
          <w:kern w:val="0"/>
          <w:sz w:val="44"/>
          <w:szCs w:val="44"/>
        </w:rPr>
        <w:t>乌鲁木齐市水磨沟区环卫清运队</w:t>
      </w:r>
    </w:p>
    <w:p>
      <w:pPr>
        <w:widowControl/>
        <w:spacing w:before="100" w:beforeAutospacing="1" w:after="100" w:afterAutospacing="1"/>
        <w:jc w:val="center"/>
        <w:outlineLvl w:val="1"/>
        <w:rPr>
          <w:rFonts w:ascii="黑体" w:hAnsi="黑体" w:eastAsia="黑体"/>
          <w:color w:val="181717" w:themeColor="background2" w:themeShade="1A"/>
          <w:kern w:val="0"/>
          <w:sz w:val="44"/>
          <w:szCs w:val="44"/>
        </w:rPr>
      </w:pPr>
      <w:r>
        <w:rPr>
          <w:rFonts w:ascii="黑体" w:hAnsi="黑体" w:eastAsia="黑体"/>
          <w:color w:val="181717" w:themeColor="background2" w:themeShade="1A"/>
          <w:kern w:val="0"/>
          <w:sz w:val="44"/>
          <w:szCs w:val="44"/>
        </w:rPr>
        <w:t>201</w:t>
      </w:r>
      <w:r>
        <w:rPr>
          <w:rFonts w:hint="eastAsia" w:ascii="黑体" w:hAnsi="黑体" w:eastAsia="黑体"/>
          <w:color w:val="181717" w:themeColor="background2" w:themeShade="1A"/>
          <w:kern w:val="0"/>
          <w:sz w:val="44"/>
          <w:szCs w:val="44"/>
        </w:rPr>
        <w:t>6年预算公开</w:t>
      </w:r>
    </w:p>
    <w:p>
      <w:pPr>
        <w:widowControl/>
        <w:spacing w:line="460" w:lineRule="exact"/>
        <w:outlineLvl w:val="1"/>
        <w:rPr>
          <w:rFonts w:ascii="宋体" w:hAnsi="宋体"/>
          <w:b/>
          <w:color w:val="181717" w:themeColor="background2" w:themeShade="1A"/>
          <w:kern w:val="0"/>
          <w:sz w:val="44"/>
          <w:szCs w:val="44"/>
        </w:rPr>
      </w:pPr>
    </w:p>
    <w:p>
      <w:pPr>
        <w:widowControl/>
        <w:spacing w:line="460" w:lineRule="exact"/>
        <w:outlineLvl w:val="1"/>
        <w:rPr>
          <w:rFonts w:ascii="宋体" w:hAnsi="宋体"/>
          <w:b/>
          <w:color w:val="181717" w:themeColor="background2" w:themeShade="1A"/>
          <w:kern w:val="0"/>
          <w:sz w:val="44"/>
          <w:szCs w:val="44"/>
        </w:rPr>
      </w:pPr>
    </w:p>
    <w:p>
      <w:pPr>
        <w:widowControl/>
        <w:spacing w:line="460" w:lineRule="exact"/>
        <w:outlineLvl w:val="1"/>
        <w:rPr>
          <w:rFonts w:ascii="宋体" w:hAnsi="宋体"/>
          <w:b/>
          <w:color w:val="181717" w:themeColor="background2" w:themeShade="1A"/>
          <w:kern w:val="0"/>
          <w:sz w:val="44"/>
          <w:szCs w:val="44"/>
        </w:rPr>
      </w:pPr>
    </w:p>
    <w:p>
      <w:pPr>
        <w:widowControl/>
        <w:spacing w:line="460" w:lineRule="exact"/>
        <w:outlineLvl w:val="1"/>
        <w:rPr>
          <w:rFonts w:ascii="宋体" w:hAnsi="宋体"/>
          <w:b/>
          <w:color w:val="181717" w:themeColor="background2" w:themeShade="1A"/>
          <w:kern w:val="0"/>
          <w:sz w:val="44"/>
          <w:szCs w:val="44"/>
        </w:rPr>
      </w:pPr>
    </w:p>
    <w:p>
      <w:pPr>
        <w:widowControl/>
        <w:spacing w:line="460" w:lineRule="exact"/>
        <w:outlineLvl w:val="1"/>
        <w:rPr>
          <w:rFonts w:ascii="宋体" w:hAnsi="宋体"/>
          <w:b/>
          <w:color w:val="181717" w:themeColor="background2" w:themeShade="1A"/>
          <w:kern w:val="0"/>
          <w:sz w:val="44"/>
          <w:szCs w:val="44"/>
        </w:rPr>
      </w:pPr>
    </w:p>
    <w:p>
      <w:pPr>
        <w:widowControl/>
        <w:jc w:val="left"/>
        <w:rPr>
          <w:rFonts w:ascii="宋体" w:hAnsi="宋体"/>
          <w:b/>
          <w:color w:val="181717" w:themeColor="background2" w:themeShade="1A"/>
          <w:kern w:val="0"/>
          <w:sz w:val="44"/>
          <w:szCs w:val="44"/>
        </w:rPr>
      </w:pPr>
    </w:p>
    <w:p>
      <w:pPr>
        <w:widowControl/>
        <w:jc w:val="left"/>
        <w:rPr>
          <w:rFonts w:ascii="宋体" w:hAnsi="宋体"/>
          <w:b/>
          <w:color w:val="181717" w:themeColor="background2" w:themeShade="1A"/>
          <w:kern w:val="0"/>
          <w:sz w:val="44"/>
          <w:szCs w:val="44"/>
        </w:rPr>
      </w:pPr>
    </w:p>
    <w:p>
      <w:pPr>
        <w:widowControl/>
        <w:jc w:val="left"/>
        <w:rPr>
          <w:rFonts w:ascii="宋体" w:hAnsi="宋体"/>
          <w:b/>
          <w:color w:val="181717" w:themeColor="background2" w:themeShade="1A"/>
          <w:kern w:val="0"/>
          <w:sz w:val="44"/>
          <w:szCs w:val="44"/>
        </w:rPr>
      </w:pPr>
    </w:p>
    <w:p>
      <w:pPr>
        <w:widowControl/>
        <w:jc w:val="left"/>
        <w:rPr>
          <w:rFonts w:ascii="宋体" w:hAnsi="宋体"/>
          <w:b/>
          <w:color w:val="181717" w:themeColor="background2" w:themeShade="1A"/>
          <w:kern w:val="0"/>
          <w:sz w:val="44"/>
          <w:szCs w:val="44"/>
        </w:rPr>
      </w:pPr>
    </w:p>
    <w:p>
      <w:pPr>
        <w:widowControl/>
        <w:jc w:val="left"/>
        <w:rPr>
          <w:rFonts w:ascii="宋体" w:hAnsi="宋体"/>
          <w:b/>
          <w:color w:val="181717" w:themeColor="background2" w:themeShade="1A"/>
          <w:kern w:val="0"/>
          <w:sz w:val="44"/>
          <w:szCs w:val="44"/>
        </w:rPr>
      </w:pPr>
    </w:p>
    <w:p>
      <w:pPr>
        <w:widowControl/>
        <w:jc w:val="left"/>
        <w:rPr>
          <w:rFonts w:ascii="宋体" w:hAnsi="宋体"/>
          <w:b/>
          <w:color w:val="181717" w:themeColor="background2" w:themeShade="1A"/>
          <w:kern w:val="0"/>
          <w:sz w:val="44"/>
          <w:szCs w:val="44"/>
        </w:rPr>
      </w:pPr>
    </w:p>
    <w:p>
      <w:pPr>
        <w:widowControl/>
        <w:jc w:val="left"/>
        <w:rPr>
          <w:rFonts w:ascii="宋体" w:hAnsi="宋体"/>
          <w:b/>
          <w:color w:val="181717" w:themeColor="background2" w:themeShade="1A"/>
          <w:kern w:val="0"/>
          <w:sz w:val="44"/>
          <w:szCs w:val="44"/>
        </w:rPr>
      </w:pPr>
    </w:p>
    <w:p>
      <w:pPr>
        <w:widowControl/>
        <w:jc w:val="left"/>
        <w:rPr>
          <w:rFonts w:ascii="宋体" w:hAnsi="宋体"/>
          <w:b/>
          <w:color w:val="181717" w:themeColor="background2" w:themeShade="1A"/>
          <w:kern w:val="0"/>
          <w:sz w:val="44"/>
          <w:szCs w:val="44"/>
        </w:rPr>
      </w:pPr>
    </w:p>
    <w:p>
      <w:pPr>
        <w:widowControl/>
        <w:jc w:val="left"/>
        <w:rPr>
          <w:rFonts w:ascii="宋体" w:hAnsi="宋体"/>
          <w:b/>
          <w:color w:val="181717" w:themeColor="background2" w:themeShade="1A"/>
          <w:kern w:val="0"/>
          <w:sz w:val="44"/>
          <w:szCs w:val="44"/>
        </w:rPr>
      </w:pPr>
    </w:p>
    <w:p>
      <w:pPr>
        <w:widowControl/>
        <w:spacing w:line="500" w:lineRule="exact"/>
        <w:jc w:val="center"/>
        <w:outlineLvl w:val="1"/>
        <w:rPr>
          <w:rFonts w:ascii="黑体" w:hAnsi="黑体" w:eastAsia="黑体"/>
          <w:color w:val="181717" w:themeColor="background2" w:themeShade="1A"/>
          <w:kern w:val="0"/>
          <w:sz w:val="44"/>
          <w:szCs w:val="44"/>
        </w:rPr>
      </w:pPr>
      <w:r>
        <w:rPr>
          <w:rFonts w:hint="eastAsia" w:ascii="黑体" w:hAnsi="黑体" w:eastAsia="黑体"/>
          <w:color w:val="181717" w:themeColor="background2" w:themeShade="1A"/>
          <w:kern w:val="0"/>
          <w:sz w:val="44"/>
          <w:szCs w:val="44"/>
        </w:rPr>
        <w:t>目录</w:t>
      </w:r>
    </w:p>
    <w:p>
      <w:pPr>
        <w:widowControl/>
        <w:spacing w:line="500" w:lineRule="exact"/>
        <w:jc w:val="center"/>
        <w:outlineLvl w:val="1"/>
        <w:rPr>
          <w:rFonts w:ascii="宋体" w:hAnsi="宋体"/>
          <w:b/>
          <w:color w:val="181717" w:themeColor="background2" w:themeShade="1A"/>
          <w:kern w:val="0"/>
          <w:sz w:val="44"/>
          <w:szCs w:val="44"/>
        </w:rPr>
      </w:pPr>
    </w:p>
    <w:p>
      <w:pPr>
        <w:widowControl/>
        <w:spacing w:line="560" w:lineRule="exact"/>
        <w:outlineLvl w:val="1"/>
        <w:rPr>
          <w:rFonts w:ascii="仿宋_GB2312" w:hAnsi="宋体" w:eastAsia="仿宋_GB2312"/>
          <w:b/>
          <w:color w:val="181717" w:themeColor="background2" w:themeShade="1A"/>
          <w:kern w:val="0"/>
          <w:sz w:val="32"/>
          <w:szCs w:val="32"/>
        </w:rPr>
      </w:pPr>
      <w:r>
        <w:rPr>
          <w:rFonts w:hint="eastAsia" w:ascii="仿宋_GB2312" w:hAnsi="宋体" w:eastAsia="仿宋_GB2312"/>
          <w:b/>
          <w:color w:val="181717" w:themeColor="background2" w:themeShade="1A"/>
          <w:kern w:val="0"/>
          <w:sz w:val="32"/>
          <w:szCs w:val="32"/>
        </w:rPr>
        <w:t>第一部分  乌鲁木齐市水磨沟区环卫清运队单位概况</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一、主要职能</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二、机构设置及人员情况</w:t>
      </w:r>
    </w:p>
    <w:p>
      <w:pPr>
        <w:widowControl/>
        <w:spacing w:line="560" w:lineRule="exact"/>
        <w:outlineLvl w:val="1"/>
        <w:rPr>
          <w:rFonts w:ascii="仿宋_GB2312" w:hAnsi="宋体" w:eastAsia="仿宋_GB2312"/>
          <w:b/>
          <w:color w:val="181717" w:themeColor="background2" w:themeShade="1A"/>
          <w:kern w:val="0"/>
          <w:sz w:val="32"/>
          <w:szCs w:val="32"/>
        </w:rPr>
      </w:pPr>
      <w:r>
        <w:rPr>
          <w:rFonts w:hint="eastAsia" w:ascii="仿宋_GB2312" w:hAnsi="宋体" w:eastAsia="仿宋_GB2312"/>
          <w:b/>
          <w:color w:val="181717" w:themeColor="background2" w:themeShade="1A"/>
          <w:kern w:val="0"/>
          <w:sz w:val="32"/>
          <w:szCs w:val="32"/>
        </w:rPr>
        <w:t>第二部分  2016年乌鲁木齐市水磨沟区环卫清运队预算公开表</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一、部门总体情况表</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二、部门收入总体情况表</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三、部门支出总体情况表</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四、财政拨款收支总体情况表</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五、一般公共预算支出情况表</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六、一般公共预算基本支出情况表</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七、</w:t>
      </w:r>
      <w:r>
        <w:rPr>
          <w:rFonts w:hint="eastAsia" w:ascii="仿宋_GB2312" w:hAnsi="宋体" w:eastAsia="仿宋_GB2312"/>
          <w:bCs/>
          <w:color w:val="181717" w:themeColor="background2" w:themeShade="1A"/>
          <w:kern w:val="0"/>
          <w:sz w:val="32"/>
          <w:szCs w:val="32"/>
        </w:rPr>
        <w:t>项目支出情况表</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八、一般公共预算“三公”经费支出情况表</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九、政府性基金预算支出情况表</w:t>
      </w:r>
    </w:p>
    <w:p>
      <w:pPr>
        <w:widowControl/>
        <w:spacing w:line="560" w:lineRule="exact"/>
        <w:outlineLvl w:val="1"/>
        <w:rPr>
          <w:rFonts w:ascii="仿宋_GB2312" w:hAnsi="宋体" w:eastAsia="仿宋_GB2312"/>
          <w:b/>
          <w:color w:val="181717" w:themeColor="background2" w:themeShade="1A"/>
          <w:kern w:val="0"/>
          <w:sz w:val="32"/>
          <w:szCs w:val="32"/>
        </w:rPr>
      </w:pPr>
      <w:r>
        <w:rPr>
          <w:rFonts w:hint="eastAsia" w:ascii="仿宋_GB2312" w:hAnsi="宋体" w:eastAsia="仿宋_GB2312"/>
          <w:b/>
          <w:color w:val="181717" w:themeColor="background2" w:themeShade="1A"/>
          <w:kern w:val="0"/>
          <w:sz w:val="32"/>
          <w:szCs w:val="32"/>
        </w:rPr>
        <w:t>第三部分  2016年乌鲁木齐市水磨沟区环卫清运队预算情况说明</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一、关于乌鲁木齐市水磨沟区环卫清运队2016年收支预算情况的总体说明</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二、关于乌鲁木齐市水磨沟区环卫清运队2016年收入预算情况说明</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三、关于乌鲁木齐市水磨沟区环卫清运队2016年支出预算情况说明</w:t>
      </w:r>
    </w:p>
    <w:p>
      <w:pPr>
        <w:widowControl/>
        <w:spacing w:line="560" w:lineRule="exact"/>
        <w:outlineLvl w:val="1"/>
        <w:rPr>
          <w:rFonts w:ascii="仿宋_GB2312" w:hAnsi="宋体" w:eastAsia="仿宋_GB2312"/>
          <w:bCs/>
          <w:color w:val="181717" w:themeColor="background2" w:themeShade="1A"/>
          <w:kern w:val="0"/>
          <w:sz w:val="32"/>
          <w:szCs w:val="32"/>
        </w:rPr>
      </w:pPr>
      <w:r>
        <w:rPr>
          <w:rFonts w:hint="eastAsia" w:ascii="仿宋_GB2312" w:hAnsi="宋体" w:eastAsia="仿宋_GB2312"/>
          <w:bCs/>
          <w:color w:val="181717" w:themeColor="background2" w:themeShade="1A"/>
          <w:kern w:val="0"/>
          <w:sz w:val="32"/>
          <w:szCs w:val="32"/>
        </w:rPr>
        <w:t>四、关于乌鲁木齐市水磨沟区环卫清运队2016年财政拨款收支预算情况的总体说明</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五、关于乌鲁木齐市水磨沟区环卫清运队2016年一般公共预算当年拨款情况说明</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六、关于乌鲁木齐市水磨沟区环卫清运队2016年一般公共预算基本支出情况说明</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七、关于乌鲁木齐市水磨沟区环卫清运队2016年项目支出情况说明</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八、关于乌鲁木齐市水磨沟区环卫清运队2016年一般公共预算“三公”经费预算情况说明</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九、关于乌鲁木齐市水磨沟区环卫清运队2016年政府性基金预算拨款情况说明</w:t>
      </w:r>
    </w:p>
    <w:p>
      <w:pPr>
        <w:widowControl/>
        <w:spacing w:line="560" w:lineRule="exact"/>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十、其他重要事项的情况说明</w:t>
      </w:r>
    </w:p>
    <w:p>
      <w:pPr>
        <w:widowControl/>
        <w:spacing w:line="560" w:lineRule="exact"/>
        <w:outlineLvl w:val="1"/>
        <w:rPr>
          <w:rFonts w:ascii="仿宋_GB2312" w:hAnsi="宋体" w:eastAsia="仿宋_GB2312"/>
          <w:b/>
          <w:color w:val="181717" w:themeColor="background2" w:themeShade="1A"/>
          <w:kern w:val="0"/>
          <w:sz w:val="32"/>
          <w:szCs w:val="32"/>
        </w:rPr>
      </w:pPr>
      <w:r>
        <w:rPr>
          <w:rFonts w:hint="eastAsia" w:ascii="仿宋_GB2312" w:hAnsi="宋体" w:eastAsia="仿宋_GB2312"/>
          <w:b/>
          <w:color w:val="181717" w:themeColor="background2" w:themeShade="1A"/>
          <w:kern w:val="0"/>
          <w:sz w:val="32"/>
          <w:szCs w:val="32"/>
        </w:rPr>
        <w:t>第四部分  名词解释</w:t>
      </w:r>
    </w:p>
    <w:p>
      <w:pPr>
        <w:widowControl/>
        <w:jc w:val="left"/>
        <w:rPr>
          <w:rFonts w:ascii="仿宋_GB2312" w:hAnsi="宋体" w:eastAsia="仿宋_GB2312"/>
          <w:b/>
          <w:color w:val="181717" w:themeColor="background2" w:themeShade="1A"/>
          <w:kern w:val="0"/>
          <w:sz w:val="32"/>
          <w:szCs w:val="32"/>
        </w:rPr>
      </w:pPr>
    </w:p>
    <w:p>
      <w:pPr>
        <w:widowControl/>
        <w:jc w:val="left"/>
        <w:rPr>
          <w:rFonts w:ascii="仿宋_GB2312" w:hAnsi="宋体" w:eastAsia="仿宋_GB2312"/>
          <w:b/>
          <w:color w:val="181717" w:themeColor="background2" w:themeShade="1A"/>
          <w:kern w:val="0"/>
          <w:sz w:val="32"/>
          <w:szCs w:val="32"/>
        </w:rPr>
      </w:pPr>
    </w:p>
    <w:p>
      <w:pPr>
        <w:widowControl/>
        <w:jc w:val="left"/>
        <w:rPr>
          <w:rFonts w:ascii="仿宋_GB2312" w:hAnsi="宋体" w:eastAsia="仿宋_GB2312"/>
          <w:b/>
          <w:color w:val="181717" w:themeColor="background2" w:themeShade="1A"/>
          <w:kern w:val="0"/>
          <w:sz w:val="32"/>
          <w:szCs w:val="32"/>
        </w:rPr>
      </w:pPr>
    </w:p>
    <w:p>
      <w:pPr>
        <w:widowControl/>
        <w:jc w:val="left"/>
        <w:rPr>
          <w:rFonts w:ascii="仿宋_GB2312" w:hAnsi="宋体" w:eastAsia="仿宋_GB2312"/>
          <w:b/>
          <w:color w:val="181717" w:themeColor="background2" w:themeShade="1A"/>
          <w:kern w:val="0"/>
          <w:sz w:val="32"/>
          <w:szCs w:val="32"/>
        </w:rPr>
      </w:pPr>
    </w:p>
    <w:p>
      <w:pPr>
        <w:widowControl/>
        <w:jc w:val="left"/>
        <w:rPr>
          <w:rFonts w:ascii="仿宋_GB2312" w:hAnsi="宋体" w:eastAsia="仿宋_GB2312"/>
          <w:b/>
          <w:color w:val="181717" w:themeColor="background2" w:themeShade="1A"/>
          <w:kern w:val="0"/>
          <w:sz w:val="32"/>
          <w:szCs w:val="32"/>
        </w:rPr>
      </w:pPr>
    </w:p>
    <w:p>
      <w:pPr>
        <w:widowControl/>
        <w:jc w:val="left"/>
        <w:rPr>
          <w:rFonts w:ascii="仿宋_GB2312" w:hAnsi="宋体" w:eastAsia="仿宋_GB2312"/>
          <w:b/>
          <w:color w:val="181717" w:themeColor="background2" w:themeShade="1A"/>
          <w:kern w:val="0"/>
          <w:sz w:val="32"/>
          <w:szCs w:val="32"/>
        </w:rPr>
      </w:pPr>
    </w:p>
    <w:p>
      <w:pPr>
        <w:widowControl/>
        <w:jc w:val="left"/>
        <w:rPr>
          <w:rFonts w:ascii="仿宋_GB2312" w:hAnsi="宋体" w:eastAsia="仿宋_GB2312"/>
          <w:b/>
          <w:color w:val="181717" w:themeColor="background2" w:themeShade="1A"/>
          <w:kern w:val="0"/>
          <w:sz w:val="32"/>
          <w:szCs w:val="32"/>
        </w:rPr>
      </w:pPr>
    </w:p>
    <w:p>
      <w:pPr>
        <w:widowControl/>
        <w:jc w:val="left"/>
        <w:rPr>
          <w:rFonts w:ascii="仿宋_GB2312" w:hAnsi="宋体" w:eastAsia="仿宋_GB2312"/>
          <w:b/>
          <w:color w:val="181717" w:themeColor="background2" w:themeShade="1A"/>
          <w:kern w:val="0"/>
          <w:sz w:val="32"/>
          <w:szCs w:val="32"/>
        </w:rPr>
      </w:pPr>
    </w:p>
    <w:p>
      <w:pPr>
        <w:widowControl/>
        <w:jc w:val="left"/>
        <w:rPr>
          <w:rFonts w:ascii="仿宋_GB2312" w:hAnsi="宋体" w:eastAsia="仿宋_GB2312"/>
          <w:b/>
          <w:color w:val="181717" w:themeColor="background2" w:themeShade="1A"/>
          <w:kern w:val="0"/>
          <w:sz w:val="32"/>
          <w:szCs w:val="32"/>
        </w:rPr>
      </w:pPr>
    </w:p>
    <w:p>
      <w:pPr>
        <w:widowControl/>
        <w:jc w:val="left"/>
        <w:rPr>
          <w:rFonts w:ascii="仿宋_GB2312" w:hAnsi="宋体" w:eastAsia="仿宋_GB2312"/>
          <w:b/>
          <w:color w:val="181717" w:themeColor="background2" w:themeShade="1A"/>
          <w:kern w:val="0"/>
          <w:sz w:val="32"/>
          <w:szCs w:val="32"/>
        </w:rPr>
      </w:pPr>
    </w:p>
    <w:p>
      <w:pPr>
        <w:widowControl/>
        <w:jc w:val="left"/>
        <w:rPr>
          <w:rFonts w:ascii="仿宋_GB2312" w:hAnsi="宋体" w:eastAsia="仿宋_GB2312"/>
          <w:b/>
          <w:color w:val="181717" w:themeColor="background2" w:themeShade="1A"/>
          <w:kern w:val="0"/>
          <w:sz w:val="32"/>
          <w:szCs w:val="32"/>
        </w:rPr>
      </w:pPr>
    </w:p>
    <w:p>
      <w:pPr>
        <w:widowControl/>
        <w:jc w:val="center"/>
        <w:outlineLvl w:val="1"/>
        <w:rPr>
          <w:rFonts w:ascii="黑体" w:hAnsi="黑体" w:eastAsia="黑体"/>
          <w:color w:val="181717" w:themeColor="background2" w:themeShade="1A"/>
          <w:kern w:val="0"/>
          <w:sz w:val="32"/>
          <w:szCs w:val="32"/>
        </w:rPr>
      </w:pPr>
      <w:r>
        <w:rPr>
          <w:rFonts w:hint="eastAsia" w:ascii="黑体" w:hAnsi="黑体" w:eastAsia="黑体"/>
          <w:color w:val="181717" w:themeColor="background2" w:themeShade="1A"/>
          <w:kern w:val="0"/>
          <w:sz w:val="32"/>
          <w:szCs w:val="32"/>
        </w:rPr>
        <w:t>第一部分  乌鲁木齐市水磨沟区环卫清运队单位概况</w:t>
      </w:r>
    </w:p>
    <w:p>
      <w:pPr>
        <w:widowControl/>
        <w:jc w:val="center"/>
        <w:outlineLvl w:val="1"/>
        <w:rPr>
          <w:rFonts w:ascii="宋体" w:hAnsi="宋体"/>
          <w:b/>
          <w:color w:val="181717" w:themeColor="background2" w:themeShade="1A"/>
          <w:kern w:val="0"/>
          <w:sz w:val="32"/>
          <w:szCs w:val="32"/>
        </w:rPr>
      </w:pPr>
    </w:p>
    <w:p>
      <w:pPr>
        <w:widowControl/>
        <w:spacing w:line="560" w:lineRule="exact"/>
        <w:jc w:val="left"/>
        <w:rPr>
          <w:rFonts w:ascii="黑体" w:hAnsi="黑体" w:eastAsia="黑体" w:cs="宋体"/>
          <w:bCs/>
          <w:color w:val="181717" w:themeColor="background2" w:themeShade="1A"/>
          <w:kern w:val="0"/>
          <w:sz w:val="32"/>
          <w:szCs w:val="32"/>
        </w:rPr>
      </w:pPr>
      <w:r>
        <w:rPr>
          <w:rFonts w:hint="eastAsia" w:ascii="黑体" w:hAnsi="黑体" w:eastAsia="黑体" w:cs="宋体"/>
          <w:bCs/>
          <w:color w:val="181717" w:themeColor="background2" w:themeShade="1A"/>
          <w:kern w:val="0"/>
          <w:sz w:val="32"/>
          <w:szCs w:val="32"/>
        </w:rPr>
        <w:t>一、主要职能</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（一）承担辖区权限内主次干道、巷道的机械化清扫保洁、洒水降尘作业及冬季冰雪清运作业。</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（二）承担辖区生活垃圾的收集、清运工作</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（三）承担环卫特种设施的维修维护工作。</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（四）承担突发性、临时性应急抢险任务。</w:t>
      </w:r>
    </w:p>
    <w:p>
      <w:pPr>
        <w:widowControl/>
        <w:spacing w:line="560" w:lineRule="exact"/>
        <w:jc w:val="left"/>
        <w:rPr>
          <w:rFonts w:ascii="黑体" w:hAnsi="黑体" w:eastAsia="黑体" w:cs="宋体"/>
          <w:color w:val="181717" w:themeColor="background2" w:themeShade="1A"/>
          <w:kern w:val="0"/>
          <w:sz w:val="32"/>
          <w:szCs w:val="32"/>
        </w:rPr>
      </w:pPr>
      <w:r>
        <w:rPr>
          <w:rFonts w:hint="eastAsia" w:ascii="黑体" w:hAnsi="黑体" w:eastAsia="黑体" w:cs="宋体"/>
          <w:color w:val="181717" w:themeColor="background2" w:themeShade="1A"/>
          <w:kern w:val="0"/>
          <w:sz w:val="32"/>
          <w:szCs w:val="32"/>
        </w:rPr>
        <w:t>二、机构设置及人员情况</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根据职责，纳入新疆乌鲁木齐市水磨沟区环卫清运队</w:t>
      </w:r>
      <w:r>
        <w:rPr>
          <w:rFonts w:cs="宋体" w:asciiTheme="minorEastAsia" w:hAnsiTheme="minorEastAsia" w:eastAsiaTheme="minorEastAsia"/>
          <w:color w:val="181717" w:themeColor="background2" w:themeShade="1A"/>
          <w:kern w:val="0"/>
          <w:sz w:val="28"/>
          <w:szCs w:val="28"/>
        </w:rPr>
        <w:t>201</w:t>
      </w:r>
      <w:r>
        <w:rPr>
          <w:rFonts w:hint="eastAsia" w:cs="宋体" w:asciiTheme="minorEastAsia" w:hAnsiTheme="minorEastAsia" w:eastAsiaTheme="minorEastAsia"/>
          <w:color w:val="181717" w:themeColor="background2" w:themeShade="1A"/>
          <w:kern w:val="0"/>
          <w:sz w:val="28"/>
          <w:szCs w:val="28"/>
        </w:rPr>
        <w:t>6年部门决算编制范围的有1个机构。</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新疆乌鲁木齐市水磨沟区环卫清运队编制人数59人，59名(管理岗位3个,专业技术岗位16个,工勤岗位43个),其中:领导职数3名(队领导占管理岗位)。定经费形式为全额预算管理。</w:t>
      </w:r>
    </w:p>
    <w:p>
      <w:pPr>
        <w:widowControl/>
        <w:spacing w:line="560" w:lineRule="exact"/>
        <w:ind w:firstLine="560" w:firstLineChars="200"/>
        <w:jc w:val="left"/>
        <w:rPr>
          <w:rFonts w:cs="宋体" w:asciiTheme="minorEastAsia" w:hAnsiTheme="minorEastAsia" w:eastAsiaTheme="minorEastAsia"/>
          <w:color w:val="181717" w:themeColor="background2" w:themeShade="1A"/>
          <w:sz w:val="28"/>
          <w:szCs w:val="28"/>
          <w:shd w:val="clear" w:color="auto" w:fill="FFFFFF"/>
        </w:rPr>
        <w:sectPr>
          <w:footerReference r:id="rId3" w:type="default"/>
          <w:pgSz w:w="11906" w:h="16838"/>
          <w:pgMar w:top="2098" w:right="1418" w:bottom="1928" w:left="1588" w:header="851" w:footer="992" w:gutter="0"/>
          <w:pgNumType w:fmt="numberInDash"/>
          <w:cols w:space="720" w:num="1"/>
          <w:docGrid w:linePitch="312" w:charSpace="0"/>
        </w:sectPr>
      </w:pPr>
      <w:r>
        <w:rPr>
          <w:rFonts w:hint="eastAsia" w:cs="宋体" w:asciiTheme="minorEastAsia" w:hAnsiTheme="minorEastAsia" w:eastAsiaTheme="minorEastAsia"/>
          <w:color w:val="181717" w:themeColor="background2" w:themeShade="1A"/>
          <w:kern w:val="0"/>
          <w:sz w:val="28"/>
          <w:szCs w:val="28"/>
        </w:rPr>
        <w:t>新疆乌鲁木齐市水磨沟区环卫清运队实有在职人数54人，其中：管理岗位9人，专业技术岗位5人，工勤岗位40人。</w:t>
      </w:r>
    </w:p>
    <w:p>
      <w:pPr>
        <w:widowControl/>
        <w:spacing w:beforeLines="50"/>
        <w:outlineLvl w:val="1"/>
        <w:rPr>
          <w:rFonts w:ascii="黑体" w:hAnsi="黑体" w:eastAsia="黑体"/>
          <w:color w:val="181717" w:themeColor="background2" w:themeShade="1A"/>
          <w:kern w:val="0"/>
          <w:sz w:val="32"/>
          <w:szCs w:val="32"/>
        </w:rPr>
      </w:pPr>
      <w:r>
        <w:rPr>
          <w:rFonts w:hint="eastAsia" w:ascii="黑体" w:hAnsi="黑体" w:eastAsia="黑体"/>
          <w:color w:val="181717" w:themeColor="background2" w:themeShade="1A"/>
          <w:kern w:val="0"/>
          <w:sz w:val="32"/>
          <w:szCs w:val="32"/>
        </w:rPr>
        <w:t>第二部分  2016年乌鲁木齐市水磨沟区环卫清运队预算公开表</w:t>
      </w:r>
    </w:p>
    <w:p>
      <w:pPr>
        <w:widowControl/>
        <w:spacing w:beforeLines="50"/>
        <w:outlineLvl w:val="1"/>
        <w:rPr>
          <w:rFonts w:ascii="仿宋_GB2312" w:hAnsi="宋体" w:eastAsia="仿宋_GB2312"/>
          <w:b/>
          <w:color w:val="181717" w:themeColor="background2" w:themeShade="1A"/>
          <w:kern w:val="0"/>
          <w:sz w:val="32"/>
          <w:szCs w:val="32"/>
        </w:rPr>
      </w:pPr>
      <w:r>
        <w:rPr>
          <w:rFonts w:hint="eastAsia" w:ascii="仿宋_GB2312" w:hAnsi="宋体" w:eastAsia="仿宋_GB2312"/>
          <w:b/>
          <w:color w:val="181717" w:themeColor="background2" w:themeShade="1A"/>
          <w:kern w:val="0"/>
          <w:sz w:val="32"/>
          <w:szCs w:val="32"/>
        </w:rPr>
        <w:t>表一：</w:t>
      </w:r>
    </w:p>
    <w:p>
      <w:pPr>
        <w:widowControl/>
        <w:jc w:val="center"/>
        <w:outlineLvl w:val="1"/>
        <w:rPr>
          <w:rFonts w:ascii="仿宋_GB2312" w:hAnsi="宋体" w:eastAsia="仿宋_GB2312"/>
          <w:b/>
          <w:color w:val="181717" w:themeColor="background2" w:themeShade="1A"/>
          <w:kern w:val="0"/>
          <w:sz w:val="32"/>
          <w:szCs w:val="32"/>
        </w:rPr>
      </w:pPr>
      <w:r>
        <w:rPr>
          <w:rFonts w:hint="eastAsia" w:ascii="仿宋_GB2312" w:hAnsi="宋体" w:eastAsia="仿宋_GB2312"/>
          <w:b/>
          <w:color w:val="181717" w:themeColor="background2" w:themeShade="1A"/>
          <w:kern w:val="0"/>
          <w:sz w:val="32"/>
          <w:szCs w:val="32"/>
        </w:rPr>
        <w:t>乌鲁木齐市水磨沟区环卫清运队收支总体情况表</w:t>
      </w:r>
    </w:p>
    <w:p>
      <w:pPr>
        <w:widowControl/>
        <w:outlineLvl w:val="1"/>
        <w:rPr>
          <w:rFonts w:ascii="仿宋_GB2312" w:hAnsi="宋体" w:eastAsia="仿宋_GB2312"/>
          <w:color w:val="181717" w:themeColor="background2" w:themeShade="1A"/>
          <w:kern w:val="0"/>
          <w:sz w:val="24"/>
        </w:rPr>
      </w:pPr>
      <w:r>
        <w:rPr>
          <w:rFonts w:hint="eastAsia" w:ascii="仿宋_GB2312" w:hAnsi="宋体" w:eastAsia="仿宋_GB2312"/>
          <w:color w:val="181717" w:themeColor="background2" w:themeShade="1A"/>
          <w:kern w:val="0"/>
          <w:sz w:val="24"/>
        </w:rPr>
        <w:t>编制单位：                                                  单位：万元</w:t>
      </w:r>
    </w:p>
    <w:tbl>
      <w:tblPr>
        <w:tblStyle w:val="10"/>
        <w:tblW w:w="8662" w:type="dxa"/>
        <w:tblInd w:w="0" w:type="dxa"/>
        <w:tblLayout w:type="fixed"/>
        <w:tblCellMar>
          <w:top w:w="0" w:type="dxa"/>
          <w:left w:w="108" w:type="dxa"/>
          <w:bottom w:w="0" w:type="dxa"/>
          <w:right w:w="108" w:type="dxa"/>
        </w:tblCellMar>
      </w:tblPr>
      <w:tblGrid>
        <w:gridCol w:w="2280"/>
        <w:gridCol w:w="1988"/>
        <w:gridCol w:w="2693"/>
        <w:gridCol w:w="1701"/>
      </w:tblGrid>
      <w:tr>
        <w:tblPrEx>
          <w:tblLayout w:type="fixed"/>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收     入</w:t>
            </w:r>
          </w:p>
        </w:tc>
        <w:tc>
          <w:tcPr>
            <w:tcW w:w="4394"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81717" w:themeColor="background2" w:themeShade="1A"/>
                <w:kern w:val="0"/>
                <w:sz w:val="18"/>
                <w:szCs w:val="18"/>
              </w:rPr>
            </w:pPr>
            <w:r>
              <w:rPr>
                <w:rFonts w:hint="eastAsia" w:ascii="仿宋_GB2312" w:hAnsi="宋体" w:eastAsia="仿宋_GB2312" w:cs="宋体"/>
                <w:b/>
                <w:color w:val="181717" w:themeColor="background2" w:themeShade="1A"/>
                <w:kern w:val="0"/>
                <w:sz w:val="18"/>
                <w:szCs w:val="18"/>
              </w:rPr>
              <w:t>项     目</w:t>
            </w: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81717" w:themeColor="background2" w:themeShade="1A"/>
                <w:kern w:val="0"/>
                <w:sz w:val="18"/>
                <w:szCs w:val="18"/>
              </w:rPr>
            </w:pPr>
            <w:r>
              <w:rPr>
                <w:rFonts w:hint="eastAsia" w:ascii="仿宋_GB2312" w:hAnsi="宋体" w:eastAsia="仿宋_GB2312" w:cs="宋体"/>
                <w:b/>
                <w:color w:val="181717" w:themeColor="background2" w:themeShade="1A"/>
                <w:kern w:val="0"/>
                <w:sz w:val="18"/>
                <w:szCs w:val="18"/>
              </w:rPr>
              <w:t>预算数</w:t>
            </w:r>
          </w:p>
        </w:tc>
        <w:tc>
          <w:tcPr>
            <w:tcW w:w="2693"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81717" w:themeColor="background2" w:themeShade="1A"/>
                <w:kern w:val="0"/>
                <w:sz w:val="18"/>
                <w:szCs w:val="18"/>
              </w:rPr>
            </w:pPr>
            <w:r>
              <w:rPr>
                <w:rFonts w:hint="eastAsia" w:ascii="仿宋_GB2312" w:hAnsi="宋体" w:eastAsia="仿宋_GB2312" w:cs="宋体"/>
                <w:b/>
                <w:color w:val="18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exact"/>
              <w:jc w:val="center"/>
              <w:rPr>
                <w:rFonts w:ascii="仿宋_GB2312" w:hAnsi="宋体" w:eastAsia="仿宋_GB2312" w:cs="宋体"/>
                <w:b/>
                <w:color w:val="181717" w:themeColor="background2" w:themeShade="1A"/>
                <w:kern w:val="0"/>
                <w:sz w:val="18"/>
                <w:szCs w:val="18"/>
              </w:rPr>
            </w:pPr>
            <w:r>
              <w:rPr>
                <w:rFonts w:hint="eastAsia" w:ascii="仿宋_GB2312" w:hAnsi="宋体" w:eastAsia="仿宋_GB2312" w:cs="宋体"/>
                <w:b/>
                <w:color w:val="18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财政拨款（补助）</w:t>
            </w:r>
          </w:p>
        </w:tc>
        <w:tc>
          <w:tcPr>
            <w:tcW w:w="1988" w:type="dxa"/>
            <w:tcBorders>
              <w:top w:val="nil"/>
              <w:left w:val="nil"/>
              <w:bottom w:val="single" w:color="auto" w:sz="4" w:space="0"/>
              <w:right w:val="single" w:color="auto" w:sz="4" w:space="0"/>
            </w:tcBorders>
            <w:shd w:val="clear" w:color="auto" w:fill="auto"/>
          </w:tcPr>
          <w:p>
            <w:r>
              <w:rPr>
                <w:rFonts w:hint="eastAsia" w:ascii="仿宋_GB2312" w:hAnsi="宋体" w:eastAsia="仿宋_GB2312" w:cs="宋体"/>
                <w:color w:val="181717" w:themeColor="background2" w:themeShade="1A"/>
                <w:kern w:val="0"/>
                <w:sz w:val="18"/>
                <w:szCs w:val="18"/>
              </w:rPr>
              <w:t>1715.19</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 xml:space="preserve">    一般公共预算</w:t>
            </w:r>
          </w:p>
        </w:tc>
        <w:tc>
          <w:tcPr>
            <w:tcW w:w="1988" w:type="dxa"/>
            <w:tcBorders>
              <w:top w:val="nil"/>
              <w:left w:val="nil"/>
              <w:bottom w:val="single" w:color="auto" w:sz="4" w:space="0"/>
              <w:right w:val="single" w:color="auto" w:sz="4" w:space="0"/>
            </w:tcBorders>
            <w:shd w:val="clear" w:color="auto" w:fill="auto"/>
          </w:tcPr>
          <w:p>
            <w:r>
              <w:rPr>
                <w:rFonts w:hint="eastAsia" w:ascii="仿宋_GB2312" w:hAnsi="宋体" w:eastAsia="仿宋_GB2312" w:cs="宋体"/>
                <w:color w:val="181717" w:themeColor="background2" w:themeShade="1A"/>
                <w:kern w:val="0"/>
                <w:sz w:val="18"/>
                <w:szCs w:val="18"/>
              </w:rPr>
              <w:t>1715.19</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 xml:space="preserve">    政府性基金预算</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 xml:space="preserve">    非税收入</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其他资金</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财政预算拨款结余结转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 xml:space="preserve">    结转</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 xml:space="preserve">    结余</w:t>
            </w:r>
          </w:p>
        </w:tc>
        <w:tc>
          <w:tcPr>
            <w:tcW w:w="1988"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1715.19</w:t>
            </w:r>
          </w:p>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exact"/>
              <w:jc w:val="left"/>
              <w:rPr>
                <w:rFonts w:ascii="仿宋_GB2312" w:hAnsi="宋体" w:eastAsia="仿宋_GB2312" w:cs="宋体"/>
                <w:color w:val="181717" w:themeColor="background2" w:themeShade="1A"/>
                <w:kern w:val="0"/>
                <w:sz w:val="18"/>
                <w:szCs w:val="18"/>
              </w:rPr>
            </w:pPr>
          </w:p>
        </w:tc>
        <w:tc>
          <w:tcPr>
            <w:tcW w:w="1988" w:type="dxa"/>
            <w:tcBorders>
              <w:top w:val="nil"/>
              <w:left w:val="nil"/>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shd w:val="clear" w:color="auto" w:fill="auto"/>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收  入  总  计</w:t>
            </w:r>
          </w:p>
        </w:tc>
        <w:tc>
          <w:tcPr>
            <w:tcW w:w="1988"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1715.19</w:t>
            </w:r>
          </w:p>
        </w:tc>
        <w:tc>
          <w:tcPr>
            <w:tcW w:w="2693" w:type="dxa"/>
            <w:tcBorders>
              <w:top w:val="nil"/>
              <w:left w:val="nil"/>
              <w:bottom w:val="single" w:color="auto" w:sz="4" w:space="0"/>
              <w:right w:val="nil"/>
            </w:tcBorders>
            <w:shd w:val="clear" w:color="auto" w:fill="auto"/>
            <w:noWrap/>
            <w:vAlign w:val="center"/>
          </w:tcPr>
          <w:p>
            <w:pPr>
              <w:widowControl/>
              <w:spacing w:line="300" w:lineRule="exact"/>
              <w:jc w:val="lef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exact"/>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1715.19</w:t>
            </w:r>
          </w:p>
        </w:tc>
      </w:tr>
    </w:tbl>
    <w:p>
      <w:pPr>
        <w:widowControl/>
        <w:jc w:val="left"/>
        <w:outlineLvl w:val="1"/>
        <w:rPr>
          <w:rFonts w:ascii="仿宋_GB2312" w:hAnsi="宋体" w:eastAsia="仿宋_GB2312"/>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r>
        <w:rPr>
          <w:rFonts w:hint="eastAsia" w:ascii="仿宋_GB2312" w:hAnsi="宋体" w:eastAsia="仿宋_GB2312"/>
          <w:b/>
          <w:color w:val="181717" w:themeColor="background2" w:themeShade="1A"/>
          <w:kern w:val="0"/>
          <w:sz w:val="32"/>
          <w:szCs w:val="32"/>
        </w:rPr>
        <w:t>表二：</w:t>
      </w:r>
    </w:p>
    <w:p>
      <w:pPr>
        <w:widowControl/>
        <w:jc w:val="center"/>
        <w:outlineLvl w:val="1"/>
        <w:rPr>
          <w:rFonts w:ascii="仿宋_GB2312" w:hAnsi="宋体" w:eastAsia="仿宋_GB2312"/>
          <w:b/>
          <w:color w:val="181717" w:themeColor="background2" w:themeShade="1A"/>
          <w:kern w:val="0"/>
          <w:sz w:val="32"/>
          <w:szCs w:val="32"/>
        </w:rPr>
      </w:pPr>
      <w:r>
        <w:rPr>
          <w:rFonts w:hint="eastAsia" w:ascii="仿宋_GB2312" w:hAnsi="宋体" w:eastAsia="仿宋_GB2312"/>
          <w:b/>
          <w:color w:val="181717" w:themeColor="background2" w:themeShade="1A"/>
          <w:kern w:val="0"/>
          <w:sz w:val="32"/>
          <w:szCs w:val="32"/>
        </w:rPr>
        <w:t>乌鲁木齐市水磨沟区环卫清运队收入总体情况表</w:t>
      </w:r>
    </w:p>
    <w:p>
      <w:pPr>
        <w:widowControl/>
        <w:jc w:val="left"/>
        <w:outlineLvl w:val="1"/>
        <w:rPr>
          <w:rFonts w:ascii="仿宋_GB2312" w:hAnsi="宋体" w:eastAsia="仿宋_GB2312"/>
          <w:color w:val="181717" w:themeColor="background2" w:themeShade="1A"/>
          <w:kern w:val="0"/>
          <w:sz w:val="24"/>
        </w:rPr>
      </w:pPr>
      <w:r>
        <w:rPr>
          <w:rFonts w:hint="eastAsia" w:ascii="仿宋_GB2312" w:hAnsi="宋体" w:eastAsia="仿宋_GB2312"/>
          <w:color w:val="181717" w:themeColor="background2" w:themeShade="1A"/>
          <w:kern w:val="0"/>
          <w:sz w:val="24"/>
        </w:rPr>
        <w:t>填报单位：                                                      单位：万元</w:t>
      </w:r>
    </w:p>
    <w:tbl>
      <w:tblPr>
        <w:tblStyle w:val="10"/>
        <w:tblW w:w="8976" w:type="dxa"/>
        <w:jc w:val="center"/>
        <w:tblInd w:w="93" w:type="dxa"/>
        <w:tblLayout w:type="fixed"/>
        <w:tblCellMar>
          <w:top w:w="0" w:type="dxa"/>
          <w:left w:w="108" w:type="dxa"/>
          <w:bottom w:w="0" w:type="dxa"/>
          <w:right w:w="108" w:type="dxa"/>
        </w:tblCellMar>
      </w:tblPr>
      <w:tblGrid>
        <w:gridCol w:w="543"/>
        <w:gridCol w:w="433"/>
        <w:gridCol w:w="433"/>
        <w:gridCol w:w="1725"/>
        <w:gridCol w:w="846"/>
        <w:gridCol w:w="916"/>
        <w:gridCol w:w="680"/>
        <w:gridCol w:w="680"/>
        <w:gridCol w:w="680"/>
        <w:gridCol w:w="680"/>
        <w:gridCol w:w="680"/>
        <w:gridCol w:w="680"/>
      </w:tblGrid>
      <w:tr>
        <w:tblPrEx>
          <w:tblLayout w:type="fixed"/>
          <w:tblCellMar>
            <w:top w:w="0" w:type="dxa"/>
            <w:left w:w="108" w:type="dxa"/>
            <w:bottom w:w="0" w:type="dxa"/>
            <w:right w:w="108" w:type="dxa"/>
          </w:tblCellMar>
        </w:tblPrEx>
        <w:trPr>
          <w:trHeight w:val="510" w:hRule="atLeast"/>
          <w:jc w:val="center"/>
        </w:trPr>
        <w:tc>
          <w:tcPr>
            <w:tcW w:w="140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功能分类科目编码</w:t>
            </w:r>
          </w:p>
        </w:tc>
        <w:tc>
          <w:tcPr>
            <w:tcW w:w="17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功能分类科目名称</w:t>
            </w:r>
          </w:p>
        </w:tc>
        <w:tc>
          <w:tcPr>
            <w:tcW w:w="84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总  计</w:t>
            </w:r>
          </w:p>
        </w:tc>
        <w:tc>
          <w:tcPr>
            <w:tcW w:w="91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60" w:lineRule="exact"/>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事业单位经营收入</w:t>
            </w:r>
          </w:p>
        </w:tc>
        <w:tc>
          <w:tcPr>
            <w:tcW w:w="1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宋体" w:hAnsiTheme="minorEastAsia"/>
                <w:b/>
                <w:color w:val="181717" w:themeColor="background2" w:themeShade="1A"/>
                <w:sz w:val="18"/>
                <w:szCs w:val="18"/>
              </w:rPr>
            </w:pPr>
            <w:r>
              <w:rPr>
                <w:rFonts w:hint="eastAsia" w:ascii="仿宋_GB2312" w:eastAsia="仿宋_GB2312" w:cs="宋体" w:hAnsiTheme="minorEastAsia"/>
                <w:b/>
                <w:color w:val="181717" w:themeColor="background2" w:themeShade="1A"/>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类</w:t>
            </w:r>
          </w:p>
        </w:tc>
        <w:tc>
          <w:tcPr>
            <w:tcW w:w="433"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款</w:t>
            </w:r>
          </w:p>
        </w:tc>
        <w:tc>
          <w:tcPr>
            <w:tcW w:w="433"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s="宋体" w:hAnsiTheme="minorEastAsia"/>
                <w:b/>
                <w:color w:val="181717" w:themeColor="background2" w:themeShade="1A"/>
                <w:sz w:val="18"/>
                <w:szCs w:val="18"/>
              </w:rPr>
            </w:pPr>
            <w:r>
              <w:rPr>
                <w:rFonts w:hint="eastAsia" w:ascii="仿宋_GB2312" w:eastAsia="仿宋_GB2312" w:hAnsiTheme="minorEastAsia"/>
                <w:b/>
                <w:color w:val="181717" w:themeColor="background2" w:themeShade="1A"/>
                <w:sz w:val="18"/>
                <w:szCs w:val="18"/>
              </w:rPr>
              <w:t>项</w:t>
            </w:r>
          </w:p>
        </w:tc>
        <w:tc>
          <w:tcPr>
            <w:tcW w:w="1725"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eastAsia="仿宋_GB2312" w:cs="宋体" w:hAnsiTheme="minorEastAsia"/>
                <w:color w:val="181717" w:themeColor="background2" w:themeShade="1A"/>
                <w:sz w:val="18"/>
                <w:szCs w:val="18"/>
              </w:rPr>
            </w:pPr>
          </w:p>
        </w:tc>
        <w:tc>
          <w:tcPr>
            <w:tcW w:w="84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eastAsia="仿宋_GB2312" w:cs="宋体" w:hAnsiTheme="minorEastAsia"/>
                <w:color w:val="181717" w:themeColor="background2" w:themeShade="1A"/>
                <w:sz w:val="18"/>
                <w:szCs w:val="18"/>
              </w:rPr>
            </w:pPr>
          </w:p>
        </w:tc>
        <w:tc>
          <w:tcPr>
            <w:tcW w:w="916"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eastAsia="仿宋_GB2312" w:cs="宋体" w:hAnsiTheme="minorEastAsia"/>
                <w:color w:val="18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eastAsia="仿宋_GB2312" w:cs="宋体" w:hAnsiTheme="minorEastAsia"/>
                <w:color w:val="18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eastAsia="仿宋_GB2312" w:cs="宋体" w:hAnsiTheme="minorEastAsia"/>
                <w:color w:val="18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eastAsia="仿宋_GB2312" w:cs="宋体" w:hAnsiTheme="minorEastAsia"/>
                <w:color w:val="18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rPr>
                <w:rFonts w:ascii="仿宋_GB2312" w:eastAsia="仿宋_GB2312" w:cs="宋体" w:hAnsiTheme="minorEastAsia"/>
                <w:color w:val="181717" w:themeColor="background2" w:themeShade="1A"/>
                <w:sz w:val="18"/>
                <w:szCs w:val="18"/>
              </w:rPr>
            </w:pP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eastAsia="仿宋_GB2312" w:cs="宋体" w:hAnsiTheme="minorEastAsia"/>
                <w:b/>
                <w:color w:val="181717" w:themeColor="background2" w:themeShade="1A"/>
                <w:sz w:val="18"/>
                <w:szCs w:val="18"/>
              </w:rPr>
            </w:pPr>
            <w:r>
              <w:rPr>
                <w:rFonts w:hint="eastAsia" w:ascii="仿宋_GB2312" w:eastAsia="仿宋_GB2312" w:cs="宋体" w:hAnsiTheme="minorEastAsia"/>
                <w:b/>
                <w:color w:val="181717" w:themeColor="background2" w:themeShade="1A"/>
                <w:sz w:val="18"/>
                <w:szCs w:val="18"/>
              </w:rPr>
              <w:t>结转</w:t>
            </w:r>
          </w:p>
        </w:tc>
        <w:tc>
          <w:tcPr>
            <w:tcW w:w="680" w:type="dxa"/>
            <w:tcBorders>
              <w:top w:val="single" w:color="auto" w:sz="4" w:space="0"/>
              <w:left w:val="single" w:color="auto" w:sz="4" w:space="0"/>
              <w:bottom w:val="single" w:color="000000" w:sz="4" w:space="0"/>
              <w:right w:val="single" w:color="auto" w:sz="4" w:space="0"/>
            </w:tcBorders>
            <w:vAlign w:val="center"/>
          </w:tcPr>
          <w:p>
            <w:pPr>
              <w:rPr>
                <w:rFonts w:ascii="仿宋_GB2312" w:eastAsia="仿宋_GB2312" w:cs="宋体" w:hAnsiTheme="minorEastAsia"/>
                <w:b/>
                <w:color w:val="181717" w:themeColor="background2" w:themeShade="1A"/>
                <w:sz w:val="18"/>
                <w:szCs w:val="18"/>
              </w:rPr>
            </w:pPr>
            <w:r>
              <w:rPr>
                <w:rFonts w:hint="eastAsia" w:ascii="仿宋_GB2312" w:eastAsia="仿宋_GB2312" w:cs="宋体" w:hAnsiTheme="minorEastAsia"/>
                <w:b/>
                <w:color w:val="18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cs="宋体" w:hAnsiTheme="minorEastAsia"/>
                <w:color w:val="181717" w:themeColor="background2" w:themeShade="1A"/>
                <w:sz w:val="18"/>
                <w:szCs w:val="18"/>
              </w:rPr>
              <w:t>212</w:t>
            </w: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cs="宋体" w:hAnsiTheme="minorEastAsia"/>
                <w:color w:val="181717" w:themeColor="background2" w:themeShade="1A"/>
                <w:sz w:val="18"/>
                <w:szCs w:val="18"/>
              </w:rPr>
              <w:t>05</w:t>
            </w: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cs="宋体" w:hAnsiTheme="minorEastAsia"/>
                <w:color w:val="181717" w:themeColor="background2" w:themeShade="1A"/>
                <w:sz w:val="18"/>
                <w:szCs w:val="18"/>
              </w:rPr>
              <w:t>01</w:t>
            </w:r>
          </w:p>
        </w:tc>
        <w:tc>
          <w:tcPr>
            <w:tcW w:w="1725"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81717" w:themeColor="background2" w:themeShade="1A"/>
                <w:sz w:val="18"/>
                <w:szCs w:val="18"/>
              </w:rPr>
            </w:pPr>
            <w:r>
              <w:rPr>
                <w:rFonts w:hint="eastAsia" w:ascii="仿宋_GB2312" w:eastAsia="仿宋_GB2312" w:cs="宋体" w:hAnsiTheme="minorEastAsia"/>
                <w:color w:val="181717" w:themeColor="background2" w:themeShade="1A"/>
                <w:sz w:val="18"/>
                <w:szCs w:val="18"/>
              </w:rPr>
              <w:t>城乡社区环境卫生</w:t>
            </w:r>
          </w:p>
        </w:tc>
        <w:tc>
          <w:tcPr>
            <w:tcW w:w="846" w:type="dxa"/>
            <w:tcBorders>
              <w:top w:val="nil"/>
              <w:left w:val="nil"/>
              <w:bottom w:val="single" w:color="auto" w:sz="4" w:space="0"/>
              <w:right w:val="single" w:color="auto" w:sz="4" w:space="0"/>
            </w:tcBorders>
            <w:shd w:val="clear" w:color="000000" w:fill="FFFFFF"/>
            <w:noWrap/>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cs="宋体" w:hAnsiTheme="minorEastAsia"/>
                <w:color w:val="181717" w:themeColor="background2" w:themeShade="1A"/>
                <w:sz w:val="18"/>
                <w:szCs w:val="18"/>
              </w:rPr>
              <w:t>1015.19</w:t>
            </w:r>
          </w:p>
        </w:tc>
        <w:tc>
          <w:tcPr>
            <w:tcW w:w="916" w:type="dxa"/>
            <w:tcBorders>
              <w:top w:val="nil"/>
              <w:left w:val="nil"/>
              <w:bottom w:val="single" w:color="auto" w:sz="4" w:space="0"/>
              <w:right w:val="single" w:color="auto" w:sz="4" w:space="0"/>
            </w:tcBorders>
            <w:shd w:val="clear" w:color="000000" w:fill="FFFFFF"/>
            <w:noWrap/>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cs="宋体" w:hAnsiTheme="minorEastAsia"/>
                <w:color w:val="181717" w:themeColor="background2" w:themeShade="1A"/>
                <w:sz w:val="18"/>
                <w:szCs w:val="18"/>
              </w:rPr>
              <w:t>1015.19</w:t>
            </w: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jc w:val="right"/>
              <w:rPr>
                <w:rFonts w:ascii="仿宋_GB2312" w:eastAsia="仿宋_GB2312" w:cs="宋体" w:hAnsiTheme="minorEastAsia"/>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cs="宋体" w:hAnsiTheme="minorEastAsia"/>
                <w:color w:val="181717" w:themeColor="background2" w:themeShade="1A"/>
                <w:sz w:val="18"/>
                <w:szCs w:val="18"/>
              </w:rPr>
              <w:t>212</w:t>
            </w: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cs="宋体" w:hAnsiTheme="minorEastAsia"/>
                <w:color w:val="181717" w:themeColor="background2" w:themeShade="1A"/>
                <w:sz w:val="18"/>
                <w:szCs w:val="18"/>
              </w:rPr>
              <w:t>03</w:t>
            </w: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cs="宋体" w:hAnsiTheme="minorEastAsia"/>
                <w:color w:val="181717" w:themeColor="background2" w:themeShade="1A"/>
                <w:sz w:val="18"/>
                <w:szCs w:val="18"/>
              </w:rPr>
              <w:t>99</w:t>
            </w:r>
          </w:p>
        </w:tc>
        <w:tc>
          <w:tcPr>
            <w:tcW w:w="1725" w:type="dxa"/>
            <w:tcBorders>
              <w:top w:val="nil"/>
              <w:left w:val="nil"/>
              <w:bottom w:val="single" w:color="auto" w:sz="4" w:space="0"/>
              <w:right w:val="single" w:color="auto" w:sz="4" w:space="0"/>
            </w:tcBorders>
            <w:shd w:val="clear" w:color="auto" w:fill="auto"/>
            <w:vAlign w:val="center"/>
          </w:tcPr>
          <w:p>
            <w:pPr>
              <w:ind w:right="400"/>
              <w:rPr>
                <w:rFonts w:ascii="仿宋_GB2312" w:eastAsia="仿宋_GB2312" w:cs="宋体" w:hAnsiTheme="minorEastAsia"/>
                <w:color w:val="181717" w:themeColor="background2" w:themeShade="1A"/>
                <w:sz w:val="18"/>
                <w:szCs w:val="18"/>
              </w:rPr>
            </w:pPr>
            <w:r>
              <w:rPr>
                <w:rFonts w:hint="eastAsia" w:ascii="仿宋_GB2312" w:eastAsia="仿宋_GB2312" w:cs="宋体" w:hAnsiTheme="minorEastAsia"/>
                <w:color w:val="181717" w:themeColor="background2" w:themeShade="1A"/>
                <w:sz w:val="18"/>
                <w:szCs w:val="18"/>
              </w:rPr>
              <w:t>其他城乡社区公共设施支出</w:t>
            </w: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cs="宋体" w:hAnsiTheme="minorEastAsia"/>
                <w:color w:val="181717" w:themeColor="background2" w:themeShade="1A"/>
                <w:sz w:val="18"/>
                <w:szCs w:val="18"/>
              </w:rPr>
              <w:t>700</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cs="宋体" w:hAnsiTheme="minorEastAsia"/>
                <w:color w:val="181717" w:themeColor="background2" w:themeShade="1A"/>
                <w:sz w:val="18"/>
                <w:szCs w:val="18"/>
              </w:rPr>
              <w:t>700</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1725"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8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1725" w:type="dxa"/>
            <w:tcBorders>
              <w:top w:val="nil"/>
              <w:left w:val="nil"/>
              <w:bottom w:val="single" w:color="auto" w:sz="4" w:space="0"/>
              <w:right w:val="single" w:color="auto" w:sz="4" w:space="0"/>
            </w:tcBorders>
            <w:shd w:val="clear" w:color="auto" w:fill="auto"/>
            <w:vAlign w:val="center"/>
          </w:tcPr>
          <w:p>
            <w:pPr>
              <w:rPr>
                <w:rFonts w:ascii="仿宋_GB2312" w:eastAsia="仿宋_GB2312" w:hAnsiTheme="minorEastAsia"/>
                <w:color w:val="18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hAnsiTheme="minorEastAsia"/>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1725"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8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1725"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8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1725"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8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1725"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8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1725"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8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1725"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8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1725"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8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1725"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8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1725"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8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1725"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8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1725" w:type="dxa"/>
            <w:tcBorders>
              <w:top w:val="nil"/>
              <w:left w:val="nil"/>
              <w:bottom w:val="single" w:color="auto" w:sz="4" w:space="0"/>
              <w:right w:val="single" w:color="auto" w:sz="4" w:space="0"/>
            </w:tcBorders>
            <w:shd w:val="clear" w:color="auto" w:fill="auto"/>
            <w:vAlign w:val="center"/>
          </w:tcPr>
          <w:p>
            <w:pPr>
              <w:rPr>
                <w:rFonts w:ascii="仿宋_GB2312" w:eastAsia="仿宋_GB2312" w:cs="宋体" w:hAnsiTheme="minorEastAsia"/>
                <w:color w:val="181717" w:themeColor="background2" w:themeShade="1A"/>
                <w:sz w:val="18"/>
                <w:szCs w:val="18"/>
              </w:rPr>
            </w:pP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r>
      <w:tr>
        <w:tblPrEx>
          <w:tblLayout w:type="fixed"/>
          <w:tblCellMar>
            <w:top w:w="0" w:type="dxa"/>
            <w:left w:w="108" w:type="dxa"/>
            <w:bottom w:w="0" w:type="dxa"/>
            <w:right w:w="108" w:type="dxa"/>
          </w:tblCellMar>
        </w:tblPrEx>
        <w:trPr>
          <w:trHeight w:val="465" w:hRule="atLeast"/>
          <w:jc w:val="center"/>
        </w:trPr>
        <w:tc>
          <w:tcPr>
            <w:tcW w:w="543"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433"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1725" w:type="dxa"/>
            <w:tcBorders>
              <w:top w:val="nil"/>
              <w:left w:val="nil"/>
              <w:bottom w:val="single" w:color="auto" w:sz="4" w:space="0"/>
              <w:right w:val="single" w:color="auto" w:sz="4" w:space="0"/>
            </w:tcBorders>
            <w:shd w:val="clear" w:color="auto" w:fill="auto"/>
            <w:vAlign w:val="center"/>
          </w:tcPr>
          <w:p>
            <w:pPr>
              <w:jc w:val="center"/>
              <w:rPr>
                <w:rFonts w:ascii="仿宋_GB2312" w:eastAsia="仿宋_GB2312" w:cs="宋体" w:hAnsiTheme="minorEastAsia"/>
                <w:color w:val="181717" w:themeColor="background2" w:themeShade="1A"/>
                <w:sz w:val="18"/>
                <w:szCs w:val="18"/>
              </w:rPr>
            </w:pPr>
            <w:r>
              <w:rPr>
                <w:rFonts w:hint="eastAsia" w:ascii="仿宋_GB2312" w:eastAsia="仿宋_GB2312" w:hAnsiTheme="minorEastAsia"/>
                <w:color w:val="181717" w:themeColor="background2" w:themeShade="1A"/>
                <w:sz w:val="18"/>
                <w:szCs w:val="18"/>
              </w:rPr>
              <w:t>合计</w:t>
            </w:r>
          </w:p>
        </w:tc>
        <w:tc>
          <w:tcPr>
            <w:tcW w:w="84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cs="宋体" w:hAnsiTheme="minorEastAsia"/>
                <w:color w:val="181717" w:themeColor="background2" w:themeShade="1A"/>
                <w:kern w:val="0"/>
                <w:sz w:val="18"/>
                <w:szCs w:val="18"/>
              </w:rPr>
              <w:t>1715.19</w:t>
            </w:r>
          </w:p>
        </w:tc>
        <w:tc>
          <w:tcPr>
            <w:tcW w:w="916"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r>
              <w:rPr>
                <w:rFonts w:hint="eastAsia" w:ascii="仿宋_GB2312" w:eastAsia="仿宋_GB2312" w:cs="宋体" w:hAnsiTheme="minorEastAsia"/>
                <w:color w:val="181717" w:themeColor="background2" w:themeShade="1A"/>
                <w:kern w:val="0"/>
                <w:sz w:val="18"/>
                <w:szCs w:val="18"/>
              </w:rPr>
              <w:t>1715.19</w:t>
            </w: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s="宋体" w:hAnsiTheme="minorEastAsia"/>
                <w:color w:val="181717" w:themeColor="background2" w:themeShade="1A"/>
                <w:sz w:val="18"/>
                <w:szCs w:val="18"/>
              </w:rPr>
            </w:pPr>
          </w:p>
        </w:tc>
      </w:tr>
    </w:tbl>
    <w:p>
      <w:pPr>
        <w:widowControl/>
        <w:outlineLvl w:val="1"/>
        <w:rPr>
          <w:rFonts w:ascii="仿宋_GB2312" w:hAnsi="宋体" w:eastAsia="仿宋_GB2312"/>
          <w:color w:val="181717" w:themeColor="background2" w:themeShade="1A"/>
          <w:kern w:val="0"/>
          <w:sz w:val="28"/>
          <w:szCs w:val="28"/>
        </w:rPr>
      </w:pPr>
    </w:p>
    <w:p>
      <w:pPr>
        <w:widowControl/>
        <w:outlineLvl w:val="1"/>
        <w:rPr>
          <w:rFonts w:ascii="仿宋_GB2312" w:hAnsi="宋体" w:eastAsia="仿宋_GB2312"/>
          <w:color w:val="181717" w:themeColor="background2" w:themeShade="1A"/>
          <w:kern w:val="0"/>
          <w:sz w:val="28"/>
          <w:szCs w:val="28"/>
        </w:rPr>
      </w:pPr>
    </w:p>
    <w:p>
      <w:pPr>
        <w:widowControl/>
        <w:outlineLvl w:val="1"/>
        <w:rPr>
          <w:rFonts w:ascii="仿宋_GB2312" w:hAnsi="宋体" w:eastAsia="仿宋_GB2312"/>
          <w:color w:val="181717" w:themeColor="background2" w:themeShade="1A"/>
          <w:kern w:val="0"/>
          <w:sz w:val="28"/>
          <w:szCs w:val="28"/>
        </w:rPr>
      </w:pPr>
    </w:p>
    <w:p>
      <w:pPr>
        <w:widowControl/>
        <w:outlineLvl w:val="1"/>
        <w:rPr>
          <w:rFonts w:ascii="仿宋_GB2312" w:hAnsi="宋体" w:eastAsia="仿宋_GB2312"/>
          <w:color w:val="181717" w:themeColor="background2" w:themeShade="1A"/>
          <w:kern w:val="0"/>
          <w:sz w:val="28"/>
          <w:szCs w:val="28"/>
        </w:rPr>
      </w:pPr>
    </w:p>
    <w:p>
      <w:pPr>
        <w:widowControl/>
        <w:outlineLvl w:val="1"/>
        <w:rPr>
          <w:rFonts w:ascii="仿宋_GB2312" w:hAnsi="宋体" w:eastAsia="仿宋_GB2312"/>
          <w:color w:val="181717" w:themeColor="background2" w:themeShade="1A"/>
          <w:kern w:val="0"/>
          <w:sz w:val="28"/>
          <w:szCs w:val="28"/>
        </w:rPr>
      </w:pPr>
      <w:r>
        <w:rPr>
          <w:rFonts w:hint="eastAsia" w:ascii="仿宋_GB2312" w:hAnsi="宋体" w:eastAsia="仿宋_GB2312"/>
          <w:b/>
          <w:color w:val="181717" w:themeColor="background2" w:themeShade="1A"/>
          <w:kern w:val="0"/>
          <w:sz w:val="32"/>
          <w:szCs w:val="32"/>
        </w:rPr>
        <w:t>表三</w:t>
      </w:r>
      <w:r>
        <w:rPr>
          <w:rFonts w:hint="eastAsia" w:ascii="仿宋_GB2312" w:hAnsi="宋体" w:eastAsia="仿宋_GB2312"/>
          <w:color w:val="181717" w:themeColor="background2" w:themeShade="1A"/>
          <w:kern w:val="0"/>
          <w:sz w:val="28"/>
          <w:szCs w:val="28"/>
        </w:rPr>
        <w:t>：</w:t>
      </w:r>
    </w:p>
    <w:p>
      <w:pPr>
        <w:widowControl/>
        <w:jc w:val="center"/>
        <w:outlineLvl w:val="1"/>
        <w:rPr>
          <w:rFonts w:ascii="仿宋_GB2312" w:hAnsi="宋体" w:eastAsia="仿宋_GB2312"/>
          <w:b/>
          <w:color w:val="181717" w:themeColor="background2" w:themeShade="1A"/>
          <w:kern w:val="0"/>
          <w:sz w:val="32"/>
          <w:szCs w:val="32"/>
        </w:rPr>
      </w:pPr>
      <w:r>
        <w:rPr>
          <w:rFonts w:hint="eastAsia" w:ascii="仿宋_GB2312" w:hAnsi="宋体" w:eastAsia="仿宋_GB2312"/>
          <w:b/>
          <w:color w:val="181717" w:themeColor="background2" w:themeShade="1A"/>
          <w:kern w:val="0"/>
          <w:sz w:val="32"/>
          <w:szCs w:val="32"/>
        </w:rPr>
        <w:t>乌鲁木齐市水磨沟区环卫清运队支出总体情况表</w:t>
      </w:r>
    </w:p>
    <w:p>
      <w:pPr>
        <w:widowControl/>
        <w:jc w:val="left"/>
        <w:outlineLvl w:val="1"/>
        <w:rPr>
          <w:rFonts w:ascii="仿宋_GB2312" w:hAnsi="宋体" w:eastAsia="仿宋_GB2312"/>
          <w:color w:val="181717" w:themeColor="background2" w:themeShade="1A"/>
          <w:kern w:val="0"/>
          <w:sz w:val="24"/>
        </w:rPr>
      </w:pPr>
      <w:r>
        <w:rPr>
          <w:rFonts w:hint="eastAsia" w:ascii="仿宋_GB2312" w:hAnsi="宋体" w:eastAsia="仿宋_GB2312"/>
          <w:color w:val="181717" w:themeColor="background2" w:themeShade="1A"/>
          <w:kern w:val="0"/>
          <w:sz w:val="24"/>
        </w:rPr>
        <w:t>编制单位：                                                       单位：万元</w:t>
      </w:r>
    </w:p>
    <w:tbl>
      <w:tblPr>
        <w:tblStyle w:val="10"/>
        <w:tblW w:w="9229" w:type="dxa"/>
        <w:jc w:val="center"/>
        <w:tblInd w:w="0" w:type="dxa"/>
        <w:tblLayout w:type="fixed"/>
        <w:tblCellMar>
          <w:top w:w="0" w:type="dxa"/>
          <w:left w:w="108" w:type="dxa"/>
          <w:bottom w:w="0" w:type="dxa"/>
          <w:right w:w="108" w:type="dxa"/>
        </w:tblCellMar>
      </w:tblPr>
      <w:tblGrid>
        <w:gridCol w:w="546"/>
        <w:gridCol w:w="436"/>
        <w:gridCol w:w="436"/>
        <w:gridCol w:w="2405"/>
        <w:gridCol w:w="1923"/>
        <w:gridCol w:w="1810"/>
        <w:gridCol w:w="1673"/>
      </w:tblGrid>
      <w:tr>
        <w:tblPrEx>
          <w:tblLayout w:type="fixed"/>
          <w:tblCellMar>
            <w:top w:w="0" w:type="dxa"/>
            <w:left w:w="108" w:type="dxa"/>
            <w:bottom w:w="0" w:type="dxa"/>
            <w:right w:w="108" w:type="dxa"/>
          </w:tblCellMar>
        </w:tblPrEx>
        <w:trPr>
          <w:trHeight w:val="345" w:hRule="atLeast"/>
          <w:jc w:val="center"/>
        </w:trPr>
        <w:tc>
          <w:tcPr>
            <w:tcW w:w="3823"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项目</w:t>
            </w:r>
          </w:p>
        </w:tc>
        <w:tc>
          <w:tcPr>
            <w:tcW w:w="540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jc w:val="center"/>
        </w:trPr>
        <w:tc>
          <w:tcPr>
            <w:tcW w:w="141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功能分类科目编码</w:t>
            </w:r>
          </w:p>
        </w:tc>
        <w:tc>
          <w:tcPr>
            <w:tcW w:w="240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功能分类科目名称</w:t>
            </w:r>
          </w:p>
        </w:tc>
        <w:tc>
          <w:tcPr>
            <w:tcW w:w="192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合计</w:t>
            </w:r>
          </w:p>
        </w:tc>
        <w:tc>
          <w:tcPr>
            <w:tcW w:w="18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基本支出</w:t>
            </w:r>
          </w:p>
        </w:tc>
        <w:tc>
          <w:tcPr>
            <w:tcW w:w="167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类</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款</w:t>
            </w:r>
          </w:p>
        </w:tc>
        <w:tc>
          <w:tcPr>
            <w:tcW w:w="4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项</w:t>
            </w:r>
          </w:p>
        </w:tc>
        <w:tc>
          <w:tcPr>
            <w:tcW w:w="2405"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c>
          <w:tcPr>
            <w:tcW w:w="192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c>
          <w:tcPr>
            <w:tcW w:w="18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c>
          <w:tcPr>
            <w:tcW w:w="1673"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212</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05</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01</w:t>
            </w:r>
          </w:p>
        </w:tc>
        <w:tc>
          <w:tcPr>
            <w:tcW w:w="2405"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城乡社区环境卫生</w:t>
            </w:r>
          </w:p>
        </w:tc>
        <w:tc>
          <w:tcPr>
            <w:tcW w:w="19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1015.19</w:t>
            </w: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sz w:val="18"/>
                <w:szCs w:val="18"/>
              </w:rPr>
              <w:t>1015.19</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212</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03</w:t>
            </w: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99</w:t>
            </w:r>
          </w:p>
        </w:tc>
        <w:tc>
          <w:tcPr>
            <w:tcW w:w="2405"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其他城乡社区公共设施支出</w:t>
            </w:r>
          </w:p>
        </w:tc>
        <w:tc>
          <w:tcPr>
            <w:tcW w:w="19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700</w:t>
            </w:r>
          </w:p>
        </w:tc>
        <w:tc>
          <w:tcPr>
            <w:tcW w:w="18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700</w:t>
            </w: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24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81717" w:themeColor="background2" w:themeShade="1A"/>
                <w:sz w:val="18"/>
                <w:szCs w:val="18"/>
              </w:rPr>
            </w:pPr>
          </w:p>
        </w:tc>
        <w:tc>
          <w:tcPr>
            <w:tcW w:w="1923"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181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24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81717" w:themeColor="background2" w:themeShade="1A"/>
                <w:sz w:val="18"/>
                <w:szCs w:val="18"/>
              </w:rPr>
            </w:pPr>
          </w:p>
        </w:tc>
        <w:tc>
          <w:tcPr>
            <w:tcW w:w="192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24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81717" w:themeColor="background2" w:themeShade="1A"/>
                <w:sz w:val="18"/>
                <w:szCs w:val="18"/>
              </w:rPr>
            </w:pPr>
          </w:p>
        </w:tc>
        <w:tc>
          <w:tcPr>
            <w:tcW w:w="192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436"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2405"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81717" w:themeColor="background2" w:themeShade="1A"/>
                <w:sz w:val="18"/>
                <w:szCs w:val="18"/>
              </w:rPr>
            </w:pPr>
          </w:p>
        </w:tc>
        <w:tc>
          <w:tcPr>
            <w:tcW w:w="192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8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8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81717" w:themeColor="background2" w:themeShade="1A"/>
                <w:kern w:val="0"/>
                <w:sz w:val="18"/>
                <w:szCs w:val="18"/>
              </w:rPr>
            </w:pPr>
          </w:p>
        </w:tc>
        <w:tc>
          <w:tcPr>
            <w:tcW w:w="240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color w:val="181717" w:themeColor="background2" w:themeShade="1A"/>
                <w:kern w:val="0"/>
                <w:sz w:val="18"/>
                <w:szCs w:val="18"/>
              </w:rPr>
            </w:pPr>
          </w:p>
        </w:tc>
        <w:tc>
          <w:tcPr>
            <w:tcW w:w="192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81717" w:themeColor="background2" w:themeShade="1A"/>
                <w:kern w:val="0"/>
                <w:sz w:val="18"/>
                <w:szCs w:val="18"/>
              </w:rPr>
            </w:pPr>
          </w:p>
        </w:tc>
        <w:tc>
          <w:tcPr>
            <w:tcW w:w="181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81717" w:themeColor="background2" w:themeShade="1A"/>
                <w:kern w:val="0"/>
                <w:sz w:val="18"/>
                <w:szCs w:val="18"/>
              </w:rPr>
            </w:pP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jc w:val="center"/>
        </w:trPr>
        <w:tc>
          <w:tcPr>
            <w:tcW w:w="54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8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81717" w:themeColor="background2" w:themeShade="1A"/>
                <w:kern w:val="0"/>
                <w:sz w:val="18"/>
                <w:szCs w:val="18"/>
              </w:rPr>
            </w:pPr>
          </w:p>
        </w:tc>
        <w:tc>
          <w:tcPr>
            <w:tcW w:w="4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240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合计</w:t>
            </w:r>
          </w:p>
        </w:tc>
        <w:tc>
          <w:tcPr>
            <w:tcW w:w="1923" w:type="dxa"/>
            <w:tcBorders>
              <w:top w:val="nil"/>
              <w:left w:val="nil"/>
              <w:bottom w:val="single" w:color="auto" w:sz="4" w:space="0"/>
              <w:right w:val="single" w:color="auto" w:sz="4" w:space="0"/>
            </w:tcBorders>
            <w:shd w:val="clear" w:color="auto" w:fill="auto"/>
          </w:tcPr>
          <w:p>
            <w:r>
              <w:rPr>
                <w:rFonts w:hint="eastAsia" w:ascii="仿宋_GB2312" w:hAnsi="宋体" w:eastAsia="仿宋_GB2312" w:cs="宋体"/>
                <w:color w:val="181717" w:themeColor="background2" w:themeShade="1A"/>
                <w:kern w:val="0"/>
                <w:sz w:val="18"/>
                <w:szCs w:val="18"/>
              </w:rPr>
              <w:t>1715.19</w:t>
            </w:r>
          </w:p>
        </w:tc>
        <w:tc>
          <w:tcPr>
            <w:tcW w:w="1810" w:type="dxa"/>
            <w:tcBorders>
              <w:top w:val="nil"/>
              <w:left w:val="nil"/>
              <w:bottom w:val="single" w:color="auto" w:sz="4" w:space="0"/>
              <w:right w:val="single" w:color="auto" w:sz="4" w:space="0"/>
            </w:tcBorders>
            <w:shd w:val="clear" w:color="auto" w:fill="auto"/>
          </w:tcPr>
          <w:p>
            <w:r>
              <w:rPr>
                <w:rFonts w:hint="eastAsia" w:ascii="仿宋_GB2312" w:hAnsi="宋体" w:eastAsia="仿宋_GB2312" w:cs="宋体"/>
                <w:color w:val="181717" w:themeColor="background2" w:themeShade="1A"/>
                <w:kern w:val="0"/>
                <w:sz w:val="18"/>
                <w:szCs w:val="18"/>
              </w:rPr>
              <w:t>1715.19</w:t>
            </w:r>
          </w:p>
        </w:tc>
        <w:tc>
          <w:tcPr>
            <w:tcW w:w="1673" w:type="dxa"/>
            <w:tcBorders>
              <w:top w:val="nil"/>
              <w:left w:val="nil"/>
              <w:bottom w:val="single" w:color="auto" w:sz="4" w:space="0"/>
              <w:right w:val="single" w:color="auto" w:sz="4" w:space="0"/>
            </w:tcBorders>
            <w:shd w:val="clear" w:color="auto" w:fill="auto"/>
            <w:vAlign w:val="center"/>
          </w:tcPr>
          <w:p>
            <w:pPr>
              <w:widowControl/>
              <w:jc w:val="right"/>
              <w:rPr>
                <w:rFonts w:hint="eastAsia" w:ascii="仿宋_GB2312" w:hAnsi="宋体" w:eastAsia="仿宋_GB2312" w:cs="宋体"/>
                <w:color w:val="181717" w:themeColor="background2" w:themeShade="1A"/>
                <w:sz w:val="18"/>
                <w:szCs w:val="18"/>
                <w:lang w:val="en-US" w:eastAsia="zh-CN"/>
              </w:rPr>
            </w:pPr>
            <w:r>
              <w:rPr>
                <w:rFonts w:hint="eastAsia" w:ascii="仿宋_GB2312" w:hAnsi="宋体" w:eastAsia="仿宋_GB2312" w:cs="宋体"/>
                <w:color w:val="181717" w:themeColor="background2" w:themeShade="1A"/>
                <w:kern w:val="0"/>
                <w:sz w:val="18"/>
                <w:szCs w:val="18"/>
                <w:lang w:val="en-US" w:eastAsia="zh-CN"/>
              </w:rPr>
              <w:t>700</w:t>
            </w:r>
          </w:p>
        </w:tc>
      </w:tr>
    </w:tbl>
    <w:p>
      <w:pPr>
        <w:widowControl/>
        <w:spacing w:beforeLines="50"/>
        <w:outlineLvl w:val="1"/>
        <w:rPr>
          <w:rFonts w:ascii="仿宋_GB2312" w:hAnsi="宋体" w:eastAsia="仿宋_GB2312"/>
          <w:b/>
          <w:color w:val="181717" w:themeColor="background2" w:themeShade="1A"/>
          <w:kern w:val="0"/>
          <w:sz w:val="32"/>
          <w:szCs w:val="32"/>
        </w:rPr>
      </w:pPr>
    </w:p>
    <w:p>
      <w:pPr>
        <w:widowControl/>
        <w:spacing w:beforeLines="50"/>
        <w:outlineLvl w:val="1"/>
        <w:rPr>
          <w:rFonts w:ascii="仿宋_GB2312" w:hAnsi="宋体" w:eastAsia="仿宋_GB2312"/>
          <w:b/>
          <w:color w:val="181717" w:themeColor="background2" w:themeShade="1A"/>
          <w:kern w:val="0"/>
          <w:sz w:val="32"/>
          <w:szCs w:val="32"/>
        </w:rPr>
      </w:pPr>
    </w:p>
    <w:p>
      <w:pPr>
        <w:widowControl/>
        <w:spacing w:beforeLines="50"/>
        <w:outlineLvl w:val="1"/>
        <w:rPr>
          <w:rFonts w:ascii="仿宋_GB2312" w:hAnsi="宋体" w:eastAsia="仿宋_GB2312"/>
          <w:b/>
          <w:color w:val="181717" w:themeColor="background2" w:themeShade="1A"/>
          <w:kern w:val="0"/>
          <w:sz w:val="32"/>
          <w:szCs w:val="32"/>
        </w:rPr>
      </w:pPr>
    </w:p>
    <w:p>
      <w:pPr>
        <w:widowControl/>
        <w:spacing w:beforeLines="50"/>
        <w:outlineLvl w:val="1"/>
        <w:rPr>
          <w:rFonts w:ascii="仿宋_GB2312" w:hAnsi="宋体" w:eastAsia="仿宋_GB2312"/>
          <w:b/>
          <w:color w:val="181717" w:themeColor="background2" w:themeShade="1A"/>
          <w:kern w:val="0"/>
          <w:sz w:val="32"/>
          <w:szCs w:val="32"/>
        </w:rPr>
      </w:pPr>
    </w:p>
    <w:p>
      <w:pPr>
        <w:widowControl/>
        <w:spacing w:beforeLines="50"/>
        <w:outlineLvl w:val="1"/>
        <w:rPr>
          <w:rFonts w:ascii="仿宋_GB2312" w:hAnsi="宋体" w:eastAsia="仿宋_GB2312"/>
          <w:b/>
          <w:color w:val="181717" w:themeColor="background2" w:themeShade="1A"/>
          <w:kern w:val="0"/>
          <w:sz w:val="32"/>
          <w:szCs w:val="32"/>
        </w:rPr>
      </w:pPr>
    </w:p>
    <w:p>
      <w:pPr>
        <w:widowControl/>
        <w:spacing w:beforeLines="50"/>
        <w:outlineLvl w:val="1"/>
        <w:rPr>
          <w:rFonts w:ascii="仿宋_GB2312" w:hAnsi="宋体" w:eastAsia="仿宋_GB2312"/>
          <w:b/>
          <w:color w:val="181717" w:themeColor="background2" w:themeShade="1A"/>
          <w:kern w:val="0"/>
          <w:sz w:val="32"/>
          <w:szCs w:val="32"/>
        </w:rPr>
      </w:pPr>
    </w:p>
    <w:p>
      <w:pPr>
        <w:widowControl/>
        <w:spacing w:beforeLines="50"/>
        <w:outlineLvl w:val="1"/>
        <w:rPr>
          <w:rFonts w:ascii="仿宋_GB2312" w:hAnsi="宋体" w:eastAsia="仿宋_GB2312"/>
          <w:b/>
          <w:color w:val="181717" w:themeColor="background2" w:themeShade="1A"/>
          <w:kern w:val="0"/>
          <w:sz w:val="32"/>
          <w:szCs w:val="32"/>
        </w:rPr>
      </w:pPr>
    </w:p>
    <w:p>
      <w:pPr>
        <w:widowControl/>
        <w:spacing w:beforeLines="50"/>
        <w:outlineLvl w:val="1"/>
        <w:rPr>
          <w:rFonts w:ascii="仿宋_GB2312" w:hAnsi="宋体" w:eastAsia="仿宋_GB2312"/>
          <w:b/>
          <w:color w:val="181717" w:themeColor="background2" w:themeShade="1A"/>
          <w:kern w:val="0"/>
          <w:sz w:val="32"/>
          <w:szCs w:val="32"/>
        </w:rPr>
      </w:pPr>
    </w:p>
    <w:p>
      <w:pPr>
        <w:widowControl/>
        <w:spacing w:beforeLines="50"/>
        <w:outlineLvl w:val="1"/>
        <w:rPr>
          <w:rFonts w:ascii="仿宋_GB2312" w:hAnsi="宋体" w:eastAsia="仿宋_GB2312"/>
          <w:b/>
          <w:color w:val="181717" w:themeColor="background2" w:themeShade="1A"/>
          <w:kern w:val="0"/>
          <w:sz w:val="32"/>
          <w:szCs w:val="32"/>
        </w:rPr>
      </w:pPr>
    </w:p>
    <w:p>
      <w:pPr>
        <w:widowControl/>
        <w:spacing w:beforeLines="50"/>
        <w:outlineLvl w:val="1"/>
        <w:rPr>
          <w:rFonts w:ascii="仿宋_GB2312" w:hAnsi="宋体" w:eastAsia="仿宋_GB2312"/>
          <w:b/>
          <w:color w:val="181717" w:themeColor="background2" w:themeShade="1A"/>
          <w:kern w:val="0"/>
          <w:sz w:val="32"/>
          <w:szCs w:val="32"/>
        </w:rPr>
      </w:pPr>
    </w:p>
    <w:p>
      <w:pPr>
        <w:widowControl/>
        <w:spacing w:beforeLines="50"/>
        <w:outlineLvl w:val="1"/>
        <w:rPr>
          <w:rFonts w:ascii="仿宋_GB2312" w:hAnsi="宋体" w:eastAsia="仿宋_GB2312"/>
          <w:b/>
          <w:color w:val="181717" w:themeColor="background2" w:themeShade="1A"/>
          <w:kern w:val="0"/>
          <w:sz w:val="32"/>
          <w:szCs w:val="32"/>
        </w:rPr>
      </w:pPr>
    </w:p>
    <w:p>
      <w:pPr>
        <w:widowControl/>
        <w:spacing w:beforeLines="50"/>
        <w:outlineLvl w:val="1"/>
        <w:rPr>
          <w:rFonts w:ascii="仿宋_GB2312" w:hAnsi="宋体" w:eastAsia="仿宋_GB2312"/>
          <w:b/>
          <w:color w:val="181717" w:themeColor="background2" w:themeShade="1A"/>
          <w:kern w:val="0"/>
          <w:sz w:val="32"/>
          <w:szCs w:val="32"/>
        </w:rPr>
      </w:pPr>
    </w:p>
    <w:p>
      <w:pPr>
        <w:widowControl/>
        <w:spacing w:beforeLines="50"/>
        <w:outlineLvl w:val="1"/>
        <w:rPr>
          <w:rFonts w:ascii="仿宋_GB2312" w:hAnsi="宋体" w:eastAsia="仿宋_GB2312"/>
          <w:b/>
          <w:color w:val="181717" w:themeColor="background2" w:themeShade="1A"/>
          <w:kern w:val="0"/>
          <w:sz w:val="32"/>
          <w:szCs w:val="32"/>
        </w:rPr>
      </w:pPr>
    </w:p>
    <w:p>
      <w:pPr>
        <w:widowControl/>
        <w:spacing w:beforeLines="50"/>
        <w:outlineLvl w:val="1"/>
        <w:rPr>
          <w:rFonts w:ascii="仿宋_GB2312" w:hAnsi="宋体" w:eastAsia="仿宋_GB2312"/>
          <w:b/>
          <w:color w:val="181717" w:themeColor="background2" w:themeShade="1A"/>
          <w:kern w:val="0"/>
          <w:sz w:val="32"/>
          <w:szCs w:val="32"/>
        </w:rPr>
      </w:pPr>
      <w:r>
        <w:rPr>
          <w:rFonts w:hint="eastAsia" w:ascii="仿宋_GB2312" w:hAnsi="宋体" w:eastAsia="仿宋_GB2312"/>
          <w:b/>
          <w:color w:val="181717" w:themeColor="background2" w:themeShade="1A"/>
          <w:kern w:val="0"/>
          <w:sz w:val="32"/>
          <w:szCs w:val="32"/>
        </w:rPr>
        <w:t>表四：</w:t>
      </w:r>
    </w:p>
    <w:p>
      <w:pPr>
        <w:widowControl/>
        <w:spacing w:beforeLines="50"/>
        <w:jc w:val="center"/>
        <w:outlineLvl w:val="1"/>
        <w:rPr>
          <w:rFonts w:ascii="仿宋_GB2312" w:hAnsi="宋体" w:eastAsia="仿宋_GB2312"/>
          <w:b/>
          <w:color w:val="181717" w:themeColor="background2" w:themeShade="1A"/>
          <w:kern w:val="0"/>
          <w:sz w:val="32"/>
          <w:szCs w:val="32"/>
        </w:rPr>
      </w:pPr>
      <w:r>
        <w:rPr>
          <w:rFonts w:hint="eastAsia" w:ascii="仿宋_GB2312" w:hAnsi="宋体" w:eastAsia="仿宋_GB2312"/>
          <w:b/>
          <w:color w:val="181717" w:themeColor="background2" w:themeShade="1A"/>
          <w:kern w:val="0"/>
          <w:sz w:val="32"/>
          <w:szCs w:val="32"/>
        </w:rPr>
        <w:t>财政拨款收支预算总体情况表</w:t>
      </w:r>
    </w:p>
    <w:p>
      <w:pPr>
        <w:widowControl/>
        <w:jc w:val="left"/>
        <w:outlineLvl w:val="1"/>
        <w:rPr>
          <w:rFonts w:ascii="仿宋_GB2312" w:hAnsi="宋体" w:eastAsia="仿宋_GB2312"/>
          <w:color w:val="181717" w:themeColor="background2" w:themeShade="1A"/>
          <w:kern w:val="0"/>
          <w:sz w:val="24"/>
        </w:rPr>
      </w:pPr>
      <w:r>
        <w:rPr>
          <w:rFonts w:hint="eastAsia" w:ascii="仿宋_GB2312" w:hAnsi="宋体" w:eastAsia="仿宋_GB2312"/>
          <w:color w:val="181717" w:themeColor="background2" w:themeShade="1A"/>
          <w:kern w:val="0"/>
          <w:sz w:val="24"/>
        </w:rPr>
        <w:t>编制单位：                                                      单位：万元</w:t>
      </w:r>
    </w:p>
    <w:tbl>
      <w:tblPr>
        <w:tblStyle w:val="10"/>
        <w:tblW w:w="9215" w:type="dxa"/>
        <w:jc w:val="center"/>
        <w:tblInd w:w="0" w:type="dxa"/>
        <w:tblLayout w:type="fixed"/>
        <w:tblCellMar>
          <w:top w:w="0" w:type="dxa"/>
          <w:left w:w="108" w:type="dxa"/>
          <w:bottom w:w="0" w:type="dxa"/>
          <w:right w:w="108" w:type="dxa"/>
        </w:tblCellMar>
      </w:tblPr>
      <w:tblGrid>
        <w:gridCol w:w="1844"/>
        <w:gridCol w:w="992"/>
        <w:gridCol w:w="2268"/>
        <w:gridCol w:w="1417"/>
        <w:gridCol w:w="1418"/>
        <w:gridCol w:w="1276"/>
      </w:tblGrid>
      <w:tr>
        <w:tblPrEx>
          <w:tblLayout w:type="fixed"/>
          <w:tblCellMar>
            <w:top w:w="0" w:type="dxa"/>
            <w:left w:w="108" w:type="dxa"/>
            <w:bottom w:w="0" w:type="dxa"/>
            <w:right w:w="108" w:type="dxa"/>
          </w:tblCellMar>
        </w:tblPrEx>
        <w:trPr>
          <w:trHeight w:val="285" w:hRule="atLeast"/>
          <w:jc w:val="center"/>
        </w:trPr>
        <w:tc>
          <w:tcPr>
            <w:tcW w:w="2836"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仿宋_GB2312" w:hAnsi="楷体" w:eastAsia="仿宋_GB2312" w:cs="宋体"/>
                <w:b/>
                <w:bCs/>
                <w:color w:val="181717" w:themeColor="background2" w:themeShade="1A"/>
                <w:kern w:val="0"/>
                <w:sz w:val="18"/>
                <w:szCs w:val="18"/>
              </w:rPr>
            </w:pPr>
            <w:r>
              <w:rPr>
                <w:rFonts w:hint="eastAsia" w:ascii="仿宋_GB2312" w:hAnsi="楷体" w:eastAsia="仿宋_GB2312" w:cs="宋体"/>
                <w:b/>
                <w:bCs/>
                <w:color w:val="181717" w:themeColor="background2" w:themeShade="1A"/>
                <w:kern w:val="0"/>
                <w:sz w:val="18"/>
                <w:szCs w:val="18"/>
              </w:rPr>
              <w:t>财政拨款收入</w:t>
            </w:r>
          </w:p>
        </w:tc>
        <w:tc>
          <w:tcPr>
            <w:tcW w:w="637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楷体" w:eastAsia="仿宋_GB2312" w:cs="宋体"/>
                <w:b/>
                <w:bCs/>
                <w:color w:val="181717" w:themeColor="background2" w:themeShade="1A"/>
                <w:kern w:val="0"/>
                <w:sz w:val="18"/>
                <w:szCs w:val="18"/>
              </w:rPr>
            </w:pPr>
            <w:r>
              <w:rPr>
                <w:rFonts w:hint="eastAsia" w:ascii="仿宋_GB2312" w:hAnsi="楷体" w:eastAsia="仿宋_GB2312" w:cs="宋体"/>
                <w:b/>
                <w:bCs/>
                <w:color w:val="181717" w:themeColor="background2" w:themeShade="1A"/>
                <w:kern w:val="0"/>
                <w:sz w:val="18"/>
                <w:szCs w:val="18"/>
              </w:rPr>
              <w:t>财政拨款支出</w:t>
            </w:r>
          </w:p>
        </w:tc>
      </w:tr>
      <w:tr>
        <w:tblPrEx>
          <w:tblLayout w:type="fixed"/>
          <w:tblCellMar>
            <w:top w:w="0" w:type="dxa"/>
            <w:left w:w="108" w:type="dxa"/>
            <w:bottom w:w="0" w:type="dxa"/>
            <w:right w:w="108" w:type="dxa"/>
          </w:tblCellMar>
        </w:tblPrEx>
        <w:trPr>
          <w:trHeight w:val="465" w:hRule="atLeast"/>
          <w:jc w:val="center"/>
        </w:trPr>
        <w:tc>
          <w:tcPr>
            <w:tcW w:w="184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楷体" w:eastAsia="仿宋_GB2312" w:cs="宋体"/>
                <w:b/>
                <w:color w:val="181717" w:themeColor="background2" w:themeShade="1A"/>
                <w:kern w:val="0"/>
                <w:sz w:val="18"/>
                <w:szCs w:val="18"/>
              </w:rPr>
            </w:pPr>
            <w:r>
              <w:rPr>
                <w:rFonts w:hint="eastAsia" w:ascii="仿宋_GB2312" w:hAnsi="楷体" w:eastAsia="仿宋_GB2312" w:cs="宋体"/>
                <w:b/>
                <w:color w:val="181717" w:themeColor="background2" w:themeShade="1A"/>
                <w:kern w:val="0"/>
                <w:sz w:val="18"/>
                <w:szCs w:val="18"/>
              </w:rPr>
              <w:t>项    目</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b/>
                <w:color w:val="181717" w:themeColor="background2" w:themeShade="1A"/>
                <w:kern w:val="0"/>
                <w:sz w:val="18"/>
                <w:szCs w:val="18"/>
              </w:rPr>
            </w:pPr>
            <w:r>
              <w:rPr>
                <w:rFonts w:hint="eastAsia" w:ascii="仿宋_GB2312" w:hAnsi="楷体" w:eastAsia="仿宋_GB2312" w:cs="宋体"/>
                <w:b/>
                <w:color w:val="181717" w:themeColor="background2" w:themeShade="1A"/>
                <w:kern w:val="0"/>
                <w:sz w:val="18"/>
                <w:szCs w:val="18"/>
              </w:rPr>
              <w:t>合计</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b/>
                <w:color w:val="181717" w:themeColor="background2" w:themeShade="1A"/>
                <w:kern w:val="0"/>
                <w:sz w:val="18"/>
                <w:szCs w:val="18"/>
              </w:rPr>
            </w:pPr>
            <w:r>
              <w:rPr>
                <w:rFonts w:hint="eastAsia" w:ascii="仿宋_GB2312" w:hAnsi="楷体" w:eastAsia="仿宋_GB2312" w:cs="宋体"/>
                <w:b/>
                <w:color w:val="181717" w:themeColor="background2" w:themeShade="1A"/>
                <w:kern w:val="0"/>
                <w:sz w:val="18"/>
                <w:szCs w:val="18"/>
              </w:rPr>
              <w:t>功  能  分  类</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b/>
                <w:color w:val="181717" w:themeColor="background2" w:themeShade="1A"/>
                <w:kern w:val="0"/>
                <w:sz w:val="18"/>
                <w:szCs w:val="18"/>
              </w:rPr>
            </w:pPr>
            <w:r>
              <w:rPr>
                <w:rFonts w:hint="eastAsia" w:ascii="仿宋_GB2312" w:hAnsi="楷体" w:eastAsia="仿宋_GB2312" w:cs="宋体"/>
                <w:b/>
                <w:color w:val="181717" w:themeColor="background2" w:themeShade="1A"/>
                <w:kern w:val="0"/>
                <w:sz w:val="18"/>
                <w:szCs w:val="18"/>
              </w:rPr>
              <w:t>合计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b/>
                <w:color w:val="181717" w:themeColor="background2" w:themeShade="1A"/>
                <w:kern w:val="0"/>
                <w:sz w:val="18"/>
                <w:szCs w:val="18"/>
              </w:rPr>
            </w:pPr>
            <w:r>
              <w:rPr>
                <w:rFonts w:hint="eastAsia" w:ascii="仿宋_GB2312" w:hAnsi="楷体" w:eastAsia="仿宋_GB2312" w:cs="宋体"/>
                <w:b/>
                <w:color w:val="181717" w:themeColor="background2" w:themeShade="1A"/>
                <w:kern w:val="0"/>
                <w:sz w:val="18"/>
                <w:szCs w:val="18"/>
              </w:rPr>
              <w:t>一般公共预算</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楷体" w:eastAsia="仿宋_GB2312" w:cs="宋体"/>
                <w:b/>
                <w:color w:val="181717" w:themeColor="background2" w:themeShade="1A"/>
                <w:kern w:val="0"/>
                <w:sz w:val="18"/>
                <w:szCs w:val="18"/>
              </w:rPr>
            </w:pPr>
            <w:r>
              <w:rPr>
                <w:rFonts w:hint="eastAsia" w:ascii="仿宋_GB2312" w:hAnsi="楷体" w:eastAsia="仿宋_GB2312" w:cs="宋体"/>
                <w:b/>
                <w:color w:val="181717" w:themeColor="background2" w:themeShade="1A"/>
                <w:kern w:val="0"/>
                <w:sz w:val="18"/>
                <w:szCs w:val="18"/>
              </w:rPr>
              <w:t>政府性基金预算</w:t>
            </w: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财政拨款（补助）</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楷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1715.19</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201 一般公共服务支出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一般公共预算</w:t>
            </w:r>
          </w:p>
        </w:tc>
        <w:tc>
          <w:tcPr>
            <w:tcW w:w="992"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楷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1715.19</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202 外交支出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政府性基金预算</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203 国防支出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204 公共安全支出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205 教育支出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206 科学技术支出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207 文化体育与传媒支出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208 社会保障和就业支出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209 社会保险基金支出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210 医疗卫生与计划生育支出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211 节能环保支出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212 城乡社区支出</w:t>
            </w:r>
          </w:p>
        </w:tc>
        <w:tc>
          <w:tcPr>
            <w:tcW w:w="1417" w:type="dxa"/>
            <w:tcBorders>
              <w:top w:val="nil"/>
              <w:left w:val="nil"/>
              <w:bottom w:val="single" w:color="auto" w:sz="4" w:space="0"/>
              <w:right w:val="single" w:color="auto" w:sz="4" w:space="0"/>
            </w:tcBorders>
            <w:shd w:val="clear" w:color="auto" w:fill="auto"/>
          </w:tcPr>
          <w:p>
            <w:r>
              <w:rPr>
                <w:rFonts w:hint="eastAsia" w:ascii="仿宋_GB2312" w:hAnsi="宋体" w:eastAsia="仿宋_GB2312" w:cs="宋体"/>
                <w:color w:val="181717" w:themeColor="background2" w:themeShade="1A"/>
                <w:kern w:val="0"/>
                <w:sz w:val="18"/>
                <w:szCs w:val="18"/>
              </w:rPr>
              <w:t>1715.19</w:t>
            </w:r>
          </w:p>
        </w:tc>
        <w:tc>
          <w:tcPr>
            <w:tcW w:w="1418" w:type="dxa"/>
            <w:tcBorders>
              <w:top w:val="nil"/>
              <w:left w:val="nil"/>
              <w:bottom w:val="single" w:color="auto" w:sz="4" w:space="0"/>
              <w:right w:val="single" w:color="auto" w:sz="4" w:space="0"/>
            </w:tcBorders>
            <w:shd w:val="clear" w:color="auto" w:fill="auto"/>
          </w:tcPr>
          <w:p>
            <w:r>
              <w:rPr>
                <w:rFonts w:hint="eastAsia" w:ascii="仿宋_GB2312" w:hAnsi="宋体" w:eastAsia="仿宋_GB2312" w:cs="宋体"/>
                <w:color w:val="181717" w:themeColor="background2" w:themeShade="1A"/>
                <w:kern w:val="0"/>
                <w:sz w:val="18"/>
                <w:szCs w:val="18"/>
              </w:rPr>
              <w:t>1715.19</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213 农林水支出</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214 交通运输支出</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215 资源勘探信息等支出</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exact"/>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216 商业服务业等支出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217 金融支出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219 援助其他地区支出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220 国土资源气象等支出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221 住房保障支出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222 粮油物资管理支出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223 国有资本经营预算支出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227 预备费</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229 其他支出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231 债务还本支出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232 债务付息支出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233 债务发行费支出</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小       计</w:t>
            </w: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2812</w:t>
            </w:r>
          </w:p>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小           计</w:t>
            </w:r>
          </w:p>
        </w:tc>
        <w:tc>
          <w:tcPr>
            <w:tcW w:w="1417" w:type="dxa"/>
            <w:tcBorders>
              <w:top w:val="nil"/>
              <w:left w:val="nil"/>
              <w:bottom w:val="single" w:color="auto" w:sz="4" w:space="0"/>
              <w:right w:val="single" w:color="auto" w:sz="4" w:space="0"/>
            </w:tcBorders>
            <w:shd w:val="clear" w:color="auto" w:fill="auto"/>
          </w:tcPr>
          <w:p>
            <w:r>
              <w:rPr>
                <w:rFonts w:hint="eastAsia" w:ascii="仿宋_GB2312" w:hAnsi="宋体" w:eastAsia="仿宋_GB2312" w:cs="宋体"/>
                <w:color w:val="181717" w:themeColor="background2" w:themeShade="1A"/>
                <w:kern w:val="0"/>
                <w:sz w:val="18"/>
                <w:szCs w:val="18"/>
              </w:rPr>
              <w:t>1715.19</w:t>
            </w:r>
          </w:p>
        </w:tc>
        <w:tc>
          <w:tcPr>
            <w:tcW w:w="1418" w:type="dxa"/>
            <w:tcBorders>
              <w:top w:val="nil"/>
              <w:left w:val="nil"/>
              <w:bottom w:val="single" w:color="auto" w:sz="4" w:space="0"/>
              <w:right w:val="single" w:color="auto" w:sz="4" w:space="0"/>
            </w:tcBorders>
            <w:shd w:val="clear" w:color="auto" w:fill="auto"/>
            <w:noWrap/>
          </w:tcPr>
          <w:p>
            <w:r>
              <w:rPr>
                <w:rFonts w:hint="eastAsia" w:ascii="仿宋_GB2312" w:hAnsi="宋体" w:eastAsia="仿宋_GB2312" w:cs="宋体"/>
                <w:color w:val="181717" w:themeColor="background2" w:themeShade="1A"/>
                <w:kern w:val="0"/>
                <w:sz w:val="18"/>
                <w:szCs w:val="18"/>
              </w:rPr>
              <w:t>1715.19</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76"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仿宋_GB2312" w:hAnsi="楷体" w:eastAsia="仿宋_GB2312" w:cs="宋体"/>
                <w:color w:val="181717" w:themeColor="background2" w:themeShade="1A"/>
                <w:kern w:val="0"/>
                <w:sz w:val="18"/>
                <w:szCs w:val="18"/>
              </w:rPr>
            </w:pPr>
          </w:p>
        </w:tc>
        <w:tc>
          <w:tcPr>
            <w:tcW w:w="992"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rPr>
                <w:rFonts w:ascii="仿宋_GB2312" w:hAnsi="楷体" w:eastAsia="仿宋_GB2312" w:cs="宋体"/>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tcPr>
          <w:p/>
        </w:tc>
        <w:tc>
          <w:tcPr>
            <w:tcW w:w="1418" w:type="dxa"/>
            <w:tcBorders>
              <w:top w:val="nil"/>
              <w:left w:val="nil"/>
              <w:bottom w:val="single" w:color="auto" w:sz="4" w:space="0"/>
              <w:right w:val="single" w:color="auto" w:sz="4" w:space="0"/>
            </w:tcBorders>
            <w:shd w:val="clear" w:color="auto" w:fill="auto"/>
          </w:tcP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jc w:val="center"/>
        </w:trPr>
        <w:tc>
          <w:tcPr>
            <w:tcW w:w="184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收  入  总  计</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2812</w:t>
            </w:r>
          </w:p>
          <w:p>
            <w:pPr>
              <w:widowControl/>
              <w:jc w:val="right"/>
              <w:rPr>
                <w:rFonts w:ascii="仿宋_GB2312" w:hAnsi="楷体" w:eastAsia="仿宋_GB2312" w:cs="宋体"/>
                <w:color w:val="181717" w:themeColor="background2" w:themeShade="1A"/>
                <w:kern w:val="0"/>
                <w:sz w:val="18"/>
                <w:szCs w:val="18"/>
              </w:rPr>
            </w:pP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楷体" w:eastAsia="仿宋_GB2312" w:cs="宋体"/>
                <w:color w:val="181717" w:themeColor="background2" w:themeShade="1A"/>
                <w:kern w:val="0"/>
                <w:sz w:val="18"/>
                <w:szCs w:val="18"/>
              </w:rPr>
            </w:pPr>
            <w:r>
              <w:rPr>
                <w:rFonts w:hint="eastAsia" w:ascii="仿宋_GB2312" w:hAnsi="楷体" w:eastAsia="仿宋_GB2312" w:cs="宋体"/>
                <w:color w:val="181717" w:themeColor="background2" w:themeShade="1A"/>
                <w:kern w:val="0"/>
                <w:sz w:val="18"/>
                <w:szCs w:val="18"/>
              </w:rPr>
              <w:t>支  出  总  计</w:t>
            </w:r>
          </w:p>
        </w:tc>
        <w:tc>
          <w:tcPr>
            <w:tcW w:w="1417" w:type="dxa"/>
            <w:tcBorders>
              <w:top w:val="nil"/>
              <w:left w:val="nil"/>
              <w:bottom w:val="single" w:color="auto" w:sz="4" w:space="0"/>
              <w:right w:val="single" w:color="auto" w:sz="4" w:space="0"/>
            </w:tcBorders>
            <w:shd w:val="clear" w:color="auto" w:fill="auto"/>
          </w:tcPr>
          <w:p>
            <w:r>
              <w:rPr>
                <w:rFonts w:hint="eastAsia" w:ascii="仿宋_GB2312" w:hAnsi="宋体" w:eastAsia="仿宋_GB2312" w:cs="宋体"/>
                <w:color w:val="181717" w:themeColor="background2" w:themeShade="1A"/>
                <w:kern w:val="0"/>
                <w:sz w:val="18"/>
                <w:szCs w:val="18"/>
              </w:rPr>
              <w:t>1715.19</w:t>
            </w:r>
          </w:p>
        </w:tc>
        <w:tc>
          <w:tcPr>
            <w:tcW w:w="1418" w:type="dxa"/>
            <w:tcBorders>
              <w:top w:val="nil"/>
              <w:left w:val="nil"/>
              <w:bottom w:val="single" w:color="auto" w:sz="4" w:space="0"/>
              <w:right w:val="single" w:color="auto" w:sz="4" w:space="0"/>
            </w:tcBorders>
            <w:shd w:val="clear" w:color="auto" w:fill="auto"/>
          </w:tcPr>
          <w:p>
            <w:r>
              <w:rPr>
                <w:rFonts w:hint="eastAsia" w:ascii="仿宋_GB2312" w:hAnsi="宋体" w:eastAsia="仿宋_GB2312" w:cs="宋体"/>
                <w:color w:val="181717" w:themeColor="background2" w:themeShade="1A"/>
                <w:kern w:val="0"/>
                <w:sz w:val="18"/>
                <w:szCs w:val="18"/>
              </w:rPr>
              <w:t>1715.19</w:t>
            </w:r>
          </w:p>
        </w:tc>
        <w:tc>
          <w:tcPr>
            <w:tcW w:w="127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楷体" w:eastAsia="仿宋_GB2312" w:cs="宋体"/>
                <w:color w:val="181717" w:themeColor="background2" w:themeShade="1A"/>
                <w:kern w:val="0"/>
                <w:sz w:val="18"/>
                <w:szCs w:val="18"/>
              </w:rPr>
            </w:pPr>
          </w:p>
        </w:tc>
      </w:tr>
    </w:tbl>
    <w:p>
      <w:pPr>
        <w:widowControl/>
        <w:jc w:val="left"/>
        <w:outlineLvl w:val="1"/>
        <w:rPr>
          <w:rFonts w:ascii="仿宋_GB2312" w:hAnsi="宋体" w:eastAsia="仿宋_GB2312"/>
          <w:color w:val="181717" w:themeColor="background2" w:themeShade="1A"/>
          <w:kern w:val="0"/>
          <w:sz w:val="32"/>
          <w:szCs w:val="32"/>
        </w:rPr>
      </w:pPr>
    </w:p>
    <w:p>
      <w:pPr>
        <w:widowControl/>
        <w:jc w:val="left"/>
        <w:outlineLvl w:val="1"/>
        <w:rPr>
          <w:rFonts w:ascii="仿宋_GB2312" w:hAnsi="宋体" w:eastAsia="仿宋_GB2312"/>
          <w:color w:val="181717" w:themeColor="background2" w:themeShade="1A"/>
          <w:kern w:val="0"/>
          <w:sz w:val="32"/>
          <w:szCs w:val="32"/>
        </w:rPr>
      </w:pPr>
    </w:p>
    <w:p>
      <w:pPr>
        <w:widowControl/>
        <w:jc w:val="left"/>
        <w:outlineLvl w:val="1"/>
        <w:rPr>
          <w:rFonts w:ascii="仿宋_GB2312" w:hAnsi="宋体" w:eastAsia="仿宋_GB2312"/>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r>
        <w:rPr>
          <w:rFonts w:hint="eastAsia" w:ascii="仿宋_GB2312" w:hAnsi="宋体" w:eastAsia="仿宋_GB2312"/>
          <w:b/>
          <w:color w:val="181717" w:themeColor="background2" w:themeShade="1A"/>
          <w:kern w:val="0"/>
          <w:sz w:val="32"/>
          <w:szCs w:val="32"/>
        </w:rPr>
        <w:t>表五：</w:t>
      </w:r>
    </w:p>
    <w:tbl>
      <w:tblPr>
        <w:tblStyle w:val="10"/>
        <w:tblW w:w="9220" w:type="dxa"/>
        <w:jc w:val="center"/>
        <w:tblInd w:w="-254" w:type="dxa"/>
        <w:tblLayout w:type="fixed"/>
        <w:tblCellMar>
          <w:top w:w="0" w:type="dxa"/>
          <w:left w:w="108" w:type="dxa"/>
          <w:bottom w:w="0" w:type="dxa"/>
          <w:right w:w="108" w:type="dxa"/>
        </w:tblCellMar>
      </w:tblPr>
      <w:tblGrid>
        <w:gridCol w:w="705"/>
        <w:gridCol w:w="562"/>
        <w:gridCol w:w="639"/>
        <w:gridCol w:w="2510"/>
        <w:gridCol w:w="1684"/>
        <w:gridCol w:w="1540"/>
        <w:gridCol w:w="1580"/>
      </w:tblGrid>
      <w:tr>
        <w:tblPrEx>
          <w:tblLayout w:type="fixed"/>
          <w:tblCellMar>
            <w:top w:w="0" w:type="dxa"/>
            <w:left w:w="108" w:type="dxa"/>
            <w:bottom w:w="0" w:type="dxa"/>
            <w:right w:w="108" w:type="dxa"/>
          </w:tblCellMar>
        </w:tblPrEx>
        <w:trPr>
          <w:trHeight w:val="450" w:hRule="atLeast"/>
          <w:jc w:val="center"/>
        </w:trPr>
        <w:tc>
          <w:tcPr>
            <w:tcW w:w="9220" w:type="dxa"/>
            <w:gridSpan w:val="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181717" w:themeColor="background2" w:themeShade="1A"/>
                <w:kern w:val="0"/>
                <w:sz w:val="32"/>
                <w:szCs w:val="32"/>
              </w:rPr>
            </w:pPr>
            <w:r>
              <w:rPr>
                <w:rFonts w:hint="eastAsia" w:ascii="仿宋_GB2312" w:hAnsi="宋体" w:eastAsia="仿宋_GB2312" w:cs="宋体"/>
                <w:b/>
                <w:bCs/>
                <w:color w:val="181717" w:themeColor="background2" w:themeShade="1A"/>
                <w:kern w:val="0"/>
                <w:sz w:val="32"/>
                <w:szCs w:val="32"/>
              </w:rPr>
              <w:t>一般公共预算支出情况表</w:t>
            </w:r>
          </w:p>
          <w:p>
            <w:pPr>
              <w:widowControl/>
              <w:jc w:val="left"/>
              <w:outlineLvl w:val="1"/>
              <w:rPr>
                <w:rFonts w:ascii="仿宋_GB2312" w:hAnsi="宋体" w:eastAsia="仿宋_GB2312"/>
                <w:color w:val="181717" w:themeColor="background2" w:themeShade="1A"/>
                <w:kern w:val="0"/>
                <w:sz w:val="24"/>
              </w:rPr>
            </w:pPr>
            <w:r>
              <w:rPr>
                <w:rFonts w:hint="eastAsia" w:ascii="仿宋_GB2312" w:hAnsi="宋体" w:eastAsia="仿宋_GB2312"/>
                <w:color w:val="181717" w:themeColor="background2" w:themeShade="1A"/>
                <w:kern w:val="0"/>
                <w:sz w:val="24"/>
              </w:rPr>
              <w:t>编制单位：                                                      单位：万元</w:t>
            </w:r>
          </w:p>
        </w:tc>
      </w:tr>
      <w:tr>
        <w:tblPrEx>
          <w:tblLayout w:type="fixed"/>
          <w:tblCellMar>
            <w:top w:w="0" w:type="dxa"/>
            <w:left w:w="108" w:type="dxa"/>
            <w:bottom w:w="0" w:type="dxa"/>
            <w:right w:w="108" w:type="dxa"/>
          </w:tblCellMar>
        </w:tblPrEx>
        <w:trPr>
          <w:trHeight w:val="405" w:hRule="atLeast"/>
          <w:jc w:val="center"/>
        </w:trPr>
        <w:tc>
          <w:tcPr>
            <w:tcW w:w="4416"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项目</w:t>
            </w:r>
          </w:p>
        </w:tc>
        <w:tc>
          <w:tcPr>
            <w:tcW w:w="480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jc w:val="center"/>
        </w:trPr>
        <w:tc>
          <w:tcPr>
            <w:tcW w:w="1906"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小计</w:t>
            </w:r>
          </w:p>
        </w:tc>
        <w:tc>
          <w:tcPr>
            <w:tcW w:w="15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基本支出</w:t>
            </w:r>
          </w:p>
        </w:tc>
        <w:tc>
          <w:tcPr>
            <w:tcW w:w="15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类</w:t>
            </w:r>
          </w:p>
        </w:tc>
        <w:tc>
          <w:tcPr>
            <w:tcW w:w="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款</w:t>
            </w:r>
          </w:p>
        </w:tc>
        <w:tc>
          <w:tcPr>
            <w:tcW w:w="639"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c>
          <w:tcPr>
            <w:tcW w:w="154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c>
          <w:tcPr>
            <w:tcW w:w="158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212</w:t>
            </w:r>
          </w:p>
        </w:tc>
        <w:tc>
          <w:tcPr>
            <w:tcW w:w="56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05</w:t>
            </w:r>
          </w:p>
        </w:tc>
        <w:tc>
          <w:tcPr>
            <w:tcW w:w="63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01</w:t>
            </w:r>
          </w:p>
        </w:tc>
        <w:tc>
          <w:tcPr>
            <w:tcW w:w="251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城乡社区环境卫生</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1015.19</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sz w:val="18"/>
                <w:szCs w:val="18"/>
              </w:rPr>
              <w:t>1015.19</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212</w:t>
            </w:r>
          </w:p>
        </w:tc>
        <w:tc>
          <w:tcPr>
            <w:tcW w:w="56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03</w:t>
            </w:r>
          </w:p>
        </w:tc>
        <w:tc>
          <w:tcPr>
            <w:tcW w:w="63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99</w:t>
            </w:r>
          </w:p>
        </w:tc>
        <w:tc>
          <w:tcPr>
            <w:tcW w:w="2510" w:type="dxa"/>
            <w:tcBorders>
              <w:top w:val="nil"/>
              <w:left w:val="nil"/>
              <w:bottom w:val="single" w:color="auto" w:sz="4" w:space="0"/>
              <w:right w:val="single" w:color="auto" w:sz="4" w:space="0"/>
            </w:tcBorders>
            <w:shd w:val="clear" w:color="auto" w:fill="auto"/>
            <w:vAlign w:val="center"/>
          </w:tcPr>
          <w:p>
            <w:pPr>
              <w:ind w:right="400"/>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其他城乡社区公共设施支出</w:t>
            </w: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700</w:t>
            </w:r>
          </w:p>
        </w:tc>
        <w:tc>
          <w:tcPr>
            <w:tcW w:w="15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700</w:t>
            </w:r>
          </w:p>
        </w:tc>
      </w:tr>
      <w:tr>
        <w:tblPrEx>
          <w:tblLayout w:type="fixed"/>
          <w:tblCellMar>
            <w:top w:w="0" w:type="dxa"/>
            <w:left w:w="108" w:type="dxa"/>
            <w:bottom w:w="0" w:type="dxa"/>
            <w:right w:w="108" w:type="dxa"/>
          </w:tblCellMar>
        </w:tblPrEx>
        <w:trPr>
          <w:trHeight w:val="45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56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63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8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15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56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63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8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15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15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562"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639"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rPr>
                <w:rFonts w:ascii="仿宋_GB2312" w:hAnsi="宋体" w:eastAsia="仿宋_GB2312" w:cs="宋体"/>
                <w:color w:val="18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154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1580"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50" w:hRule="atLeast"/>
          <w:jc w:val="center"/>
        </w:trPr>
        <w:tc>
          <w:tcPr>
            <w:tcW w:w="70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63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1715.19</w:t>
            </w:r>
          </w:p>
        </w:tc>
        <w:tc>
          <w:tcPr>
            <w:tcW w:w="154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sz w:val="18"/>
                <w:szCs w:val="18"/>
              </w:rPr>
              <w:t>1015.19</w:t>
            </w:r>
          </w:p>
        </w:tc>
        <w:tc>
          <w:tcPr>
            <w:tcW w:w="158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sz w:val="18"/>
                <w:szCs w:val="18"/>
              </w:rPr>
              <w:t>700</w:t>
            </w:r>
          </w:p>
        </w:tc>
      </w:tr>
    </w:tbl>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r>
        <w:rPr>
          <w:rFonts w:hint="eastAsia" w:ascii="仿宋_GB2312" w:hAnsi="宋体" w:eastAsia="仿宋_GB2312"/>
          <w:b/>
          <w:color w:val="181717" w:themeColor="background2" w:themeShade="1A"/>
          <w:kern w:val="0"/>
          <w:sz w:val="32"/>
          <w:szCs w:val="32"/>
        </w:rPr>
        <w:t>表六：</w:t>
      </w:r>
    </w:p>
    <w:tbl>
      <w:tblPr>
        <w:tblStyle w:val="10"/>
        <w:tblW w:w="8926" w:type="dxa"/>
        <w:jc w:val="center"/>
        <w:tblInd w:w="0" w:type="dxa"/>
        <w:tblLayout w:type="fixed"/>
        <w:tblCellMar>
          <w:top w:w="0" w:type="dxa"/>
          <w:left w:w="108" w:type="dxa"/>
          <w:bottom w:w="0" w:type="dxa"/>
          <w:right w:w="108" w:type="dxa"/>
        </w:tblCellMar>
      </w:tblPr>
      <w:tblGrid>
        <w:gridCol w:w="557"/>
        <w:gridCol w:w="562"/>
        <w:gridCol w:w="3415"/>
        <w:gridCol w:w="63"/>
        <w:gridCol w:w="1337"/>
        <w:gridCol w:w="1554"/>
        <w:gridCol w:w="1438"/>
      </w:tblGrid>
      <w:tr>
        <w:tblPrEx>
          <w:tblLayout w:type="fixed"/>
          <w:tblCellMar>
            <w:top w:w="0" w:type="dxa"/>
            <w:left w:w="108" w:type="dxa"/>
            <w:bottom w:w="0" w:type="dxa"/>
            <w:right w:w="108" w:type="dxa"/>
          </w:tblCellMar>
        </w:tblPrEx>
        <w:trPr>
          <w:trHeight w:val="375" w:hRule="atLeast"/>
          <w:jc w:val="center"/>
        </w:trPr>
        <w:tc>
          <w:tcPr>
            <w:tcW w:w="8926" w:type="dxa"/>
            <w:gridSpan w:val="7"/>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181717" w:themeColor="background2" w:themeShade="1A"/>
                <w:kern w:val="0"/>
                <w:sz w:val="32"/>
                <w:szCs w:val="32"/>
              </w:rPr>
            </w:pPr>
            <w:r>
              <w:rPr>
                <w:rFonts w:hint="eastAsia" w:ascii="仿宋_GB2312" w:hAnsi="宋体" w:eastAsia="仿宋_GB2312" w:cs="宋体"/>
                <w:b/>
                <w:bCs/>
                <w:color w:val="181717" w:themeColor="background2" w:themeShade="1A"/>
                <w:kern w:val="0"/>
                <w:sz w:val="32"/>
                <w:szCs w:val="32"/>
              </w:rPr>
              <w:t>一般公共预算基本支出情况表</w:t>
            </w:r>
          </w:p>
          <w:p>
            <w:pPr>
              <w:widowControl/>
              <w:jc w:val="left"/>
              <w:outlineLvl w:val="1"/>
              <w:rPr>
                <w:rFonts w:ascii="仿宋_GB2312" w:hAnsi="宋体" w:eastAsia="仿宋_GB2312"/>
                <w:color w:val="181717" w:themeColor="background2" w:themeShade="1A"/>
                <w:kern w:val="0"/>
                <w:sz w:val="24"/>
              </w:rPr>
            </w:pPr>
            <w:r>
              <w:rPr>
                <w:rFonts w:hint="eastAsia" w:ascii="仿宋_GB2312" w:hAnsi="宋体" w:eastAsia="仿宋_GB2312"/>
                <w:color w:val="181717" w:themeColor="background2" w:themeShade="1A"/>
                <w:kern w:val="0"/>
                <w:sz w:val="24"/>
              </w:rPr>
              <w:t>编制单位：                                                     单位：万元</w:t>
            </w:r>
          </w:p>
        </w:tc>
      </w:tr>
      <w:tr>
        <w:tblPrEx>
          <w:tblLayout w:type="fixed"/>
          <w:tblCellMar>
            <w:top w:w="0" w:type="dxa"/>
            <w:left w:w="108" w:type="dxa"/>
            <w:bottom w:w="0" w:type="dxa"/>
            <w:right w:w="108" w:type="dxa"/>
          </w:tblCellMar>
        </w:tblPrEx>
        <w:trPr>
          <w:trHeight w:val="390" w:hRule="atLeast"/>
          <w:jc w:val="center"/>
        </w:trPr>
        <w:tc>
          <w:tcPr>
            <w:tcW w:w="4597"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项目</w:t>
            </w:r>
          </w:p>
        </w:tc>
        <w:tc>
          <w:tcPr>
            <w:tcW w:w="432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495" w:hRule="atLeast"/>
          <w:jc w:val="center"/>
        </w:trPr>
        <w:tc>
          <w:tcPr>
            <w:tcW w:w="1119" w:type="dxa"/>
            <w:gridSpan w:val="2"/>
            <w:tcBorders>
              <w:top w:val="single" w:color="auto" w:sz="4" w:space="0"/>
              <w:left w:val="single" w:color="auto" w:sz="4" w:space="0"/>
              <w:bottom w:val="single" w:color="auto" w:sz="4" w:space="0"/>
              <w:right w:val="nil"/>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经济分类科目编码</w:t>
            </w:r>
          </w:p>
        </w:tc>
        <w:tc>
          <w:tcPr>
            <w:tcW w:w="3478" w:type="dxa"/>
            <w:gridSpan w:val="2"/>
            <w:vMerge w:val="restart"/>
            <w:tcBorders>
              <w:top w:val="nil"/>
              <w:left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经济分类科目名称</w:t>
            </w:r>
          </w:p>
        </w:tc>
        <w:tc>
          <w:tcPr>
            <w:tcW w:w="1337" w:type="dxa"/>
            <w:vMerge w:val="restart"/>
            <w:tcBorders>
              <w:top w:val="nil"/>
              <w:left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小计</w:t>
            </w:r>
          </w:p>
        </w:tc>
        <w:tc>
          <w:tcPr>
            <w:tcW w:w="1554" w:type="dxa"/>
            <w:vMerge w:val="restart"/>
            <w:tcBorders>
              <w:top w:val="nil"/>
              <w:left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人员经费</w:t>
            </w:r>
          </w:p>
        </w:tc>
        <w:tc>
          <w:tcPr>
            <w:tcW w:w="1438" w:type="dxa"/>
            <w:vMerge w:val="restart"/>
            <w:tcBorders>
              <w:top w:val="nil"/>
              <w:left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270"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类</w:t>
            </w:r>
          </w:p>
        </w:tc>
        <w:tc>
          <w:tcPr>
            <w:tcW w:w="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款</w:t>
            </w:r>
          </w:p>
        </w:tc>
        <w:tc>
          <w:tcPr>
            <w:tcW w:w="3478" w:type="dxa"/>
            <w:gridSpan w:val="2"/>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c>
          <w:tcPr>
            <w:tcW w:w="1337"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c>
          <w:tcPr>
            <w:tcW w:w="1554"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c>
          <w:tcPr>
            <w:tcW w:w="1438" w:type="dxa"/>
            <w:vMerge w:val="continue"/>
            <w:tcBorders>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301</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01</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基本工资</w:t>
            </w:r>
          </w:p>
        </w:tc>
        <w:tc>
          <w:tcPr>
            <w:tcW w:w="13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130.33</w:t>
            </w:r>
          </w:p>
        </w:tc>
        <w:tc>
          <w:tcPr>
            <w:tcW w:w="15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130.33</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301</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02</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津贴补贴</w:t>
            </w:r>
          </w:p>
        </w:tc>
        <w:tc>
          <w:tcPr>
            <w:tcW w:w="13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42.54</w:t>
            </w:r>
          </w:p>
        </w:tc>
        <w:tc>
          <w:tcPr>
            <w:tcW w:w="15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42.54</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301</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03</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奖金</w:t>
            </w:r>
          </w:p>
        </w:tc>
        <w:tc>
          <w:tcPr>
            <w:tcW w:w="13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10.86</w:t>
            </w:r>
          </w:p>
        </w:tc>
        <w:tc>
          <w:tcPr>
            <w:tcW w:w="15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10.86</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301</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12</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其他社会保障缴费</w:t>
            </w:r>
          </w:p>
        </w:tc>
        <w:tc>
          <w:tcPr>
            <w:tcW w:w="13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109.54</w:t>
            </w:r>
          </w:p>
        </w:tc>
        <w:tc>
          <w:tcPr>
            <w:tcW w:w="15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152.58</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301</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06</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伙食补助费</w:t>
            </w:r>
          </w:p>
        </w:tc>
        <w:tc>
          <w:tcPr>
            <w:tcW w:w="13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8.55</w:t>
            </w:r>
          </w:p>
        </w:tc>
        <w:tc>
          <w:tcPr>
            <w:tcW w:w="15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8.55</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301</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07</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绩效工资</w:t>
            </w:r>
          </w:p>
        </w:tc>
        <w:tc>
          <w:tcPr>
            <w:tcW w:w="13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136.05</w:t>
            </w:r>
          </w:p>
        </w:tc>
        <w:tc>
          <w:tcPr>
            <w:tcW w:w="15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136.05</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301</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08</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机关事业单位基本养老保险缴费</w:t>
            </w:r>
          </w:p>
        </w:tc>
        <w:tc>
          <w:tcPr>
            <w:tcW w:w="13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63.96</w:t>
            </w:r>
          </w:p>
        </w:tc>
        <w:tc>
          <w:tcPr>
            <w:tcW w:w="15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63.96</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301</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13</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住房公积金</w:t>
            </w:r>
          </w:p>
        </w:tc>
        <w:tc>
          <w:tcPr>
            <w:tcW w:w="13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50.04</w:t>
            </w:r>
          </w:p>
        </w:tc>
        <w:tc>
          <w:tcPr>
            <w:tcW w:w="15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50.04</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301</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99</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其他工资福利支出</w:t>
            </w:r>
          </w:p>
        </w:tc>
        <w:tc>
          <w:tcPr>
            <w:tcW w:w="13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1.3</w:t>
            </w:r>
          </w:p>
        </w:tc>
        <w:tc>
          <w:tcPr>
            <w:tcW w:w="15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1.3</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01</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办公费</w:t>
            </w:r>
          </w:p>
        </w:tc>
        <w:tc>
          <w:tcPr>
            <w:tcW w:w="1337"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3.85</w:t>
            </w:r>
          </w:p>
        </w:tc>
        <w:tc>
          <w:tcPr>
            <w:tcW w:w="15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3.85</w:t>
            </w: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05</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水费</w:t>
            </w:r>
          </w:p>
        </w:tc>
        <w:tc>
          <w:tcPr>
            <w:tcW w:w="133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0.92</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0.92</w:t>
            </w: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06</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电费</w:t>
            </w:r>
          </w:p>
        </w:tc>
        <w:tc>
          <w:tcPr>
            <w:tcW w:w="133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1.85</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1.85</w:t>
            </w: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07</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邮电费</w:t>
            </w:r>
          </w:p>
        </w:tc>
        <w:tc>
          <w:tcPr>
            <w:tcW w:w="133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2.41</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2.41</w:t>
            </w: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08</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办公取暖费</w:t>
            </w:r>
          </w:p>
        </w:tc>
        <w:tc>
          <w:tcPr>
            <w:tcW w:w="133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52.10</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52.10</w:t>
            </w: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31</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公务用车运行维护费</w:t>
            </w:r>
          </w:p>
        </w:tc>
        <w:tc>
          <w:tcPr>
            <w:tcW w:w="133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14.82</w:t>
            </w:r>
          </w:p>
          <w:p>
            <w:pPr>
              <w:widowControl/>
              <w:jc w:val="right"/>
              <w:rPr>
                <w:rFonts w:ascii="仿宋_GB2312" w:hAnsi="宋体" w:eastAsia="仿宋_GB2312" w:cs="宋体"/>
                <w:color w:val="181717" w:themeColor="background2" w:themeShade="1A"/>
                <w:sz w:val="18"/>
                <w:szCs w:val="18"/>
              </w:rPr>
            </w:pP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14.82</w:t>
            </w:r>
          </w:p>
          <w:p>
            <w:pPr>
              <w:widowControl/>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39</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其他交通费</w:t>
            </w:r>
          </w:p>
        </w:tc>
        <w:tc>
          <w:tcPr>
            <w:tcW w:w="133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88.92</w:t>
            </w:r>
          </w:p>
          <w:p>
            <w:pPr>
              <w:widowControl/>
              <w:jc w:val="right"/>
              <w:rPr>
                <w:rFonts w:ascii="仿宋_GB2312" w:hAnsi="宋体" w:eastAsia="仿宋_GB2312" w:cs="宋体"/>
                <w:color w:val="181717" w:themeColor="background2" w:themeShade="1A"/>
                <w:sz w:val="18"/>
                <w:szCs w:val="18"/>
              </w:rPr>
            </w:pP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88.92</w:t>
            </w:r>
          </w:p>
          <w:p>
            <w:pPr>
              <w:widowControl/>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11</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差旅费</w:t>
            </w:r>
          </w:p>
        </w:tc>
        <w:tc>
          <w:tcPr>
            <w:tcW w:w="133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3.36</w:t>
            </w:r>
          </w:p>
          <w:p>
            <w:pPr>
              <w:widowControl/>
              <w:jc w:val="right"/>
              <w:rPr>
                <w:rFonts w:ascii="仿宋_GB2312" w:hAnsi="宋体" w:eastAsia="仿宋_GB2312" w:cs="宋体"/>
                <w:color w:val="181717" w:themeColor="background2" w:themeShade="1A"/>
                <w:sz w:val="18"/>
                <w:szCs w:val="18"/>
              </w:rPr>
            </w:pP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3.36</w:t>
            </w:r>
          </w:p>
          <w:p>
            <w:pPr>
              <w:widowControl/>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13</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维修(护)费(含其他维修)</w:t>
            </w:r>
          </w:p>
        </w:tc>
        <w:tc>
          <w:tcPr>
            <w:tcW w:w="133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12.97</w:t>
            </w:r>
          </w:p>
          <w:p>
            <w:pPr>
              <w:widowControl/>
              <w:jc w:val="right"/>
              <w:rPr>
                <w:rFonts w:ascii="仿宋_GB2312" w:hAnsi="宋体" w:eastAsia="仿宋_GB2312" w:cs="宋体"/>
                <w:color w:val="181717" w:themeColor="background2" w:themeShade="1A"/>
                <w:sz w:val="18"/>
                <w:szCs w:val="18"/>
              </w:rPr>
            </w:pP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12.97</w:t>
            </w:r>
          </w:p>
          <w:p>
            <w:pPr>
              <w:widowControl/>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16</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培训费</w:t>
            </w:r>
          </w:p>
        </w:tc>
        <w:tc>
          <w:tcPr>
            <w:tcW w:w="133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2.76</w:t>
            </w:r>
          </w:p>
          <w:p>
            <w:pPr>
              <w:widowControl/>
              <w:jc w:val="right"/>
              <w:rPr>
                <w:rFonts w:ascii="仿宋_GB2312" w:hAnsi="宋体" w:eastAsia="仿宋_GB2312" w:cs="宋体"/>
                <w:color w:val="181717" w:themeColor="background2" w:themeShade="1A"/>
                <w:sz w:val="18"/>
                <w:szCs w:val="18"/>
              </w:rPr>
            </w:pP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2.76</w:t>
            </w:r>
          </w:p>
          <w:p>
            <w:pPr>
              <w:widowControl/>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617" w:hRule="exac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17</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公务接待费</w:t>
            </w:r>
          </w:p>
        </w:tc>
        <w:tc>
          <w:tcPr>
            <w:tcW w:w="133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0.18</w:t>
            </w:r>
          </w:p>
          <w:p>
            <w:pPr>
              <w:widowControl/>
              <w:jc w:val="right"/>
              <w:rPr>
                <w:rFonts w:ascii="仿宋_GB2312" w:hAnsi="宋体" w:eastAsia="仿宋_GB2312" w:cs="宋体"/>
                <w:color w:val="181717" w:themeColor="background2" w:themeShade="1A"/>
                <w:sz w:val="18"/>
                <w:szCs w:val="18"/>
              </w:rPr>
            </w:pP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0.18</w:t>
            </w:r>
          </w:p>
          <w:p>
            <w:pPr>
              <w:widowControl/>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28</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工会经费</w:t>
            </w:r>
          </w:p>
        </w:tc>
        <w:tc>
          <w:tcPr>
            <w:tcW w:w="133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1.84</w:t>
            </w:r>
          </w:p>
          <w:p>
            <w:pPr>
              <w:widowControl/>
              <w:jc w:val="right"/>
              <w:rPr>
                <w:rFonts w:ascii="仿宋_GB2312" w:hAnsi="宋体" w:eastAsia="仿宋_GB2312" w:cs="宋体"/>
                <w:color w:val="181717" w:themeColor="background2" w:themeShade="1A"/>
                <w:sz w:val="18"/>
                <w:szCs w:val="18"/>
              </w:rPr>
            </w:pP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1.84</w:t>
            </w:r>
          </w:p>
          <w:p>
            <w:pPr>
              <w:widowControl/>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29</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福利费</w:t>
            </w:r>
          </w:p>
        </w:tc>
        <w:tc>
          <w:tcPr>
            <w:tcW w:w="133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7.72</w:t>
            </w:r>
          </w:p>
          <w:p>
            <w:pPr>
              <w:widowControl/>
              <w:jc w:val="right"/>
              <w:rPr>
                <w:rFonts w:ascii="仿宋_GB2312" w:hAnsi="宋体" w:eastAsia="仿宋_GB2312" w:cs="宋体"/>
                <w:color w:val="181717" w:themeColor="background2" w:themeShade="1A"/>
                <w:sz w:val="18"/>
                <w:szCs w:val="18"/>
              </w:rPr>
            </w:pP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7.72</w:t>
            </w:r>
          </w:p>
          <w:p>
            <w:pPr>
              <w:widowControl/>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302</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99</w:t>
            </w:r>
          </w:p>
        </w:tc>
        <w:tc>
          <w:tcPr>
            <w:tcW w:w="3478" w:type="dxa"/>
            <w:gridSpan w:val="2"/>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其他商品服务支出</w:t>
            </w:r>
          </w:p>
        </w:tc>
        <w:tc>
          <w:tcPr>
            <w:tcW w:w="133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1.76</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1.76</w:t>
            </w:r>
          </w:p>
        </w:tc>
      </w:tr>
      <w:tr>
        <w:tblPrEx>
          <w:tblLayout w:type="fixed"/>
          <w:tblCellMar>
            <w:top w:w="0" w:type="dxa"/>
            <w:left w:w="108" w:type="dxa"/>
            <w:bottom w:w="0" w:type="dxa"/>
            <w:right w:w="108" w:type="dxa"/>
          </w:tblCellMar>
        </w:tblPrEx>
        <w:trPr>
          <w:trHeight w:val="402" w:hRule="atLeast"/>
          <w:jc w:val="center"/>
        </w:trPr>
        <w:tc>
          <w:tcPr>
            <w:tcW w:w="453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项目</w:t>
            </w:r>
          </w:p>
        </w:tc>
        <w:tc>
          <w:tcPr>
            <w:tcW w:w="4392"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402" w:hRule="atLeast"/>
          <w:jc w:val="center"/>
        </w:trPr>
        <w:tc>
          <w:tcPr>
            <w:tcW w:w="1119"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经济分类科目编码</w:t>
            </w:r>
          </w:p>
        </w:tc>
        <w:tc>
          <w:tcPr>
            <w:tcW w:w="3415" w:type="dxa"/>
            <w:vMerge w:val="restart"/>
            <w:tcBorders>
              <w:top w:val="nil"/>
              <w:left w:val="nil"/>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经济分类科目名称</w:t>
            </w:r>
          </w:p>
        </w:tc>
        <w:tc>
          <w:tcPr>
            <w:tcW w:w="1400" w:type="dxa"/>
            <w:gridSpan w:val="2"/>
            <w:vMerge w:val="restart"/>
            <w:tcBorders>
              <w:top w:val="nil"/>
              <w:left w:val="nil"/>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小计</w:t>
            </w:r>
          </w:p>
        </w:tc>
        <w:tc>
          <w:tcPr>
            <w:tcW w:w="1554" w:type="dxa"/>
            <w:vMerge w:val="restart"/>
            <w:tcBorders>
              <w:top w:val="nil"/>
              <w:left w:val="nil"/>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人员经费</w:t>
            </w:r>
          </w:p>
        </w:tc>
        <w:tc>
          <w:tcPr>
            <w:tcW w:w="1438" w:type="dxa"/>
            <w:vMerge w:val="restart"/>
            <w:tcBorders>
              <w:top w:val="nil"/>
              <w:left w:val="nil"/>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类</w:t>
            </w:r>
          </w:p>
        </w:tc>
        <w:tc>
          <w:tcPr>
            <w:tcW w:w="562"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款</w:t>
            </w:r>
          </w:p>
        </w:tc>
        <w:tc>
          <w:tcPr>
            <w:tcW w:w="3415" w:type="dxa"/>
            <w:vMerge w:val="continue"/>
            <w:tcBorders>
              <w:left w:val="nil"/>
              <w:bottom w:val="single" w:color="auto" w:sz="4" w:space="0"/>
              <w:right w:val="single" w:color="auto" w:sz="4" w:space="0"/>
            </w:tcBorders>
            <w:shd w:val="clear" w:color="auto" w:fill="auto"/>
            <w:vAlign w:val="center"/>
          </w:tcPr>
          <w:p>
            <w:pPr>
              <w:widowControl/>
              <w:jc w:val="left"/>
              <w:rPr>
                <w:rFonts w:ascii="仿宋_GB2312" w:eastAsia="仿宋_GB2312"/>
                <w:color w:val="181717" w:themeColor="background2" w:themeShade="1A"/>
                <w:sz w:val="18"/>
                <w:szCs w:val="18"/>
              </w:rPr>
            </w:pPr>
          </w:p>
        </w:tc>
        <w:tc>
          <w:tcPr>
            <w:tcW w:w="1400" w:type="dxa"/>
            <w:gridSpan w:val="2"/>
            <w:vMerge w:val="continue"/>
            <w:tcBorders>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1554" w:type="dxa"/>
            <w:vMerge w:val="continue"/>
            <w:tcBorders>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1438" w:type="dxa"/>
            <w:vMerge w:val="continue"/>
            <w:tcBorders>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303</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02</w:t>
            </w:r>
          </w:p>
        </w:tc>
        <w:tc>
          <w:tcPr>
            <w:tcW w:w="3415"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退休费</w:t>
            </w:r>
          </w:p>
        </w:tc>
        <w:tc>
          <w:tcPr>
            <w:tcW w:w="1400"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72.91</w:t>
            </w:r>
          </w:p>
        </w:tc>
        <w:tc>
          <w:tcPr>
            <w:tcW w:w="15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72.91</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303</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05</w:t>
            </w:r>
          </w:p>
        </w:tc>
        <w:tc>
          <w:tcPr>
            <w:tcW w:w="3415"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生活补助</w:t>
            </w:r>
          </w:p>
        </w:tc>
        <w:tc>
          <w:tcPr>
            <w:tcW w:w="1400"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0.44</w:t>
            </w:r>
          </w:p>
        </w:tc>
        <w:tc>
          <w:tcPr>
            <w:tcW w:w="15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0.44</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303</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09</w:t>
            </w:r>
          </w:p>
        </w:tc>
        <w:tc>
          <w:tcPr>
            <w:tcW w:w="3415"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奖励金</w:t>
            </w:r>
          </w:p>
        </w:tc>
        <w:tc>
          <w:tcPr>
            <w:tcW w:w="1400"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200.61</w:t>
            </w:r>
          </w:p>
        </w:tc>
        <w:tc>
          <w:tcPr>
            <w:tcW w:w="15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200.61</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303</w:t>
            </w: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99</w:t>
            </w:r>
          </w:p>
        </w:tc>
        <w:tc>
          <w:tcPr>
            <w:tcW w:w="3415" w:type="dxa"/>
            <w:tcBorders>
              <w:top w:val="nil"/>
              <w:left w:val="nil"/>
              <w:bottom w:val="single" w:color="auto" w:sz="4" w:space="0"/>
              <w:right w:val="single" w:color="auto" w:sz="4" w:space="0"/>
            </w:tcBorders>
            <w:shd w:val="clear" w:color="auto" w:fill="auto"/>
            <w:vAlign w:val="center"/>
          </w:tcPr>
          <w:p>
            <w:pPr>
              <w:widowControl/>
              <w:rPr>
                <w:rFonts w:ascii="仿宋_GB2312" w:eastAsia="仿宋_GB2312"/>
                <w:color w:val="181717" w:themeColor="background2" w:themeShade="1A"/>
                <w:sz w:val="18"/>
                <w:szCs w:val="18"/>
              </w:rPr>
            </w:pPr>
            <w:r>
              <w:rPr>
                <w:rFonts w:hint="eastAsia" w:ascii="仿宋_GB2312" w:eastAsia="仿宋_GB2312"/>
                <w:color w:val="181717" w:themeColor="background2" w:themeShade="1A"/>
                <w:sz w:val="18"/>
                <w:szCs w:val="18"/>
              </w:rPr>
              <w:t>其他对个人和家庭的补助支出</w:t>
            </w:r>
          </w:p>
        </w:tc>
        <w:tc>
          <w:tcPr>
            <w:tcW w:w="1400"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7.78</w:t>
            </w:r>
          </w:p>
        </w:tc>
        <w:tc>
          <w:tcPr>
            <w:tcW w:w="15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7.78</w:t>
            </w: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3415"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color w:val="181717" w:themeColor="background2" w:themeShade="1A"/>
                <w:kern w:val="0"/>
                <w:sz w:val="18"/>
                <w:szCs w:val="18"/>
              </w:rPr>
            </w:pPr>
          </w:p>
        </w:tc>
        <w:tc>
          <w:tcPr>
            <w:tcW w:w="1400" w:type="dxa"/>
            <w:gridSpan w:val="2"/>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1554"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c>
          <w:tcPr>
            <w:tcW w:w="1438" w:type="dxa"/>
            <w:tcBorders>
              <w:top w:val="nil"/>
              <w:left w:val="nil"/>
              <w:bottom w:val="single" w:color="auto" w:sz="4" w:space="0"/>
              <w:right w:val="single" w:color="auto" w:sz="4" w:space="0"/>
            </w:tcBorders>
            <w:shd w:val="clear" w:color="auto" w:fill="auto"/>
            <w:vAlign w:val="center"/>
          </w:tcPr>
          <w:p>
            <w:pPr>
              <w:jc w:val="right"/>
              <w:rPr>
                <w:rFonts w:ascii="仿宋_GB2312" w:hAnsi="宋体" w:eastAsia="仿宋_GB2312" w:cs="宋体"/>
                <w:color w:val="181717" w:themeColor="background2" w:themeShade="1A"/>
                <w:sz w:val="18"/>
                <w:szCs w:val="18"/>
              </w:rPr>
            </w:pPr>
          </w:p>
        </w:tc>
      </w:tr>
      <w:tr>
        <w:tblPrEx>
          <w:tblLayout w:type="fixed"/>
          <w:tblCellMar>
            <w:top w:w="0" w:type="dxa"/>
            <w:left w:w="108" w:type="dxa"/>
            <w:bottom w:w="0" w:type="dxa"/>
            <w:right w:w="108" w:type="dxa"/>
          </w:tblCellMar>
        </w:tblPrEx>
        <w:trPr>
          <w:trHeight w:val="402" w:hRule="atLeast"/>
          <w:jc w:val="center"/>
        </w:trPr>
        <w:tc>
          <w:tcPr>
            <w:tcW w:w="557"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56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341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81717" w:themeColor="background2" w:themeShade="1A"/>
                <w:kern w:val="0"/>
                <w:sz w:val="18"/>
                <w:szCs w:val="18"/>
              </w:rPr>
            </w:pPr>
            <w:r>
              <w:rPr>
                <w:rFonts w:hint="eastAsia" w:ascii="仿宋_GB2312" w:hAnsi="宋体" w:eastAsia="仿宋_GB2312" w:cs="宋体"/>
                <w:bCs/>
                <w:color w:val="181717" w:themeColor="background2" w:themeShade="1A"/>
                <w:kern w:val="0"/>
                <w:sz w:val="18"/>
                <w:szCs w:val="18"/>
              </w:rPr>
              <w:t>合计</w:t>
            </w:r>
          </w:p>
        </w:tc>
        <w:tc>
          <w:tcPr>
            <w:tcW w:w="1400" w:type="dxa"/>
            <w:gridSpan w:val="2"/>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1015.19</w:t>
            </w:r>
          </w:p>
        </w:tc>
        <w:tc>
          <w:tcPr>
            <w:tcW w:w="155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819.73</w:t>
            </w:r>
          </w:p>
        </w:tc>
        <w:tc>
          <w:tcPr>
            <w:tcW w:w="143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195.46</w:t>
            </w:r>
          </w:p>
        </w:tc>
      </w:tr>
    </w:tbl>
    <w:p>
      <w:pPr>
        <w:widowControl/>
        <w:jc w:val="left"/>
        <w:outlineLvl w:val="1"/>
        <w:rPr>
          <w:rFonts w:ascii="仿宋_GB2312" w:hAnsi="宋体" w:eastAsia="仿宋_GB2312"/>
          <w:color w:val="181717" w:themeColor="background2" w:themeShade="1A"/>
          <w:kern w:val="0"/>
          <w:sz w:val="32"/>
          <w:szCs w:val="32"/>
        </w:rPr>
      </w:pPr>
    </w:p>
    <w:p>
      <w:pPr>
        <w:widowControl/>
        <w:jc w:val="left"/>
        <w:outlineLvl w:val="1"/>
        <w:rPr>
          <w:rFonts w:ascii="仿宋_GB2312" w:hAnsi="宋体" w:eastAsia="仿宋_GB2312"/>
          <w:b/>
          <w:color w:val="181717" w:themeColor="background2" w:themeShade="1A"/>
          <w:kern w:val="0"/>
          <w:sz w:val="32"/>
          <w:szCs w:val="32"/>
        </w:rPr>
      </w:pPr>
      <w:r>
        <w:rPr>
          <w:rFonts w:hint="eastAsia" w:ascii="仿宋_GB2312" w:hAnsi="宋体" w:eastAsia="仿宋_GB2312"/>
          <w:b/>
          <w:color w:val="181717" w:themeColor="background2" w:themeShade="1A"/>
          <w:kern w:val="0"/>
          <w:sz w:val="32"/>
          <w:szCs w:val="32"/>
        </w:rPr>
        <w:t>表七：</w:t>
      </w:r>
    </w:p>
    <w:tbl>
      <w:tblPr>
        <w:tblStyle w:val="10"/>
        <w:tblW w:w="9646" w:type="dxa"/>
        <w:jc w:val="center"/>
        <w:tblInd w:w="-2" w:type="dxa"/>
        <w:tblLayout w:type="fixed"/>
        <w:tblCellMar>
          <w:top w:w="0" w:type="dxa"/>
          <w:left w:w="108" w:type="dxa"/>
          <w:bottom w:w="0" w:type="dxa"/>
          <w:right w:w="108" w:type="dxa"/>
        </w:tblCellMar>
      </w:tblPr>
      <w:tblGrid>
        <w:gridCol w:w="513"/>
        <w:gridCol w:w="448"/>
        <w:gridCol w:w="425"/>
        <w:gridCol w:w="999"/>
        <w:gridCol w:w="771"/>
        <w:gridCol w:w="972"/>
        <w:gridCol w:w="846"/>
        <w:gridCol w:w="703"/>
        <w:gridCol w:w="846"/>
        <w:gridCol w:w="391"/>
        <w:gridCol w:w="533"/>
        <w:gridCol w:w="383"/>
        <w:gridCol w:w="643"/>
        <w:gridCol w:w="428"/>
        <w:gridCol w:w="383"/>
        <w:gridCol w:w="362"/>
      </w:tblGrid>
      <w:tr>
        <w:tblPrEx>
          <w:tblLayout w:type="fixed"/>
          <w:tblCellMar>
            <w:top w:w="0" w:type="dxa"/>
            <w:left w:w="108" w:type="dxa"/>
            <w:bottom w:w="0" w:type="dxa"/>
            <w:right w:w="108" w:type="dxa"/>
          </w:tblCellMar>
        </w:tblPrEx>
        <w:trPr>
          <w:trHeight w:val="365" w:hRule="atLeast"/>
          <w:jc w:val="center"/>
        </w:trPr>
        <w:tc>
          <w:tcPr>
            <w:tcW w:w="9646" w:type="dxa"/>
            <w:gridSpan w:val="16"/>
            <w:tcBorders>
              <w:top w:val="nil"/>
              <w:left w:val="nil"/>
              <w:bottom w:val="nil"/>
              <w:right w:val="nil"/>
            </w:tcBorders>
            <w:shd w:val="clear" w:color="auto" w:fill="auto"/>
            <w:noWrap/>
            <w:vAlign w:val="center"/>
          </w:tcPr>
          <w:p>
            <w:pPr>
              <w:widowControl/>
              <w:jc w:val="center"/>
              <w:rPr>
                <w:rFonts w:ascii="仿宋_GB2312" w:hAnsi="宋体" w:eastAsia="仿宋_GB2312" w:cs="宋体"/>
                <w:b/>
                <w:bCs/>
                <w:color w:val="181717" w:themeColor="background2" w:themeShade="1A"/>
                <w:kern w:val="0"/>
                <w:sz w:val="32"/>
                <w:szCs w:val="32"/>
              </w:rPr>
            </w:pPr>
            <w:r>
              <w:rPr>
                <w:rFonts w:hint="eastAsia" w:ascii="仿宋_GB2312" w:hAnsi="宋体" w:eastAsia="仿宋_GB2312" w:cs="宋体"/>
                <w:b/>
                <w:bCs/>
                <w:color w:val="181717" w:themeColor="background2" w:themeShade="1A"/>
                <w:kern w:val="0"/>
                <w:sz w:val="32"/>
                <w:szCs w:val="32"/>
              </w:rPr>
              <w:t>一般公共预算项目支出情况表</w:t>
            </w:r>
          </w:p>
          <w:p>
            <w:pPr>
              <w:widowControl/>
              <w:jc w:val="left"/>
              <w:outlineLvl w:val="1"/>
              <w:rPr>
                <w:rFonts w:ascii="仿宋_GB2312" w:hAnsi="宋体" w:eastAsia="仿宋_GB2312"/>
                <w:color w:val="181717" w:themeColor="background2" w:themeShade="1A"/>
                <w:kern w:val="0"/>
                <w:sz w:val="24"/>
              </w:rPr>
            </w:pPr>
            <w:r>
              <w:rPr>
                <w:rFonts w:hint="eastAsia" w:ascii="仿宋_GB2312" w:hAnsi="宋体" w:eastAsia="仿宋_GB2312"/>
                <w:color w:val="181717" w:themeColor="background2" w:themeShade="1A"/>
                <w:kern w:val="0"/>
                <w:sz w:val="24"/>
              </w:rPr>
              <w:t>编制单位：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jc w:val="center"/>
        </w:trPr>
        <w:tc>
          <w:tcPr>
            <w:tcW w:w="1386" w:type="dxa"/>
            <w:gridSpan w:val="3"/>
            <w:shd w:val="clear" w:color="auto" w:fill="auto"/>
            <w:noWrap/>
            <w:vAlign w:val="center"/>
          </w:tcPr>
          <w:p>
            <w:pPr>
              <w:widowControl/>
              <w:jc w:val="center"/>
              <w:outlineLvl w:val="1"/>
              <w:rPr>
                <w:rFonts w:ascii="仿宋_GB2312" w:hAnsi="宋体" w:eastAsia="仿宋_GB2312"/>
                <w:b/>
                <w:color w:val="181717" w:themeColor="background2" w:themeShade="1A"/>
                <w:kern w:val="0"/>
                <w:sz w:val="18"/>
                <w:szCs w:val="18"/>
              </w:rPr>
            </w:pPr>
            <w:r>
              <w:rPr>
                <w:rFonts w:hint="eastAsia" w:ascii="仿宋_GB2312" w:hAnsi="宋体" w:eastAsia="仿宋_GB2312"/>
                <w:b/>
                <w:color w:val="181717" w:themeColor="background2" w:themeShade="1A"/>
                <w:kern w:val="0"/>
                <w:sz w:val="18"/>
                <w:szCs w:val="18"/>
              </w:rPr>
              <w:t>科 目 编 码</w:t>
            </w:r>
          </w:p>
        </w:tc>
        <w:tc>
          <w:tcPr>
            <w:tcW w:w="999" w:type="dxa"/>
            <w:vMerge w:val="restart"/>
            <w:shd w:val="clear" w:color="auto" w:fill="auto"/>
            <w:noWrap/>
            <w:vAlign w:val="center"/>
          </w:tcPr>
          <w:p>
            <w:pPr>
              <w:widowControl/>
              <w:jc w:val="center"/>
              <w:outlineLvl w:val="1"/>
              <w:rPr>
                <w:rFonts w:ascii="仿宋_GB2312" w:hAnsi="宋体" w:eastAsia="仿宋_GB2312"/>
                <w:b/>
                <w:color w:val="181717" w:themeColor="background2" w:themeShade="1A"/>
                <w:kern w:val="0"/>
                <w:sz w:val="18"/>
                <w:szCs w:val="18"/>
              </w:rPr>
            </w:pPr>
            <w:r>
              <w:rPr>
                <w:rFonts w:hint="eastAsia" w:ascii="仿宋_GB2312" w:hAnsi="宋体" w:eastAsia="仿宋_GB2312"/>
                <w:b/>
                <w:color w:val="181717" w:themeColor="background2" w:themeShade="1A"/>
                <w:kern w:val="0"/>
                <w:sz w:val="18"/>
                <w:szCs w:val="18"/>
              </w:rPr>
              <w:t>科目</w:t>
            </w:r>
          </w:p>
        </w:tc>
        <w:tc>
          <w:tcPr>
            <w:tcW w:w="771" w:type="dxa"/>
            <w:vMerge w:val="restart"/>
            <w:shd w:val="clear" w:color="auto" w:fill="auto"/>
            <w:noWrap/>
            <w:vAlign w:val="center"/>
          </w:tcPr>
          <w:p>
            <w:pPr>
              <w:jc w:val="center"/>
              <w:rPr>
                <w:rFonts w:ascii="仿宋_GB2312" w:eastAsia="仿宋_GB2312"/>
                <w:color w:val="181717" w:themeColor="background2" w:themeShade="1A"/>
                <w:sz w:val="18"/>
                <w:szCs w:val="18"/>
              </w:rPr>
            </w:pPr>
            <w:r>
              <w:rPr>
                <w:rFonts w:hint="eastAsia" w:ascii="仿宋_GB2312" w:hAnsi="宋体" w:eastAsia="仿宋_GB2312"/>
                <w:b/>
                <w:color w:val="181717" w:themeColor="background2" w:themeShade="1A"/>
                <w:kern w:val="0"/>
                <w:sz w:val="18"/>
                <w:szCs w:val="18"/>
              </w:rPr>
              <w:t>项目名称</w:t>
            </w:r>
          </w:p>
        </w:tc>
        <w:tc>
          <w:tcPr>
            <w:tcW w:w="972" w:type="dxa"/>
            <w:vMerge w:val="restart"/>
            <w:shd w:val="clear" w:color="auto" w:fill="auto"/>
            <w:vAlign w:val="center"/>
          </w:tcPr>
          <w:p>
            <w:pPr>
              <w:widowControl/>
              <w:jc w:val="center"/>
              <w:outlineLvl w:val="1"/>
              <w:rPr>
                <w:rFonts w:ascii="仿宋_GB2312" w:hAnsi="宋体" w:eastAsia="仿宋_GB2312"/>
                <w:b/>
                <w:color w:val="181717" w:themeColor="background2" w:themeShade="1A"/>
                <w:kern w:val="0"/>
                <w:sz w:val="18"/>
                <w:szCs w:val="18"/>
              </w:rPr>
            </w:pPr>
            <w:r>
              <w:rPr>
                <w:rFonts w:hint="eastAsia" w:ascii="仿宋_GB2312" w:hAnsi="宋体" w:eastAsia="仿宋_GB2312"/>
                <w:b/>
                <w:color w:val="181717" w:themeColor="background2" w:themeShade="1A"/>
                <w:kern w:val="0"/>
                <w:sz w:val="18"/>
                <w:szCs w:val="18"/>
              </w:rPr>
              <w:t>项目支出合计</w:t>
            </w:r>
          </w:p>
        </w:tc>
        <w:tc>
          <w:tcPr>
            <w:tcW w:w="846" w:type="dxa"/>
            <w:vMerge w:val="restart"/>
            <w:shd w:val="clear" w:color="auto" w:fill="auto"/>
            <w:vAlign w:val="center"/>
          </w:tcPr>
          <w:p>
            <w:pPr>
              <w:widowControl/>
              <w:jc w:val="center"/>
              <w:outlineLvl w:val="1"/>
              <w:rPr>
                <w:rFonts w:ascii="仿宋_GB2312" w:hAnsi="宋体" w:eastAsia="仿宋_GB2312"/>
                <w:b/>
                <w:color w:val="181717" w:themeColor="background2" w:themeShade="1A"/>
                <w:kern w:val="0"/>
                <w:sz w:val="18"/>
                <w:szCs w:val="18"/>
              </w:rPr>
            </w:pPr>
            <w:r>
              <w:rPr>
                <w:rFonts w:hint="eastAsia" w:ascii="仿宋_GB2312" w:hAnsi="宋体" w:eastAsia="仿宋_GB2312"/>
                <w:b/>
                <w:color w:val="181717" w:themeColor="background2" w:themeShade="1A"/>
                <w:kern w:val="0"/>
                <w:sz w:val="18"/>
                <w:szCs w:val="18"/>
              </w:rPr>
              <w:t>工资福利支出</w:t>
            </w:r>
          </w:p>
        </w:tc>
        <w:tc>
          <w:tcPr>
            <w:tcW w:w="703" w:type="dxa"/>
            <w:vMerge w:val="restart"/>
            <w:shd w:val="clear" w:color="auto" w:fill="auto"/>
            <w:vAlign w:val="center"/>
          </w:tcPr>
          <w:p>
            <w:pPr>
              <w:widowControl/>
              <w:jc w:val="center"/>
              <w:outlineLvl w:val="1"/>
              <w:rPr>
                <w:rFonts w:ascii="仿宋_GB2312" w:hAnsi="宋体" w:eastAsia="仿宋_GB2312"/>
                <w:b/>
                <w:color w:val="181717" w:themeColor="background2" w:themeShade="1A"/>
                <w:kern w:val="0"/>
                <w:sz w:val="18"/>
                <w:szCs w:val="18"/>
              </w:rPr>
            </w:pPr>
            <w:r>
              <w:rPr>
                <w:rFonts w:hint="eastAsia" w:ascii="仿宋_GB2312" w:hAnsi="宋体" w:eastAsia="仿宋_GB2312"/>
                <w:b/>
                <w:color w:val="181717" w:themeColor="background2" w:themeShade="1A"/>
                <w:kern w:val="0"/>
                <w:sz w:val="18"/>
                <w:szCs w:val="18"/>
              </w:rPr>
              <w:t>商品和服务支出</w:t>
            </w:r>
          </w:p>
        </w:tc>
        <w:tc>
          <w:tcPr>
            <w:tcW w:w="846" w:type="dxa"/>
            <w:vMerge w:val="restart"/>
            <w:shd w:val="clear" w:color="auto" w:fill="auto"/>
            <w:vAlign w:val="center"/>
          </w:tcPr>
          <w:p>
            <w:pPr>
              <w:widowControl/>
              <w:jc w:val="center"/>
              <w:outlineLvl w:val="1"/>
              <w:rPr>
                <w:rFonts w:ascii="仿宋_GB2312" w:hAnsi="宋体" w:eastAsia="仿宋_GB2312"/>
                <w:b/>
                <w:color w:val="181717" w:themeColor="background2" w:themeShade="1A"/>
                <w:kern w:val="0"/>
                <w:sz w:val="18"/>
                <w:szCs w:val="18"/>
              </w:rPr>
            </w:pPr>
            <w:r>
              <w:rPr>
                <w:rFonts w:hint="eastAsia" w:ascii="仿宋_GB2312" w:hAnsi="宋体" w:eastAsia="仿宋_GB2312"/>
                <w:b/>
                <w:color w:val="181717" w:themeColor="background2" w:themeShade="1A"/>
                <w:kern w:val="0"/>
                <w:sz w:val="18"/>
                <w:szCs w:val="18"/>
              </w:rPr>
              <w:t>对个人和家庭的补助</w:t>
            </w:r>
          </w:p>
        </w:tc>
        <w:tc>
          <w:tcPr>
            <w:tcW w:w="391" w:type="dxa"/>
            <w:vMerge w:val="restart"/>
            <w:shd w:val="clear" w:color="auto" w:fill="auto"/>
            <w:vAlign w:val="center"/>
          </w:tcPr>
          <w:p>
            <w:pPr>
              <w:widowControl/>
              <w:jc w:val="center"/>
              <w:outlineLvl w:val="1"/>
              <w:rPr>
                <w:rFonts w:ascii="仿宋_GB2312" w:hAnsi="宋体" w:eastAsia="仿宋_GB2312"/>
                <w:b/>
                <w:color w:val="181717" w:themeColor="background2" w:themeShade="1A"/>
                <w:kern w:val="0"/>
                <w:sz w:val="18"/>
                <w:szCs w:val="18"/>
              </w:rPr>
            </w:pPr>
            <w:r>
              <w:rPr>
                <w:rFonts w:hint="eastAsia" w:ascii="仿宋_GB2312" w:hAnsi="宋体" w:eastAsia="仿宋_GB2312"/>
                <w:b/>
                <w:color w:val="181717" w:themeColor="background2" w:themeShade="1A"/>
                <w:kern w:val="0"/>
                <w:sz w:val="18"/>
                <w:szCs w:val="18"/>
              </w:rPr>
              <w:t>债务利息及费用支出</w:t>
            </w:r>
          </w:p>
        </w:tc>
        <w:tc>
          <w:tcPr>
            <w:tcW w:w="533" w:type="dxa"/>
            <w:vMerge w:val="restart"/>
            <w:shd w:val="clear" w:color="auto" w:fill="auto"/>
            <w:vAlign w:val="center"/>
          </w:tcPr>
          <w:p>
            <w:pPr>
              <w:widowControl/>
              <w:jc w:val="center"/>
              <w:outlineLvl w:val="1"/>
              <w:rPr>
                <w:rFonts w:ascii="仿宋_GB2312" w:hAnsi="宋体" w:eastAsia="仿宋_GB2312"/>
                <w:b/>
                <w:color w:val="181717" w:themeColor="background2" w:themeShade="1A"/>
                <w:kern w:val="0"/>
                <w:sz w:val="18"/>
                <w:szCs w:val="18"/>
              </w:rPr>
            </w:pPr>
            <w:r>
              <w:rPr>
                <w:rFonts w:hint="eastAsia" w:ascii="仿宋_GB2312" w:hAnsi="宋体" w:eastAsia="仿宋_GB2312"/>
                <w:b/>
                <w:color w:val="181717" w:themeColor="background2" w:themeShade="1A"/>
                <w:kern w:val="0"/>
                <w:sz w:val="18"/>
                <w:szCs w:val="18"/>
              </w:rPr>
              <w:t>资本性支出（基本建设）</w:t>
            </w:r>
          </w:p>
        </w:tc>
        <w:tc>
          <w:tcPr>
            <w:tcW w:w="383" w:type="dxa"/>
            <w:vMerge w:val="restart"/>
            <w:shd w:val="clear" w:color="auto" w:fill="auto"/>
            <w:vAlign w:val="center"/>
          </w:tcPr>
          <w:p>
            <w:pPr>
              <w:widowControl/>
              <w:jc w:val="center"/>
              <w:outlineLvl w:val="1"/>
              <w:rPr>
                <w:rFonts w:ascii="仿宋_GB2312" w:hAnsi="宋体" w:eastAsia="仿宋_GB2312"/>
                <w:b/>
                <w:color w:val="181717" w:themeColor="background2" w:themeShade="1A"/>
                <w:kern w:val="0"/>
                <w:sz w:val="18"/>
                <w:szCs w:val="18"/>
              </w:rPr>
            </w:pPr>
            <w:r>
              <w:rPr>
                <w:rFonts w:hint="eastAsia" w:ascii="仿宋_GB2312" w:hAnsi="宋体" w:eastAsia="仿宋_GB2312"/>
                <w:b/>
                <w:color w:val="181717" w:themeColor="background2" w:themeShade="1A"/>
                <w:kern w:val="0"/>
                <w:sz w:val="18"/>
                <w:szCs w:val="18"/>
              </w:rPr>
              <w:t>资本性支出</w:t>
            </w:r>
          </w:p>
        </w:tc>
        <w:tc>
          <w:tcPr>
            <w:tcW w:w="643" w:type="dxa"/>
            <w:vMerge w:val="restart"/>
            <w:shd w:val="clear" w:color="auto" w:fill="auto"/>
            <w:vAlign w:val="center"/>
          </w:tcPr>
          <w:p>
            <w:pPr>
              <w:widowControl/>
              <w:jc w:val="center"/>
              <w:outlineLvl w:val="1"/>
              <w:rPr>
                <w:rFonts w:ascii="仿宋_GB2312" w:hAnsi="宋体" w:eastAsia="仿宋_GB2312"/>
                <w:b/>
                <w:color w:val="181717" w:themeColor="background2" w:themeShade="1A"/>
                <w:kern w:val="0"/>
                <w:sz w:val="18"/>
                <w:szCs w:val="18"/>
              </w:rPr>
            </w:pPr>
            <w:r>
              <w:rPr>
                <w:rFonts w:hint="eastAsia" w:ascii="仿宋_GB2312" w:hAnsi="宋体" w:eastAsia="仿宋_GB2312"/>
                <w:b/>
                <w:color w:val="181717" w:themeColor="background2" w:themeShade="1A"/>
                <w:kern w:val="0"/>
                <w:sz w:val="18"/>
                <w:szCs w:val="18"/>
              </w:rPr>
              <w:t>对企业补助（基本建设）</w:t>
            </w:r>
          </w:p>
        </w:tc>
        <w:tc>
          <w:tcPr>
            <w:tcW w:w="428" w:type="dxa"/>
            <w:vMerge w:val="restart"/>
            <w:shd w:val="clear" w:color="auto" w:fill="auto"/>
            <w:vAlign w:val="center"/>
          </w:tcPr>
          <w:p>
            <w:pPr>
              <w:widowControl/>
              <w:jc w:val="center"/>
              <w:outlineLvl w:val="1"/>
              <w:rPr>
                <w:rFonts w:ascii="仿宋_GB2312" w:hAnsi="宋体" w:eastAsia="仿宋_GB2312"/>
                <w:b/>
                <w:color w:val="181717" w:themeColor="background2" w:themeShade="1A"/>
                <w:kern w:val="0"/>
                <w:sz w:val="18"/>
                <w:szCs w:val="18"/>
              </w:rPr>
            </w:pPr>
            <w:r>
              <w:rPr>
                <w:rFonts w:hint="eastAsia" w:ascii="仿宋_GB2312" w:hAnsi="宋体" w:eastAsia="仿宋_GB2312"/>
                <w:b/>
                <w:color w:val="181717" w:themeColor="background2" w:themeShade="1A"/>
                <w:kern w:val="0"/>
                <w:sz w:val="18"/>
                <w:szCs w:val="18"/>
              </w:rPr>
              <w:t>对企业补助</w:t>
            </w:r>
          </w:p>
        </w:tc>
        <w:tc>
          <w:tcPr>
            <w:tcW w:w="383" w:type="dxa"/>
            <w:vMerge w:val="restart"/>
            <w:shd w:val="clear" w:color="auto" w:fill="auto"/>
            <w:vAlign w:val="center"/>
          </w:tcPr>
          <w:p>
            <w:pPr>
              <w:widowControl/>
              <w:jc w:val="center"/>
              <w:outlineLvl w:val="1"/>
              <w:rPr>
                <w:rFonts w:ascii="仿宋_GB2312" w:hAnsi="宋体" w:eastAsia="仿宋_GB2312"/>
                <w:b/>
                <w:color w:val="181717" w:themeColor="background2" w:themeShade="1A"/>
                <w:kern w:val="0"/>
                <w:sz w:val="18"/>
                <w:szCs w:val="18"/>
              </w:rPr>
            </w:pPr>
            <w:r>
              <w:rPr>
                <w:rFonts w:hint="eastAsia" w:ascii="仿宋_GB2312" w:hAnsi="宋体" w:eastAsia="仿宋_GB2312"/>
                <w:b/>
                <w:color w:val="181717" w:themeColor="background2" w:themeShade="1A"/>
                <w:kern w:val="0"/>
                <w:sz w:val="18"/>
                <w:szCs w:val="18"/>
              </w:rPr>
              <w:t>对社会保障基金补助</w:t>
            </w:r>
          </w:p>
        </w:tc>
        <w:tc>
          <w:tcPr>
            <w:tcW w:w="362" w:type="dxa"/>
            <w:vMerge w:val="restart"/>
            <w:shd w:val="clear" w:color="auto" w:fill="auto"/>
            <w:vAlign w:val="center"/>
          </w:tcPr>
          <w:p>
            <w:pPr>
              <w:widowControl/>
              <w:jc w:val="center"/>
              <w:outlineLvl w:val="1"/>
              <w:rPr>
                <w:rFonts w:ascii="仿宋_GB2312" w:hAnsi="宋体" w:eastAsia="仿宋_GB2312"/>
                <w:b/>
                <w:color w:val="181717" w:themeColor="background2" w:themeShade="1A"/>
                <w:kern w:val="0"/>
                <w:sz w:val="18"/>
                <w:szCs w:val="18"/>
              </w:rPr>
            </w:pPr>
            <w:r>
              <w:rPr>
                <w:rFonts w:hint="eastAsia" w:ascii="仿宋_GB2312" w:hAnsi="宋体" w:eastAsia="仿宋_GB2312"/>
                <w:b/>
                <w:color w:val="181717"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jc w:val="center"/>
        </w:trPr>
        <w:tc>
          <w:tcPr>
            <w:tcW w:w="513" w:type="dxa"/>
            <w:tcBorders>
              <w:bottom w:val="single" w:color="auto" w:sz="4" w:space="0"/>
            </w:tcBorders>
            <w:shd w:val="clear" w:color="auto" w:fill="auto"/>
            <w:noWrap/>
            <w:vAlign w:val="center"/>
          </w:tcPr>
          <w:p>
            <w:pPr>
              <w:widowControl/>
              <w:jc w:val="left"/>
              <w:outlineLvl w:val="1"/>
              <w:rPr>
                <w:rFonts w:ascii="仿宋_GB2312" w:hAnsi="宋体" w:eastAsia="仿宋_GB2312"/>
                <w:b/>
                <w:color w:val="181717" w:themeColor="background2" w:themeShade="1A"/>
                <w:kern w:val="0"/>
                <w:sz w:val="18"/>
                <w:szCs w:val="18"/>
              </w:rPr>
            </w:pPr>
            <w:r>
              <w:rPr>
                <w:rFonts w:hint="eastAsia" w:ascii="仿宋_GB2312" w:hAnsi="宋体" w:eastAsia="仿宋_GB2312"/>
                <w:b/>
                <w:color w:val="181717" w:themeColor="background2" w:themeShade="1A"/>
                <w:kern w:val="0"/>
                <w:sz w:val="18"/>
                <w:szCs w:val="18"/>
              </w:rPr>
              <w:t>类</w:t>
            </w:r>
          </w:p>
        </w:tc>
        <w:tc>
          <w:tcPr>
            <w:tcW w:w="448" w:type="dxa"/>
            <w:tcBorders>
              <w:bottom w:val="single" w:color="auto" w:sz="4" w:space="0"/>
            </w:tcBorders>
            <w:shd w:val="clear" w:color="auto" w:fill="auto"/>
            <w:noWrap/>
            <w:vAlign w:val="center"/>
          </w:tcPr>
          <w:p>
            <w:pPr>
              <w:widowControl/>
              <w:jc w:val="left"/>
              <w:outlineLvl w:val="1"/>
              <w:rPr>
                <w:rFonts w:ascii="仿宋_GB2312" w:hAnsi="宋体" w:eastAsia="仿宋_GB2312"/>
                <w:b/>
                <w:color w:val="181717" w:themeColor="background2" w:themeShade="1A"/>
                <w:kern w:val="0"/>
                <w:sz w:val="18"/>
                <w:szCs w:val="18"/>
              </w:rPr>
            </w:pPr>
            <w:r>
              <w:rPr>
                <w:rFonts w:hint="eastAsia" w:ascii="仿宋_GB2312" w:hAnsi="宋体" w:eastAsia="仿宋_GB2312"/>
                <w:b/>
                <w:color w:val="181717" w:themeColor="background2" w:themeShade="1A"/>
                <w:kern w:val="0"/>
                <w:sz w:val="18"/>
                <w:szCs w:val="18"/>
              </w:rPr>
              <w:t>款</w:t>
            </w:r>
          </w:p>
        </w:tc>
        <w:tc>
          <w:tcPr>
            <w:tcW w:w="425" w:type="dxa"/>
            <w:tcBorders>
              <w:bottom w:val="single" w:color="auto" w:sz="4" w:space="0"/>
            </w:tcBorders>
            <w:shd w:val="clear" w:color="auto" w:fill="auto"/>
            <w:noWrap/>
            <w:vAlign w:val="center"/>
          </w:tcPr>
          <w:p>
            <w:pPr>
              <w:widowControl/>
              <w:jc w:val="left"/>
              <w:outlineLvl w:val="1"/>
              <w:rPr>
                <w:rFonts w:ascii="仿宋_GB2312" w:hAnsi="宋体" w:eastAsia="仿宋_GB2312"/>
                <w:b/>
                <w:color w:val="181717" w:themeColor="background2" w:themeShade="1A"/>
                <w:kern w:val="0"/>
                <w:sz w:val="18"/>
                <w:szCs w:val="18"/>
              </w:rPr>
            </w:pPr>
            <w:r>
              <w:rPr>
                <w:rFonts w:hint="eastAsia" w:ascii="仿宋_GB2312" w:hAnsi="宋体" w:eastAsia="仿宋_GB2312"/>
                <w:b/>
                <w:color w:val="181717" w:themeColor="background2" w:themeShade="1A"/>
                <w:kern w:val="0"/>
                <w:sz w:val="18"/>
                <w:szCs w:val="18"/>
              </w:rPr>
              <w:t>项</w:t>
            </w:r>
          </w:p>
        </w:tc>
        <w:tc>
          <w:tcPr>
            <w:tcW w:w="999" w:type="dxa"/>
            <w:vMerge w:val="continue"/>
            <w:tcBorders>
              <w:bottom w:val="single" w:color="auto" w:sz="4" w:space="0"/>
            </w:tcBorders>
            <w:shd w:val="clear" w:color="auto" w:fill="auto"/>
            <w:vAlign w:val="center"/>
          </w:tcPr>
          <w:p>
            <w:pPr>
              <w:widowControl/>
              <w:jc w:val="left"/>
              <w:outlineLvl w:val="1"/>
              <w:rPr>
                <w:rFonts w:ascii="仿宋_GB2312" w:hAnsi="宋体" w:eastAsia="仿宋_GB2312"/>
                <w:b/>
                <w:color w:val="181717" w:themeColor="background2" w:themeShade="1A"/>
                <w:kern w:val="0"/>
                <w:sz w:val="18"/>
                <w:szCs w:val="18"/>
              </w:rPr>
            </w:pPr>
          </w:p>
        </w:tc>
        <w:tc>
          <w:tcPr>
            <w:tcW w:w="771" w:type="dxa"/>
            <w:vMerge w:val="continue"/>
            <w:tcBorders>
              <w:bottom w:val="single" w:color="auto" w:sz="4" w:space="0"/>
            </w:tcBorders>
            <w:shd w:val="clear" w:color="auto" w:fill="auto"/>
          </w:tcPr>
          <w:p>
            <w:pPr>
              <w:widowControl/>
              <w:jc w:val="left"/>
              <w:outlineLvl w:val="1"/>
              <w:rPr>
                <w:rFonts w:ascii="仿宋_GB2312" w:hAnsi="宋体" w:eastAsia="仿宋_GB2312"/>
                <w:b/>
                <w:color w:val="181717" w:themeColor="background2" w:themeShade="1A"/>
                <w:kern w:val="0"/>
                <w:sz w:val="18"/>
                <w:szCs w:val="18"/>
              </w:rPr>
            </w:pPr>
          </w:p>
        </w:tc>
        <w:tc>
          <w:tcPr>
            <w:tcW w:w="972" w:type="dxa"/>
            <w:vMerge w:val="continue"/>
            <w:tcBorders>
              <w:bottom w:val="single" w:color="auto" w:sz="4" w:space="0"/>
            </w:tcBorders>
            <w:shd w:val="clear" w:color="auto" w:fill="auto"/>
          </w:tcPr>
          <w:p>
            <w:pPr>
              <w:widowControl/>
              <w:jc w:val="left"/>
              <w:outlineLvl w:val="1"/>
              <w:rPr>
                <w:rFonts w:ascii="仿宋_GB2312" w:hAnsi="宋体" w:eastAsia="仿宋_GB2312"/>
                <w:b/>
                <w:color w:val="181717" w:themeColor="background2" w:themeShade="1A"/>
                <w:kern w:val="0"/>
                <w:sz w:val="18"/>
                <w:szCs w:val="18"/>
              </w:rPr>
            </w:pPr>
          </w:p>
        </w:tc>
        <w:tc>
          <w:tcPr>
            <w:tcW w:w="846" w:type="dxa"/>
            <w:vMerge w:val="continue"/>
            <w:tcBorders>
              <w:bottom w:val="single" w:color="auto" w:sz="4" w:space="0"/>
            </w:tcBorders>
            <w:shd w:val="clear" w:color="auto" w:fill="auto"/>
          </w:tcPr>
          <w:p>
            <w:pPr>
              <w:widowControl/>
              <w:jc w:val="left"/>
              <w:outlineLvl w:val="1"/>
              <w:rPr>
                <w:rFonts w:ascii="仿宋_GB2312" w:hAnsi="宋体" w:eastAsia="仿宋_GB2312"/>
                <w:b/>
                <w:color w:val="181717" w:themeColor="background2" w:themeShade="1A"/>
                <w:kern w:val="0"/>
                <w:sz w:val="18"/>
                <w:szCs w:val="18"/>
              </w:rPr>
            </w:pPr>
          </w:p>
        </w:tc>
        <w:tc>
          <w:tcPr>
            <w:tcW w:w="703" w:type="dxa"/>
            <w:vMerge w:val="continue"/>
            <w:tcBorders>
              <w:bottom w:val="single" w:color="auto" w:sz="4" w:space="0"/>
            </w:tcBorders>
            <w:shd w:val="clear" w:color="auto" w:fill="auto"/>
          </w:tcPr>
          <w:p>
            <w:pPr>
              <w:widowControl/>
              <w:jc w:val="left"/>
              <w:outlineLvl w:val="1"/>
              <w:rPr>
                <w:rFonts w:ascii="仿宋_GB2312" w:hAnsi="宋体" w:eastAsia="仿宋_GB2312"/>
                <w:b/>
                <w:color w:val="181717" w:themeColor="background2" w:themeShade="1A"/>
                <w:kern w:val="0"/>
                <w:sz w:val="18"/>
                <w:szCs w:val="18"/>
              </w:rPr>
            </w:pPr>
          </w:p>
        </w:tc>
        <w:tc>
          <w:tcPr>
            <w:tcW w:w="846" w:type="dxa"/>
            <w:vMerge w:val="continue"/>
            <w:tcBorders>
              <w:bottom w:val="single" w:color="auto" w:sz="4" w:space="0"/>
            </w:tcBorders>
            <w:shd w:val="clear" w:color="auto" w:fill="auto"/>
          </w:tcPr>
          <w:p>
            <w:pPr>
              <w:widowControl/>
              <w:jc w:val="left"/>
              <w:outlineLvl w:val="1"/>
              <w:rPr>
                <w:rFonts w:ascii="仿宋_GB2312" w:hAnsi="宋体" w:eastAsia="仿宋_GB2312"/>
                <w:b/>
                <w:color w:val="181717" w:themeColor="background2" w:themeShade="1A"/>
                <w:kern w:val="0"/>
                <w:sz w:val="18"/>
                <w:szCs w:val="18"/>
              </w:rPr>
            </w:pPr>
          </w:p>
        </w:tc>
        <w:tc>
          <w:tcPr>
            <w:tcW w:w="391" w:type="dxa"/>
            <w:vMerge w:val="continue"/>
            <w:tcBorders>
              <w:bottom w:val="single" w:color="auto" w:sz="4" w:space="0"/>
            </w:tcBorders>
            <w:shd w:val="clear" w:color="auto" w:fill="auto"/>
          </w:tcPr>
          <w:p>
            <w:pPr>
              <w:widowControl/>
              <w:jc w:val="left"/>
              <w:outlineLvl w:val="1"/>
              <w:rPr>
                <w:rFonts w:ascii="仿宋_GB2312" w:hAnsi="宋体" w:eastAsia="仿宋_GB2312"/>
                <w:b/>
                <w:color w:val="181717" w:themeColor="background2" w:themeShade="1A"/>
                <w:kern w:val="0"/>
                <w:sz w:val="18"/>
                <w:szCs w:val="18"/>
              </w:rPr>
            </w:pPr>
          </w:p>
        </w:tc>
        <w:tc>
          <w:tcPr>
            <w:tcW w:w="533" w:type="dxa"/>
            <w:vMerge w:val="continue"/>
            <w:tcBorders>
              <w:bottom w:val="single" w:color="auto" w:sz="4" w:space="0"/>
            </w:tcBorders>
            <w:shd w:val="clear" w:color="auto" w:fill="auto"/>
          </w:tcPr>
          <w:p>
            <w:pPr>
              <w:widowControl/>
              <w:jc w:val="left"/>
              <w:outlineLvl w:val="1"/>
              <w:rPr>
                <w:rFonts w:ascii="仿宋_GB2312" w:hAnsi="宋体" w:eastAsia="仿宋_GB2312"/>
                <w:b/>
                <w:color w:val="181717" w:themeColor="background2" w:themeShade="1A"/>
                <w:kern w:val="0"/>
                <w:sz w:val="18"/>
                <w:szCs w:val="18"/>
              </w:rPr>
            </w:pPr>
          </w:p>
        </w:tc>
        <w:tc>
          <w:tcPr>
            <w:tcW w:w="383" w:type="dxa"/>
            <w:vMerge w:val="continue"/>
            <w:tcBorders>
              <w:bottom w:val="single" w:color="auto" w:sz="4" w:space="0"/>
            </w:tcBorders>
            <w:shd w:val="clear" w:color="auto" w:fill="auto"/>
          </w:tcPr>
          <w:p>
            <w:pPr>
              <w:widowControl/>
              <w:jc w:val="left"/>
              <w:outlineLvl w:val="1"/>
              <w:rPr>
                <w:rFonts w:ascii="仿宋_GB2312" w:hAnsi="宋体" w:eastAsia="仿宋_GB2312"/>
                <w:b/>
                <w:color w:val="181717" w:themeColor="background2" w:themeShade="1A"/>
                <w:kern w:val="0"/>
                <w:sz w:val="18"/>
                <w:szCs w:val="18"/>
              </w:rPr>
            </w:pPr>
          </w:p>
        </w:tc>
        <w:tc>
          <w:tcPr>
            <w:tcW w:w="643" w:type="dxa"/>
            <w:vMerge w:val="continue"/>
            <w:tcBorders>
              <w:bottom w:val="single" w:color="auto" w:sz="4" w:space="0"/>
            </w:tcBorders>
            <w:shd w:val="clear" w:color="auto" w:fill="auto"/>
          </w:tcPr>
          <w:p>
            <w:pPr>
              <w:widowControl/>
              <w:jc w:val="left"/>
              <w:outlineLvl w:val="1"/>
              <w:rPr>
                <w:rFonts w:ascii="仿宋_GB2312" w:hAnsi="宋体" w:eastAsia="仿宋_GB2312"/>
                <w:b/>
                <w:color w:val="181717" w:themeColor="background2" w:themeShade="1A"/>
                <w:kern w:val="0"/>
                <w:sz w:val="18"/>
                <w:szCs w:val="18"/>
              </w:rPr>
            </w:pPr>
          </w:p>
        </w:tc>
        <w:tc>
          <w:tcPr>
            <w:tcW w:w="428" w:type="dxa"/>
            <w:vMerge w:val="continue"/>
            <w:tcBorders>
              <w:bottom w:val="single" w:color="auto" w:sz="4" w:space="0"/>
            </w:tcBorders>
            <w:shd w:val="clear" w:color="auto" w:fill="auto"/>
          </w:tcPr>
          <w:p>
            <w:pPr>
              <w:widowControl/>
              <w:jc w:val="left"/>
              <w:outlineLvl w:val="1"/>
              <w:rPr>
                <w:rFonts w:ascii="仿宋_GB2312" w:hAnsi="宋体" w:eastAsia="仿宋_GB2312"/>
                <w:b/>
                <w:color w:val="181717" w:themeColor="background2" w:themeShade="1A"/>
                <w:kern w:val="0"/>
                <w:sz w:val="18"/>
                <w:szCs w:val="18"/>
              </w:rPr>
            </w:pPr>
          </w:p>
        </w:tc>
        <w:tc>
          <w:tcPr>
            <w:tcW w:w="383" w:type="dxa"/>
            <w:vMerge w:val="continue"/>
            <w:tcBorders>
              <w:bottom w:val="single" w:color="auto" w:sz="4" w:space="0"/>
            </w:tcBorders>
            <w:shd w:val="clear" w:color="auto" w:fill="auto"/>
          </w:tcPr>
          <w:p>
            <w:pPr>
              <w:widowControl/>
              <w:jc w:val="left"/>
              <w:outlineLvl w:val="1"/>
              <w:rPr>
                <w:rFonts w:ascii="仿宋_GB2312" w:hAnsi="宋体" w:eastAsia="仿宋_GB2312"/>
                <w:b/>
                <w:color w:val="181717" w:themeColor="background2" w:themeShade="1A"/>
                <w:kern w:val="0"/>
                <w:sz w:val="18"/>
                <w:szCs w:val="18"/>
              </w:rPr>
            </w:pPr>
          </w:p>
        </w:tc>
        <w:tc>
          <w:tcPr>
            <w:tcW w:w="362" w:type="dxa"/>
            <w:vMerge w:val="continue"/>
            <w:tcBorders>
              <w:bottom w:val="single" w:color="auto" w:sz="4" w:space="0"/>
            </w:tcBorders>
            <w:shd w:val="clear" w:color="auto" w:fill="auto"/>
          </w:tcPr>
          <w:p>
            <w:pPr>
              <w:widowControl/>
              <w:jc w:val="left"/>
              <w:outlineLvl w:val="1"/>
              <w:rPr>
                <w:rFonts w:ascii="仿宋_GB2312" w:hAnsi="宋体" w:eastAsia="仿宋_GB2312"/>
                <w:b/>
                <w:color w:val="18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13" w:type="dxa"/>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212</w:t>
            </w:r>
          </w:p>
        </w:tc>
        <w:tc>
          <w:tcPr>
            <w:tcW w:w="448" w:type="dxa"/>
            <w:shd w:val="clear" w:color="auto" w:fill="auto"/>
            <w:vAlign w:val="center"/>
          </w:tcPr>
          <w:p>
            <w:pPr>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03</w:t>
            </w:r>
          </w:p>
        </w:tc>
        <w:tc>
          <w:tcPr>
            <w:tcW w:w="425" w:type="dxa"/>
            <w:shd w:val="clear" w:color="auto" w:fill="auto"/>
            <w:vAlign w:val="center"/>
          </w:tcPr>
          <w:p>
            <w:pPr>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99</w:t>
            </w:r>
          </w:p>
        </w:tc>
        <w:tc>
          <w:tcPr>
            <w:tcW w:w="999" w:type="dxa"/>
            <w:shd w:val="clear" w:color="auto" w:fill="auto"/>
            <w:vAlign w:val="center"/>
          </w:tcPr>
          <w:p>
            <w:pPr>
              <w:widowControl/>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其他城乡社区公共设施支出</w:t>
            </w:r>
          </w:p>
        </w:tc>
        <w:tc>
          <w:tcPr>
            <w:tcW w:w="771" w:type="dxa"/>
            <w:shd w:val="clear" w:color="auto" w:fill="auto"/>
            <w:vAlign w:val="center"/>
          </w:tcPr>
          <w:p>
            <w:pPr>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垃圾清运费</w:t>
            </w:r>
          </w:p>
        </w:tc>
        <w:tc>
          <w:tcPr>
            <w:tcW w:w="972" w:type="dxa"/>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200</w:t>
            </w:r>
          </w:p>
        </w:tc>
        <w:tc>
          <w:tcPr>
            <w:tcW w:w="846" w:type="dxa"/>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0</w:t>
            </w:r>
          </w:p>
        </w:tc>
        <w:tc>
          <w:tcPr>
            <w:tcW w:w="703" w:type="dxa"/>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200</w:t>
            </w:r>
          </w:p>
        </w:tc>
        <w:tc>
          <w:tcPr>
            <w:tcW w:w="846" w:type="dxa"/>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0</w:t>
            </w:r>
          </w:p>
        </w:tc>
        <w:tc>
          <w:tcPr>
            <w:tcW w:w="391"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53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8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64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428"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8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62"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13" w:type="dxa"/>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212</w:t>
            </w:r>
          </w:p>
        </w:tc>
        <w:tc>
          <w:tcPr>
            <w:tcW w:w="448" w:type="dxa"/>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03</w:t>
            </w:r>
          </w:p>
        </w:tc>
        <w:tc>
          <w:tcPr>
            <w:tcW w:w="425" w:type="dxa"/>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99</w:t>
            </w:r>
          </w:p>
        </w:tc>
        <w:tc>
          <w:tcPr>
            <w:tcW w:w="999" w:type="dxa"/>
            <w:shd w:val="clear" w:color="auto" w:fill="auto"/>
            <w:vAlign w:val="center"/>
          </w:tcPr>
          <w:p>
            <w:pPr>
              <w:widowControl/>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其他城乡社区公共设施支出</w:t>
            </w:r>
          </w:p>
        </w:tc>
        <w:tc>
          <w:tcPr>
            <w:tcW w:w="771" w:type="dxa"/>
            <w:shd w:val="clear" w:color="auto" w:fill="auto"/>
            <w:vAlign w:val="center"/>
          </w:tcPr>
          <w:p>
            <w:pPr>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运行补助经费</w:t>
            </w:r>
          </w:p>
        </w:tc>
        <w:tc>
          <w:tcPr>
            <w:tcW w:w="972" w:type="dxa"/>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500</w:t>
            </w:r>
          </w:p>
        </w:tc>
        <w:tc>
          <w:tcPr>
            <w:tcW w:w="846" w:type="dxa"/>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0</w:t>
            </w:r>
          </w:p>
        </w:tc>
        <w:tc>
          <w:tcPr>
            <w:tcW w:w="703" w:type="dxa"/>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500</w:t>
            </w:r>
          </w:p>
        </w:tc>
        <w:tc>
          <w:tcPr>
            <w:tcW w:w="846" w:type="dxa"/>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0</w:t>
            </w:r>
          </w:p>
        </w:tc>
        <w:tc>
          <w:tcPr>
            <w:tcW w:w="391"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53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8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64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428"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8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62"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13" w:type="dxa"/>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448" w:type="dxa"/>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425" w:type="dxa"/>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999" w:type="dxa"/>
            <w:shd w:val="clear" w:color="auto" w:fill="auto"/>
            <w:vAlign w:val="center"/>
          </w:tcPr>
          <w:p>
            <w:pPr>
              <w:widowControl/>
              <w:rPr>
                <w:rFonts w:ascii="仿宋_GB2312" w:hAnsi="宋体" w:eastAsia="仿宋_GB2312" w:cs="宋体"/>
                <w:color w:val="181717" w:themeColor="background2" w:themeShade="1A"/>
                <w:kern w:val="0"/>
                <w:sz w:val="18"/>
                <w:szCs w:val="18"/>
              </w:rPr>
            </w:pPr>
          </w:p>
        </w:tc>
        <w:tc>
          <w:tcPr>
            <w:tcW w:w="771" w:type="dxa"/>
            <w:shd w:val="clear" w:color="auto" w:fill="auto"/>
            <w:vAlign w:val="center"/>
          </w:tcPr>
          <w:p>
            <w:pPr>
              <w:rPr>
                <w:rFonts w:ascii="仿宋_GB2312" w:hAnsi="宋体" w:eastAsia="仿宋_GB2312" w:cs="宋体"/>
                <w:color w:val="181717" w:themeColor="background2" w:themeShade="1A"/>
                <w:sz w:val="18"/>
                <w:szCs w:val="18"/>
              </w:rPr>
            </w:pPr>
          </w:p>
        </w:tc>
        <w:tc>
          <w:tcPr>
            <w:tcW w:w="972" w:type="dxa"/>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846" w:type="dxa"/>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703" w:type="dxa"/>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846" w:type="dxa"/>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391"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53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8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64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428"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8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62"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13" w:type="dxa"/>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448" w:type="dxa"/>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425" w:type="dxa"/>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999" w:type="dxa"/>
            <w:shd w:val="clear" w:color="auto" w:fill="auto"/>
            <w:vAlign w:val="center"/>
          </w:tcPr>
          <w:p>
            <w:pPr>
              <w:widowControl/>
              <w:rPr>
                <w:rFonts w:ascii="仿宋_GB2312" w:hAnsi="宋体" w:eastAsia="仿宋_GB2312" w:cs="宋体"/>
                <w:color w:val="181717" w:themeColor="background2" w:themeShade="1A"/>
                <w:kern w:val="0"/>
                <w:sz w:val="18"/>
                <w:szCs w:val="18"/>
              </w:rPr>
            </w:pPr>
          </w:p>
        </w:tc>
        <w:tc>
          <w:tcPr>
            <w:tcW w:w="771" w:type="dxa"/>
            <w:shd w:val="clear" w:color="auto" w:fill="auto"/>
            <w:vAlign w:val="center"/>
          </w:tcPr>
          <w:p>
            <w:pPr>
              <w:rPr>
                <w:rFonts w:ascii="仿宋_GB2312" w:hAnsi="宋体" w:eastAsia="仿宋_GB2312" w:cs="宋体"/>
                <w:color w:val="181717" w:themeColor="background2" w:themeShade="1A"/>
                <w:sz w:val="18"/>
                <w:szCs w:val="18"/>
              </w:rPr>
            </w:pPr>
          </w:p>
        </w:tc>
        <w:tc>
          <w:tcPr>
            <w:tcW w:w="972" w:type="dxa"/>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846" w:type="dxa"/>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703" w:type="dxa"/>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846" w:type="dxa"/>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391"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53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8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64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428"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8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62"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13" w:type="dxa"/>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448" w:type="dxa"/>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425" w:type="dxa"/>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999" w:type="dxa"/>
            <w:shd w:val="clear" w:color="auto" w:fill="auto"/>
            <w:vAlign w:val="center"/>
          </w:tcPr>
          <w:p>
            <w:pPr>
              <w:widowControl/>
              <w:rPr>
                <w:rFonts w:ascii="仿宋_GB2312" w:hAnsi="宋体" w:eastAsia="仿宋_GB2312" w:cs="宋体"/>
                <w:color w:val="181717" w:themeColor="background2" w:themeShade="1A"/>
                <w:kern w:val="0"/>
                <w:sz w:val="18"/>
                <w:szCs w:val="18"/>
              </w:rPr>
            </w:pPr>
          </w:p>
        </w:tc>
        <w:tc>
          <w:tcPr>
            <w:tcW w:w="771" w:type="dxa"/>
            <w:shd w:val="clear" w:color="auto" w:fill="auto"/>
            <w:vAlign w:val="center"/>
          </w:tcPr>
          <w:p>
            <w:pPr>
              <w:rPr>
                <w:rFonts w:ascii="仿宋_GB2312" w:hAnsi="宋体" w:eastAsia="仿宋_GB2312" w:cs="宋体"/>
                <w:color w:val="181717" w:themeColor="background2" w:themeShade="1A"/>
                <w:sz w:val="18"/>
                <w:szCs w:val="18"/>
              </w:rPr>
            </w:pPr>
          </w:p>
        </w:tc>
        <w:tc>
          <w:tcPr>
            <w:tcW w:w="972" w:type="dxa"/>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846" w:type="dxa"/>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703" w:type="dxa"/>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846" w:type="dxa"/>
            <w:shd w:val="clear" w:color="auto" w:fill="auto"/>
            <w:vAlign w:val="center"/>
          </w:tcPr>
          <w:p>
            <w:pPr>
              <w:widowControl/>
              <w:jc w:val="right"/>
              <w:rPr>
                <w:rFonts w:ascii="仿宋_GB2312" w:hAnsi="宋体" w:eastAsia="仿宋_GB2312" w:cs="宋体"/>
                <w:color w:val="181717" w:themeColor="background2" w:themeShade="1A"/>
                <w:sz w:val="18"/>
                <w:szCs w:val="18"/>
              </w:rPr>
            </w:pPr>
          </w:p>
        </w:tc>
        <w:tc>
          <w:tcPr>
            <w:tcW w:w="391"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53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8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64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428"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8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62"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1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448"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425"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999" w:type="dxa"/>
            <w:shd w:val="clear" w:color="auto" w:fill="auto"/>
            <w:vAlign w:val="center"/>
          </w:tcPr>
          <w:p>
            <w:pPr>
              <w:widowControl/>
              <w:outlineLvl w:val="1"/>
              <w:rPr>
                <w:rFonts w:ascii="仿宋_GB2312" w:hAnsi="宋体" w:eastAsia="仿宋_GB2312"/>
                <w:color w:val="181717" w:themeColor="background2" w:themeShade="1A"/>
                <w:kern w:val="0"/>
                <w:sz w:val="18"/>
                <w:szCs w:val="18"/>
              </w:rPr>
            </w:pPr>
          </w:p>
        </w:tc>
        <w:tc>
          <w:tcPr>
            <w:tcW w:w="771" w:type="dxa"/>
            <w:shd w:val="clear" w:color="auto" w:fill="auto"/>
            <w:vAlign w:val="center"/>
          </w:tcPr>
          <w:p>
            <w:pPr>
              <w:widowControl/>
              <w:outlineLvl w:val="1"/>
              <w:rPr>
                <w:rFonts w:ascii="仿宋_GB2312" w:hAnsi="宋体" w:eastAsia="仿宋_GB2312"/>
                <w:color w:val="181717" w:themeColor="background2" w:themeShade="1A"/>
                <w:kern w:val="0"/>
                <w:sz w:val="18"/>
                <w:szCs w:val="18"/>
              </w:rPr>
            </w:pPr>
          </w:p>
        </w:tc>
        <w:tc>
          <w:tcPr>
            <w:tcW w:w="972"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846"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70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846"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91"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53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8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64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428"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8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62"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51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448"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425"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999" w:type="dxa"/>
            <w:shd w:val="clear" w:color="auto" w:fill="auto"/>
          </w:tcPr>
          <w:p>
            <w:pPr>
              <w:widowControl/>
              <w:jc w:val="left"/>
              <w:outlineLvl w:val="1"/>
              <w:rPr>
                <w:rFonts w:ascii="仿宋_GB2312" w:hAnsi="宋体" w:eastAsia="仿宋_GB2312"/>
                <w:color w:val="181717" w:themeColor="background2" w:themeShade="1A"/>
                <w:kern w:val="0"/>
                <w:sz w:val="18"/>
                <w:szCs w:val="18"/>
              </w:rPr>
            </w:pPr>
          </w:p>
        </w:tc>
        <w:tc>
          <w:tcPr>
            <w:tcW w:w="771" w:type="dxa"/>
            <w:shd w:val="clear" w:color="auto" w:fill="auto"/>
            <w:vAlign w:val="center"/>
          </w:tcPr>
          <w:p>
            <w:pPr>
              <w:widowControl/>
              <w:jc w:val="center"/>
              <w:outlineLvl w:val="1"/>
              <w:rPr>
                <w:rFonts w:ascii="仿宋_GB2312" w:hAnsi="宋体" w:eastAsia="仿宋_GB2312"/>
                <w:color w:val="181717" w:themeColor="background2" w:themeShade="1A"/>
                <w:kern w:val="0"/>
                <w:sz w:val="18"/>
                <w:szCs w:val="18"/>
              </w:rPr>
            </w:pPr>
            <w:r>
              <w:rPr>
                <w:rFonts w:hint="eastAsia" w:ascii="仿宋_GB2312" w:hAnsi="宋体" w:eastAsia="仿宋_GB2312"/>
                <w:color w:val="181717" w:themeColor="background2" w:themeShade="1A"/>
                <w:kern w:val="0"/>
                <w:sz w:val="18"/>
                <w:szCs w:val="18"/>
              </w:rPr>
              <w:t>合计</w:t>
            </w:r>
          </w:p>
        </w:tc>
        <w:tc>
          <w:tcPr>
            <w:tcW w:w="972" w:type="dxa"/>
            <w:shd w:val="clear" w:color="auto" w:fill="auto"/>
            <w:vAlign w:val="center"/>
          </w:tcPr>
          <w:p>
            <w:pPr>
              <w:widowControl/>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700</w:t>
            </w:r>
          </w:p>
        </w:tc>
        <w:tc>
          <w:tcPr>
            <w:tcW w:w="846"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703" w:type="dxa"/>
            <w:shd w:val="clear" w:color="auto" w:fill="auto"/>
            <w:vAlign w:val="center"/>
          </w:tcPr>
          <w:p>
            <w:pPr>
              <w:jc w:val="right"/>
              <w:rPr>
                <w:rFonts w:ascii="仿宋_GB2312" w:hAnsi="宋体" w:eastAsia="仿宋_GB2312" w:cs="宋体"/>
                <w:color w:val="181717" w:themeColor="background2" w:themeShade="1A"/>
                <w:sz w:val="18"/>
                <w:szCs w:val="18"/>
              </w:rPr>
            </w:pPr>
            <w:r>
              <w:rPr>
                <w:rFonts w:hint="eastAsia" w:ascii="仿宋_GB2312" w:hAnsi="宋体" w:eastAsia="仿宋_GB2312" w:cs="宋体"/>
                <w:color w:val="181717" w:themeColor="background2" w:themeShade="1A"/>
                <w:sz w:val="18"/>
                <w:szCs w:val="18"/>
              </w:rPr>
              <w:t>700</w:t>
            </w:r>
          </w:p>
        </w:tc>
        <w:tc>
          <w:tcPr>
            <w:tcW w:w="846" w:type="dxa"/>
            <w:shd w:val="clear" w:color="auto" w:fill="auto"/>
            <w:vAlign w:val="center"/>
          </w:tcPr>
          <w:p>
            <w:pPr>
              <w:jc w:val="right"/>
              <w:rPr>
                <w:rFonts w:ascii="仿宋_GB2312" w:hAnsi="宋体" w:eastAsia="仿宋_GB2312" w:cs="宋体"/>
                <w:color w:val="181717" w:themeColor="background2" w:themeShade="1A"/>
                <w:sz w:val="18"/>
                <w:szCs w:val="18"/>
              </w:rPr>
            </w:pPr>
          </w:p>
        </w:tc>
        <w:tc>
          <w:tcPr>
            <w:tcW w:w="391"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53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8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64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428"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83"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c>
          <w:tcPr>
            <w:tcW w:w="362" w:type="dxa"/>
            <w:shd w:val="clear" w:color="auto" w:fill="auto"/>
            <w:vAlign w:val="center"/>
          </w:tcPr>
          <w:p>
            <w:pPr>
              <w:widowControl/>
              <w:jc w:val="right"/>
              <w:outlineLvl w:val="1"/>
              <w:rPr>
                <w:rFonts w:ascii="仿宋_GB2312" w:hAnsi="宋体" w:eastAsia="仿宋_GB2312"/>
                <w:color w:val="181717" w:themeColor="background2" w:themeShade="1A"/>
                <w:kern w:val="0"/>
                <w:sz w:val="18"/>
                <w:szCs w:val="18"/>
              </w:rPr>
            </w:pPr>
          </w:p>
        </w:tc>
      </w:tr>
    </w:tbl>
    <w:p>
      <w:pPr>
        <w:widowControl/>
        <w:jc w:val="left"/>
        <w:outlineLvl w:val="1"/>
        <w:rPr>
          <w:rFonts w:ascii="仿宋_GB2312" w:hAnsi="宋体" w:eastAsia="仿宋_GB2312"/>
          <w:b/>
          <w:color w:val="181717" w:themeColor="background2" w:themeShade="1A"/>
          <w:kern w:val="0"/>
          <w:sz w:val="32"/>
          <w:szCs w:val="32"/>
        </w:rPr>
      </w:pPr>
      <w:r>
        <w:rPr>
          <w:rFonts w:hint="eastAsia" w:ascii="仿宋_GB2312" w:hAnsi="宋体" w:eastAsia="仿宋_GB2312"/>
          <w:b/>
          <w:color w:val="181717" w:themeColor="background2" w:themeShade="1A"/>
          <w:kern w:val="0"/>
          <w:sz w:val="32"/>
          <w:szCs w:val="32"/>
        </w:rPr>
        <w:t>表八：</w:t>
      </w:r>
    </w:p>
    <w:p>
      <w:pPr>
        <w:widowControl/>
        <w:jc w:val="center"/>
        <w:outlineLvl w:val="1"/>
        <w:rPr>
          <w:rFonts w:ascii="仿宋_GB2312" w:hAnsi="宋体" w:eastAsia="仿宋_GB2312"/>
          <w:b/>
          <w:color w:val="181717" w:themeColor="background2" w:themeShade="1A"/>
          <w:kern w:val="0"/>
          <w:sz w:val="32"/>
          <w:szCs w:val="32"/>
        </w:rPr>
      </w:pPr>
      <w:r>
        <w:rPr>
          <w:rFonts w:hint="eastAsia" w:ascii="仿宋_GB2312" w:hAnsi="宋体" w:eastAsia="仿宋_GB2312"/>
          <w:b/>
          <w:color w:val="181717" w:themeColor="background2" w:themeShade="1A"/>
          <w:kern w:val="0"/>
          <w:sz w:val="32"/>
          <w:szCs w:val="32"/>
        </w:rPr>
        <w:t>一般公共预算“三公”经费支出情况表</w:t>
      </w:r>
    </w:p>
    <w:p>
      <w:pPr>
        <w:widowControl/>
        <w:jc w:val="left"/>
        <w:outlineLvl w:val="1"/>
        <w:rPr>
          <w:rFonts w:ascii="仿宋_GB2312" w:hAnsi="宋体" w:eastAsia="仿宋_GB2312"/>
          <w:color w:val="181717" w:themeColor="background2" w:themeShade="1A"/>
          <w:kern w:val="0"/>
          <w:sz w:val="24"/>
        </w:rPr>
      </w:pPr>
      <w:r>
        <w:rPr>
          <w:rFonts w:hint="eastAsia" w:ascii="仿宋_GB2312" w:hAnsi="宋体" w:eastAsia="仿宋_GB2312"/>
          <w:color w:val="181717" w:themeColor="background2" w:themeShade="1A"/>
          <w:kern w:val="0"/>
          <w:sz w:val="24"/>
        </w:rPr>
        <w:t>编制单位：                                                    单位：万元</w:t>
      </w:r>
    </w:p>
    <w:tbl>
      <w:tblPr>
        <w:tblStyle w:val="10"/>
        <w:tblW w:w="9087" w:type="dxa"/>
        <w:jc w:val="center"/>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jc w:val="center"/>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jc w:val="center"/>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92"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15.00</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eastAsia="仿宋_GB2312"/>
                <w:color w:val="181717" w:themeColor="background2" w:themeShade="1A"/>
                <w:sz w:val="18"/>
                <w:szCs w:val="18"/>
              </w:rPr>
              <w:t>14.82</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eastAsia="仿宋_GB2312"/>
                <w:color w:val="181717" w:themeColor="background2" w:themeShade="1A"/>
                <w:sz w:val="18"/>
                <w:szCs w:val="18"/>
              </w:rPr>
              <w:t>14.82</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0.18</w:t>
            </w:r>
          </w:p>
        </w:tc>
      </w:tr>
      <w:tr>
        <w:tblPrEx>
          <w:tblLayout w:type="fixed"/>
          <w:tblCellMar>
            <w:top w:w="0" w:type="dxa"/>
            <w:left w:w="108" w:type="dxa"/>
            <w:bottom w:w="0" w:type="dxa"/>
            <w:right w:w="108" w:type="dxa"/>
          </w:tblCellMar>
        </w:tblPrEx>
        <w:trPr>
          <w:trHeight w:val="558"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6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83" w:hRule="atLeast"/>
          <w:jc w:val="center"/>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r>
    </w:tbl>
    <w:p>
      <w:pPr>
        <w:widowControl/>
        <w:outlineLvl w:val="1"/>
        <w:rPr>
          <w:rFonts w:ascii="仿宋_GB2312" w:hAnsi="宋体" w:eastAsia="仿宋_GB2312"/>
          <w:color w:val="181717" w:themeColor="background2" w:themeShade="1A"/>
          <w:kern w:val="0"/>
          <w:sz w:val="32"/>
          <w:szCs w:val="32"/>
        </w:rPr>
      </w:pPr>
    </w:p>
    <w:p>
      <w:pPr>
        <w:widowControl/>
        <w:outlineLvl w:val="1"/>
        <w:rPr>
          <w:rFonts w:ascii="仿宋_GB2312" w:hAnsi="宋体" w:eastAsia="仿宋_GB2312"/>
          <w:b/>
          <w:color w:val="181717" w:themeColor="background2" w:themeShade="1A"/>
          <w:kern w:val="0"/>
          <w:sz w:val="32"/>
          <w:szCs w:val="32"/>
        </w:rPr>
      </w:pPr>
      <w:r>
        <w:rPr>
          <w:rFonts w:hint="eastAsia" w:ascii="仿宋_GB2312" w:hAnsi="宋体" w:eastAsia="仿宋_GB2312"/>
          <w:b/>
          <w:color w:val="181717" w:themeColor="background2" w:themeShade="1A"/>
          <w:kern w:val="0"/>
          <w:sz w:val="32"/>
          <w:szCs w:val="32"/>
        </w:rPr>
        <w:t>表九：</w:t>
      </w:r>
    </w:p>
    <w:p>
      <w:pPr>
        <w:widowControl/>
        <w:jc w:val="center"/>
        <w:outlineLvl w:val="1"/>
        <w:rPr>
          <w:rFonts w:ascii="仿宋_GB2312" w:hAnsi="宋体" w:eastAsia="仿宋_GB2312"/>
          <w:b/>
          <w:color w:val="181717" w:themeColor="background2" w:themeShade="1A"/>
          <w:kern w:val="0"/>
          <w:sz w:val="32"/>
          <w:szCs w:val="32"/>
        </w:rPr>
      </w:pPr>
      <w:r>
        <w:rPr>
          <w:rFonts w:hint="eastAsia" w:ascii="仿宋_GB2312" w:hAnsi="宋体" w:eastAsia="仿宋_GB2312"/>
          <w:b/>
          <w:color w:val="181717" w:themeColor="background2" w:themeShade="1A"/>
          <w:kern w:val="0"/>
          <w:sz w:val="32"/>
          <w:szCs w:val="32"/>
        </w:rPr>
        <w:t>政府性基金预算支出情况表</w:t>
      </w:r>
    </w:p>
    <w:p>
      <w:pPr>
        <w:widowControl/>
        <w:outlineLvl w:val="1"/>
        <w:rPr>
          <w:rFonts w:ascii="仿宋_GB2312" w:hAnsi="宋体" w:eastAsia="仿宋_GB2312"/>
          <w:color w:val="181717" w:themeColor="background2" w:themeShade="1A"/>
          <w:kern w:val="0"/>
          <w:sz w:val="24"/>
        </w:rPr>
      </w:pPr>
      <w:r>
        <w:rPr>
          <w:rFonts w:hint="eastAsia" w:ascii="仿宋_GB2312" w:hAnsi="宋体" w:eastAsia="仿宋_GB2312"/>
          <w:color w:val="181717" w:themeColor="background2" w:themeShade="1A"/>
          <w:kern w:val="0"/>
          <w:sz w:val="24"/>
        </w:rPr>
        <w:t>编制单位：                                                      单位：万元</w:t>
      </w:r>
    </w:p>
    <w:tbl>
      <w:tblPr>
        <w:tblStyle w:val="10"/>
        <w:tblW w:w="9087" w:type="dxa"/>
        <w:jc w:val="center"/>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jc w:val="center"/>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jc w:val="center"/>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181717" w:themeColor="background2" w:themeShade="1A"/>
                <w:kern w:val="0"/>
                <w:sz w:val="18"/>
                <w:szCs w:val="18"/>
              </w:rPr>
            </w:pPr>
            <w:r>
              <w:rPr>
                <w:rFonts w:hint="eastAsia" w:ascii="仿宋_GB2312" w:hAnsi="宋体" w:eastAsia="仿宋_GB2312" w:cs="宋体"/>
                <w:b/>
                <w:bCs/>
                <w:color w:val="18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b/>
                <w:bCs/>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b/>
                <w:bCs/>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jc w:val="center"/>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jc w:val="right"/>
              <w:rPr>
                <w:rFonts w:ascii="仿宋_GB2312" w:hAnsi="宋体" w:eastAsia="仿宋_GB2312" w:cs="宋体"/>
                <w:color w:val="18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181717" w:themeColor="background2" w:themeShade="1A"/>
                <w:kern w:val="0"/>
                <w:sz w:val="18"/>
                <w:szCs w:val="18"/>
              </w:rPr>
            </w:pPr>
            <w:r>
              <w:rPr>
                <w:rFonts w:hint="eastAsia" w:ascii="仿宋_GB2312" w:hAnsi="宋体" w:eastAsia="仿宋_GB2312" w:cs="宋体"/>
                <w:color w:val="18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宋体" w:eastAsia="仿宋_GB2312" w:cs="宋体"/>
                <w:color w:val="181717" w:themeColor="background2" w:themeShade="1A"/>
                <w:kern w:val="0"/>
                <w:sz w:val="18"/>
                <w:szCs w:val="18"/>
              </w:rPr>
            </w:pPr>
          </w:p>
        </w:tc>
      </w:tr>
    </w:tbl>
    <w:p>
      <w:pPr>
        <w:widowControl/>
        <w:outlineLvl w:val="1"/>
        <w:rPr>
          <w:rFonts w:ascii="仿宋_GB2312" w:hAnsi="宋体" w:eastAsia="仿宋_GB2312"/>
          <w:color w:val="181717" w:themeColor="background2" w:themeShade="1A"/>
          <w:kern w:val="0"/>
          <w:sz w:val="32"/>
          <w:szCs w:val="32"/>
        </w:rPr>
      </w:pPr>
      <w:r>
        <w:rPr>
          <w:rFonts w:hint="eastAsia" w:ascii="仿宋_GB2312" w:hAnsi="宋体" w:eastAsia="仿宋_GB2312"/>
          <w:color w:val="181717" w:themeColor="background2" w:themeShade="1A"/>
          <w:kern w:val="0"/>
          <w:sz w:val="32"/>
          <w:szCs w:val="32"/>
        </w:rPr>
        <w:t>备注：无内容应公开空表并说明情况。</w:t>
      </w:r>
    </w:p>
    <w:p>
      <w:pPr>
        <w:widowControl/>
        <w:jc w:val="left"/>
        <w:outlineLvl w:val="1"/>
        <w:rPr>
          <w:rFonts w:ascii="仿宋_GB2312" w:hAnsi="宋体" w:eastAsia="仿宋_GB2312"/>
          <w:color w:val="181717" w:themeColor="background2" w:themeShade="1A"/>
          <w:kern w:val="0"/>
          <w:sz w:val="32"/>
          <w:szCs w:val="32"/>
        </w:rPr>
        <w:sectPr>
          <w:footerReference r:id="rId4" w:type="default"/>
          <w:footerReference r:id="rId5" w:type="even"/>
          <w:pgSz w:w="11906" w:h="16838"/>
          <w:pgMar w:top="2098" w:right="1418" w:bottom="1928" w:left="1588" w:header="851" w:footer="992" w:gutter="0"/>
          <w:pgNumType w:fmt="numberInDash"/>
          <w:cols w:space="720" w:num="1"/>
          <w:docGrid w:linePitch="312" w:charSpace="0"/>
        </w:sectPr>
      </w:pPr>
    </w:p>
    <w:p>
      <w:pPr>
        <w:widowControl/>
        <w:spacing w:beforeLines="50"/>
        <w:jc w:val="center"/>
        <w:outlineLvl w:val="1"/>
        <w:rPr>
          <w:rFonts w:ascii="黑体" w:hAnsi="黑体" w:eastAsia="黑体"/>
          <w:color w:val="181717" w:themeColor="background2" w:themeShade="1A"/>
          <w:kern w:val="0"/>
          <w:sz w:val="32"/>
          <w:szCs w:val="32"/>
        </w:rPr>
      </w:pPr>
      <w:r>
        <w:rPr>
          <w:rFonts w:hint="eastAsia" w:ascii="黑体" w:hAnsi="黑体" w:eastAsia="黑体"/>
          <w:color w:val="181717" w:themeColor="background2" w:themeShade="1A"/>
          <w:kern w:val="0"/>
          <w:sz w:val="32"/>
          <w:szCs w:val="32"/>
        </w:rPr>
        <w:t>第三部分  2016年部门预算情况说明</w:t>
      </w:r>
    </w:p>
    <w:p>
      <w:pPr>
        <w:widowControl/>
        <w:spacing w:line="600" w:lineRule="exact"/>
        <w:outlineLvl w:val="1"/>
        <w:rPr>
          <w:rFonts w:ascii="仿宋_GB2312" w:hAnsi="宋体" w:eastAsia="仿宋_GB2312"/>
          <w:b/>
          <w:color w:val="181717" w:themeColor="background2" w:themeShade="1A"/>
          <w:kern w:val="0"/>
          <w:sz w:val="36"/>
          <w:szCs w:val="36"/>
        </w:rPr>
      </w:pPr>
    </w:p>
    <w:p>
      <w:pPr>
        <w:widowControl/>
        <w:spacing w:line="600" w:lineRule="exact"/>
        <w:jc w:val="center"/>
        <w:outlineLvl w:val="1"/>
        <w:rPr>
          <w:rFonts w:ascii="黑体" w:hAnsi="宋体" w:eastAsia="黑体"/>
          <w:color w:val="181717" w:themeColor="background2" w:themeShade="1A"/>
          <w:kern w:val="0"/>
          <w:sz w:val="32"/>
          <w:szCs w:val="32"/>
        </w:rPr>
      </w:pPr>
      <w:r>
        <w:rPr>
          <w:rFonts w:hint="eastAsia" w:ascii="黑体" w:hAnsi="宋体" w:eastAsia="黑体"/>
          <w:color w:val="181717" w:themeColor="background2" w:themeShade="1A"/>
          <w:kern w:val="0"/>
          <w:sz w:val="32"/>
          <w:szCs w:val="32"/>
        </w:rPr>
        <w:t>2016年部门预算情况说明</w:t>
      </w:r>
    </w:p>
    <w:p>
      <w:pPr>
        <w:widowControl/>
        <w:spacing w:line="600" w:lineRule="exact"/>
        <w:jc w:val="left"/>
        <w:outlineLvl w:val="1"/>
        <w:rPr>
          <w:rFonts w:ascii="仿宋_GB2312" w:hAnsi="宋体" w:eastAsia="仿宋_GB2312"/>
          <w:color w:val="181717" w:themeColor="background2" w:themeShade="1A"/>
          <w:kern w:val="0"/>
          <w:sz w:val="36"/>
          <w:szCs w:val="36"/>
        </w:rPr>
      </w:pPr>
    </w:p>
    <w:p>
      <w:pPr>
        <w:widowControl/>
        <w:spacing w:line="580" w:lineRule="exact"/>
        <w:ind w:firstLine="640"/>
        <w:jc w:val="left"/>
        <w:rPr>
          <w:rFonts w:ascii="黑体" w:hAnsi="宋体" w:eastAsia="黑体" w:cs="宋体"/>
          <w:color w:val="181717" w:themeColor="background2" w:themeShade="1A"/>
          <w:kern w:val="0"/>
          <w:sz w:val="32"/>
          <w:szCs w:val="32"/>
        </w:rPr>
      </w:pPr>
      <w:r>
        <w:rPr>
          <w:rFonts w:hint="eastAsia" w:ascii="黑体" w:hAnsi="黑体" w:eastAsia="黑体" w:cs="宋体"/>
          <w:bCs/>
          <w:color w:val="181717" w:themeColor="background2" w:themeShade="1A"/>
          <w:kern w:val="0"/>
          <w:sz w:val="32"/>
          <w:szCs w:val="32"/>
        </w:rPr>
        <w:t>一、</w:t>
      </w:r>
      <w:r>
        <w:rPr>
          <w:rFonts w:hint="eastAsia" w:ascii="黑体" w:hAnsi="宋体" w:eastAsia="黑体" w:cs="宋体"/>
          <w:color w:val="181717" w:themeColor="background2" w:themeShade="1A"/>
          <w:kern w:val="0"/>
          <w:sz w:val="32"/>
          <w:szCs w:val="32"/>
        </w:rPr>
        <w:t>关于乌鲁木齐市水磨沟区环卫清运队2016年收支预算情况的总体说明</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按照全口径预算的原则，乌鲁木齐市水磨沟区环卫清运队2016年所有收入和支出均纳入部门预算管理。收支总预算</w:t>
      </w:r>
      <w:r>
        <w:rPr>
          <w:rFonts w:hint="eastAsia" w:ascii="仿宋_GB2312" w:hAnsi="宋体" w:eastAsia="仿宋_GB2312" w:cs="宋体"/>
          <w:color w:val="181717" w:themeColor="background2" w:themeShade="1A"/>
          <w:sz w:val="28"/>
          <w:szCs w:val="28"/>
        </w:rPr>
        <w:t>1715.19</w:t>
      </w:r>
      <w:r>
        <w:rPr>
          <w:rFonts w:hint="eastAsia" w:cs="宋体" w:asciiTheme="minorEastAsia" w:hAnsiTheme="minorEastAsia" w:eastAsiaTheme="minorEastAsia"/>
          <w:color w:val="181717" w:themeColor="background2" w:themeShade="1A"/>
          <w:kern w:val="0"/>
          <w:sz w:val="28"/>
          <w:szCs w:val="28"/>
        </w:rPr>
        <w:t>万元。</w:t>
      </w:r>
    </w:p>
    <w:p>
      <w:pPr>
        <w:widowControl/>
        <w:spacing w:line="560" w:lineRule="exact"/>
        <w:ind w:firstLine="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收入预算包括：一般公共预算等。</w:t>
      </w:r>
    </w:p>
    <w:p>
      <w:pPr>
        <w:widowControl/>
        <w:spacing w:line="560" w:lineRule="exact"/>
        <w:ind w:firstLine="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支出预算包括：城乡社区支出。</w:t>
      </w:r>
    </w:p>
    <w:p>
      <w:pPr>
        <w:widowControl/>
        <w:spacing w:line="580" w:lineRule="exact"/>
        <w:ind w:firstLine="640"/>
        <w:jc w:val="left"/>
        <w:rPr>
          <w:rFonts w:ascii="黑体" w:hAnsi="宋体" w:eastAsia="黑体" w:cs="宋体"/>
          <w:color w:val="181717" w:themeColor="background2" w:themeShade="1A"/>
          <w:kern w:val="0"/>
          <w:sz w:val="32"/>
          <w:szCs w:val="32"/>
        </w:rPr>
      </w:pPr>
      <w:r>
        <w:rPr>
          <w:rFonts w:hint="eastAsia" w:ascii="黑体" w:hAnsi="宋体" w:eastAsia="黑体" w:cs="宋体"/>
          <w:color w:val="181717" w:themeColor="background2" w:themeShade="1A"/>
          <w:kern w:val="0"/>
          <w:sz w:val="32"/>
          <w:szCs w:val="32"/>
        </w:rPr>
        <w:t>二、关于乌鲁木齐市水磨沟区环卫清运队2016年收入预算情况说明</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乌鲁木齐市水磨沟区环卫清运队收入预算</w:t>
      </w:r>
      <w:r>
        <w:rPr>
          <w:rFonts w:hint="eastAsia" w:ascii="仿宋_GB2312" w:hAnsi="宋体" w:eastAsia="仿宋_GB2312" w:cs="宋体"/>
          <w:color w:val="181717" w:themeColor="background2" w:themeShade="1A"/>
          <w:sz w:val="28"/>
          <w:szCs w:val="28"/>
        </w:rPr>
        <w:t>1715.19</w:t>
      </w:r>
      <w:r>
        <w:rPr>
          <w:rFonts w:hint="eastAsia" w:cs="宋体" w:asciiTheme="minorEastAsia" w:hAnsiTheme="minorEastAsia" w:eastAsiaTheme="minorEastAsia"/>
          <w:color w:val="181717" w:themeColor="background2" w:themeShade="1A"/>
          <w:kern w:val="0"/>
          <w:sz w:val="28"/>
          <w:szCs w:val="28"/>
        </w:rPr>
        <w:t>万元，其中：</w:t>
      </w:r>
    </w:p>
    <w:p>
      <w:pPr>
        <w:widowControl/>
        <w:spacing w:line="560" w:lineRule="exact"/>
        <w:ind w:firstLine="560" w:firstLineChars="200"/>
        <w:jc w:val="left"/>
        <w:rPr>
          <w:rFonts w:hint="eastAsia" w:cs="宋体" w:asciiTheme="minorEastAsia" w:hAnsiTheme="minorEastAsia" w:eastAsiaTheme="minorEastAsia"/>
          <w:color w:val="181717" w:themeColor="background2" w:themeShade="1A"/>
          <w:kern w:val="0"/>
          <w:sz w:val="28"/>
          <w:szCs w:val="28"/>
          <w:lang w:eastAsia="zh-CN"/>
        </w:rPr>
      </w:pPr>
      <w:r>
        <w:rPr>
          <w:rFonts w:hint="eastAsia" w:cs="宋体" w:asciiTheme="minorEastAsia" w:hAnsiTheme="minorEastAsia" w:eastAsiaTheme="minorEastAsia"/>
          <w:color w:val="181717" w:themeColor="background2" w:themeShade="1A"/>
          <w:kern w:val="0"/>
          <w:sz w:val="28"/>
          <w:szCs w:val="28"/>
        </w:rPr>
        <w:t>一般公共预算</w:t>
      </w:r>
      <w:r>
        <w:rPr>
          <w:rFonts w:hint="eastAsia" w:ascii="仿宋_GB2312" w:hAnsi="宋体" w:eastAsia="仿宋_GB2312" w:cs="宋体"/>
          <w:color w:val="181717" w:themeColor="background2" w:themeShade="1A"/>
          <w:sz w:val="28"/>
          <w:szCs w:val="28"/>
        </w:rPr>
        <w:t>1015.19</w:t>
      </w:r>
      <w:r>
        <w:rPr>
          <w:rFonts w:hint="eastAsia" w:cs="宋体" w:asciiTheme="minorEastAsia" w:hAnsiTheme="minorEastAsia" w:eastAsiaTheme="minorEastAsia"/>
          <w:color w:val="181717" w:themeColor="background2" w:themeShade="1A"/>
          <w:kern w:val="0"/>
          <w:sz w:val="28"/>
          <w:szCs w:val="28"/>
        </w:rPr>
        <w:t>万元，比上年增加116.8万元；其原因为：基本支出中人员工资、机关事业单位基本养老保险缴费、办公费用等增加。</w:t>
      </w:r>
      <w:bookmarkStart w:id="0" w:name="_GoBack"/>
      <w:bookmarkEnd w:id="0"/>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 xml:space="preserve">非税收入拨款未安排。 </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基金预算拨款未安排。</w:t>
      </w:r>
    </w:p>
    <w:p>
      <w:pPr>
        <w:widowControl/>
        <w:spacing w:line="580" w:lineRule="exact"/>
        <w:ind w:firstLine="640"/>
        <w:jc w:val="left"/>
        <w:rPr>
          <w:rFonts w:ascii="黑体" w:hAnsi="宋体" w:eastAsia="黑体" w:cs="宋体"/>
          <w:color w:val="181717" w:themeColor="background2" w:themeShade="1A"/>
          <w:kern w:val="0"/>
          <w:sz w:val="32"/>
          <w:szCs w:val="32"/>
        </w:rPr>
      </w:pPr>
      <w:r>
        <w:rPr>
          <w:rFonts w:hint="eastAsia" w:ascii="黑体" w:hAnsi="宋体" w:eastAsia="黑体" w:cs="宋体"/>
          <w:color w:val="181717" w:themeColor="background2" w:themeShade="1A"/>
          <w:kern w:val="0"/>
          <w:sz w:val="32"/>
          <w:szCs w:val="32"/>
        </w:rPr>
        <w:t>三、关于乌鲁木齐市水磨沟区环卫清运队单位2016年支出预算情况说明</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乌鲁木齐市水磨沟区环卫清运队单位2016年支出预算</w:t>
      </w:r>
      <w:r>
        <w:rPr>
          <w:rFonts w:hint="eastAsia" w:ascii="仿宋_GB2312" w:hAnsi="宋体" w:eastAsia="仿宋_GB2312" w:cs="宋体"/>
          <w:color w:val="181717" w:themeColor="background2" w:themeShade="1A"/>
          <w:sz w:val="28"/>
          <w:szCs w:val="28"/>
        </w:rPr>
        <w:t>1715.19</w:t>
      </w:r>
      <w:r>
        <w:rPr>
          <w:rFonts w:hint="eastAsia" w:cs="宋体" w:asciiTheme="minorEastAsia" w:hAnsiTheme="minorEastAsia" w:eastAsiaTheme="minorEastAsia"/>
          <w:color w:val="181717" w:themeColor="background2" w:themeShade="1A"/>
          <w:kern w:val="0"/>
          <w:sz w:val="28"/>
          <w:szCs w:val="28"/>
        </w:rPr>
        <w:t>万元，其中：</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基本支出</w:t>
      </w:r>
      <w:r>
        <w:rPr>
          <w:rFonts w:hint="eastAsia" w:ascii="仿宋_GB2312" w:hAnsi="宋体" w:eastAsia="仿宋_GB2312" w:cs="宋体"/>
          <w:color w:val="181717" w:themeColor="background2" w:themeShade="1A"/>
          <w:sz w:val="28"/>
          <w:szCs w:val="28"/>
        </w:rPr>
        <w:t>1015.19</w:t>
      </w:r>
      <w:r>
        <w:rPr>
          <w:rFonts w:hint="eastAsia" w:cs="宋体" w:asciiTheme="minorEastAsia" w:hAnsiTheme="minorEastAsia" w:eastAsiaTheme="minorEastAsia"/>
          <w:color w:val="181717" w:themeColor="background2" w:themeShade="1A"/>
          <w:kern w:val="0"/>
          <w:sz w:val="28"/>
          <w:szCs w:val="28"/>
        </w:rPr>
        <w:t>万元，比上年增加116.8万元；</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项目支出700万元，比上年减少650万元。</w:t>
      </w:r>
    </w:p>
    <w:p>
      <w:pPr>
        <w:snapToGrid w:val="0"/>
        <w:spacing w:line="560" w:lineRule="exact"/>
        <w:ind w:firstLine="560" w:firstLineChars="200"/>
        <w:jc w:val="left"/>
        <w:rPr>
          <w:rFonts w:cs="方正楷体_GBK" w:asciiTheme="minorEastAsia" w:hAnsiTheme="minorEastAsia" w:eastAsiaTheme="minorEastAsia"/>
          <w:color w:val="181717" w:themeColor="background2" w:themeShade="1A"/>
          <w:sz w:val="28"/>
          <w:szCs w:val="28"/>
          <w:lang w:val="zh-CN"/>
        </w:rPr>
      </w:pPr>
      <w:r>
        <w:rPr>
          <w:rFonts w:hint="eastAsia" w:cs="宋体" w:asciiTheme="minorEastAsia" w:hAnsiTheme="minorEastAsia" w:eastAsiaTheme="minorEastAsia"/>
          <w:color w:val="181717" w:themeColor="background2" w:themeShade="1A"/>
          <w:kern w:val="0"/>
          <w:sz w:val="28"/>
          <w:szCs w:val="28"/>
        </w:rPr>
        <w:t>其原因为：基本支出中人员工资、机关事业单位基本养老保险缴费、办公费用等增加。项目支出中：减少冬季冰雪清运费用</w:t>
      </w:r>
    </w:p>
    <w:p>
      <w:pPr>
        <w:widowControl/>
        <w:spacing w:line="580" w:lineRule="exact"/>
        <w:ind w:firstLine="640"/>
        <w:jc w:val="left"/>
        <w:rPr>
          <w:rFonts w:ascii="黑体" w:hAnsi="黑体" w:eastAsia="黑体" w:cs="宋体"/>
          <w:bCs/>
          <w:color w:val="181717" w:themeColor="background2" w:themeShade="1A"/>
          <w:kern w:val="0"/>
          <w:sz w:val="32"/>
          <w:szCs w:val="32"/>
        </w:rPr>
      </w:pPr>
      <w:r>
        <w:rPr>
          <w:rFonts w:hint="eastAsia" w:ascii="黑体" w:hAnsi="黑体" w:eastAsia="黑体" w:cs="宋体"/>
          <w:bCs/>
          <w:color w:val="181717" w:themeColor="background2" w:themeShade="1A"/>
          <w:kern w:val="0"/>
          <w:sz w:val="32"/>
          <w:szCs w:val="32"/>
        </w:rPr>
        <w:t>四、关于乌鲁木齐市水磨沟区环卫清运队2016年财政拨款收支预算情况的总体说明</w:t>
      </w:r>
    </w:p>
    <w:p>
      <w:pPr>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财政拨款收支总预算</w:t>
      </w:r>
      <w:r>
        <w:rPr>
          <w:rFonts w:hint="eastAsia" w:ascii="仿宋_GB2312" w:hAnsi="宋体" w:eastAsia="仿宋_GB2312" w:cs="宋体"/>
          <w:color w:val="181717" w:themeColor="background2" w:themeShade="1A"/>
          <w:sz w:val="28"/>
          <w:szCs w:val="28"/>
        </w:rPr>
        <w:t>1715.19</w:t>
      </w:r>
      <w:r>
        <w:rPr>
          <w:rFonts w:hint="eastAsia" w:cs="宋体" w:asciiTheme="minorEastAsia" w:hAnsiTheme="minorEastAsia" w:eastAsiaTheme="minorEastAsia"/>
          <w:color w:val="181717" w:themeColor="background2" w:themeShade="1A"/>
          <w:kern w:val="0"/>
          <w:sz w:val="28"/>
          <w:szCs w:val="28"/>
        </w:rPr>
        <w:t>万元。</w:t>
      </w:r>
    </w:p>
    <w:p>
      <w:pPr>
        <w:spacing w:line="560" w:lineRule="exact"/>
        <w:ind w:firstLine="560" w:firstLineChars="200"/>
        <w:jc w:val="left"/>
        <w:rPr>
          <w:rFonts w:cs="宋体" w:asciiTheme="minorEastAsia" w:hAnsiTheme="minorEastAsia" w:eastAsiaTheme="minorEastAsia"/>
          <w:b/>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收入全部为一般公共预算拨款，无政府性基金预算拨款。</w:t>
      </w:r>
    </w:p>
    <w:p>
      <w:pPr>
        <w:widowControl/>
        <w:spacing w:line="580" w:lineRule="exact"/>
        <w:ind w:firstLine="640"/>
        <w:jc w:val="left"/>
        <w:rPr>
          <w:rFonts w:ascii="黑体" w:hAnsi="宋体" w:eastAsia="黑体" w:cs="宋体"/>
          <w:color w:val="181717" w:themeColor="background2" w:themeShade="1A"/>
          <w:kern w:val="0"/>
          <w:sz w:val="32"/>
          <w:szCs w:val="32"/>
        </w:rPr>
      </w:pPr>
      <w:r>
        <w:rPr>
          <w:rFonts w:hint="eastAsia" w:ascii="黑体" w:hAnsi="宋体" w:eastAsia="黑体" w:cs="宋体"/>
          <w:color w:val="181717" w:themeColor="background2" w:themeShade="1A"/>
          <w:kern w:val="0"/>
          <w:sz w:val="32"/>
          <w:szCs w:val="32"/>
        </w:rPr>
        <w:t>五、关于乌鲁木齐市水磨沟区环卫清运队2016年一般公共预算基本支出情况说明</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乌鲁木齐市水磨沟区环卫清运队2016年一般公共预算基本支出</w:t>
      </w:r>
      <w:r>
        <w:rPr>
          <w:rFonts w:hint="eastAsia" w:ascii="仿宋_GB2312" w:hAnsi="宋体" w:eastAsia="仿宋_GB2312" w:cs="宋体"/>
          <w:color w:val="181717" w:themeColor="background2" w:themeShade="1A"/>
          <w:sz w:val="28"/>
          <w:szCs w:val="28"/>
        </w:rPr>
        <w:t>1015.19</w:t>
      </w:r>
      <w:r>
        <w:rPr>
          <w:rFonts w:hint="eastAsia" w:cs="宋体" w:asciiTheme="minorEastAsia" w:hAnsiTheme="minorEastAsia" w:eastAsiaTheme="minorEastAsia"/>
          <w:color w:val="181717" w:themeColor="background2" w:themeShade="1A"/>
          <w:kern w:val="0"/>
          <w:sz w:val="28"/>
          <w:szCs w:val="28"/>
        </w:rPr>
        <w:t>万元，其中：</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人员经费819.73万元，主要包括：基本工资、津贴补贴、奖金、伙食补助费、绩效工资、机关事业单位基本养老保险缴费、其他社会保障缴费、住房公积金、医疗费、其他工资福利支出、退休费、奖励金、其他对个人和家庭的补助等。</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公用经费195.46万元，主要包括：办公费、水费、电费、邮电费、取暖费、差旅费、维修（护）费、培训费、公务接待费、工会经费、福利费、公务用车运行维护费、其他交通费用、其他商品和服务支出等。</w:t>
      </w:r>
    </w:p>
    <w:p>
      <w:pPr>
        <w:widowControl/>
        <w:spacing w:line="580" w:lineRule="exact"/>
        <w:ind w:firstLine="640"/>
        <w:jc w:val="left"/>
        <w:rPr>
          <w:rFonts w:ascii="黑体" w:hAnsi="宋体" w:eastAsia="黑体" w:cs="宋体"/>
          <w:color w:val="181717" w:themeColor="background2" w:themeShade="1A"/>
          <w:kern w:val="0"/>
          <w:sz w:val="32"/>
          <w:szCs w:val="32"/>
        </w:rPr>
      </w:pPr>
      <w:r>
        <w:rPr>
          <w:rFonts w:hint="eastAsia" w:ascii="黑体" w:hAnsi="宋体" w:eastAsia="黑体" w:cs="宋体"/>
          <w:color w:val="181717" w:themeColor="background2" w:themeShade="1A"/>
          <w:kern w:val="0"/>
          <w:sz w:val="32"/>
          <w:szCs w:val="32"/>
        </w:rPr>
        <w:t>六、关于乌鲁木齐市水磨沟区环卫清运队2016年一般公共预算项目支出情况说明</w:t>
      </w:r>
    </w:p>
    <w:p>
      <w:pPr>
        <w:widowControl/>
        <w:spacing w:line="560" w:lineRule="exact"/>
        <w:ind w:firstLine="562" w:firstLineChars="200"/>
        <w:jc w:val="left"/>
        <w:rPr>
          <w:rFonts w:asciiTheme="minorEastAsia" w:hAnsiTheme="minorEastAsia" w:eastAsiaTheme="minorEastAsia"/>
          <w:b/>
          <w:color w:val="181717" w:themeColor="background2" w:themeShade="1A"/>
          <w:sz w:val="28"/>
          <w:szCs w:val="28"/>
        </w:rPr>
      </w:pPr>
      <w:r>
        <w:rPr>
          <w:rFonts w:hint="eastAsia" w:asciiTheme="minorEastAsia" w:hAnsiTheme="minorEastAsia" w:eastAsiaTheme="minorEastAsia"/>
          <w:b/>
          <w:color w:val="181717" w:themeColor="background2" w:themeShade="1A"/>
          <w:sz w:val="28"/>
          <w:szCs w:val="28"/>
        </w:rPr>
        <w:t>情况一：（项目支出、专项业务费按下列内容说明）</w:t>
      </w:r>
    </w:p>
    <w:p>
      <w:pPr>
        <w:widowControl/>
        <w:spacing w:line="560" w:lineRule="exact"/>
        <w:ind w:firstLine="562" w:firstLineChars="200"/>
        <w:jc w:val="left"/>
        <w:rPr>
          <w:rFonts w:asciiTheme="minorEastAsia" w:hAnsiTheme="minorEastAsia" w:eastAsiaTheme="minorEastAsia"/>
          <w:b/>
          <w:bCs/>
          <w:color w:val="181717" w:themeColor="background2" w:themeShade="1A"/>
          <w:sz w:val="28"/>
          <w:szCs w:val="28"/>
        </w:rPr>
      </w:pPr>
      <w:r>
        <w:rPr>
          <w:rFonts w:hint="eastAsia" w:cs="仿宋_GB2312" w:asciiTheme="minorEastAsia" w:hAnsiTheme="minorEastAsia" w:eastAsiaTheme="minorEastAsia"/>
          <w:b/>
          <w:bCs/>
          <w:color w:val="181717" w:themeColor="background2" w:themeShade="1A"/>
          <w:sz w:val="28"/>
          <w:szCs w:val="28"/>
        </w:rPr>
        <w:t>（一）垃圾清运费</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项目名称：</w:t>
      </w:r>
      <w:r>
        <w:rPr>
          <w:rFonts w:hint="eastAsia" w:cs="仿宋_GB2312" w:asciiTheme="minorEastAsia" w:hAnsiTheme="minorEastAsia" w:eastAsiaTheme="minorEastAsia"/>
          <w:color w:val="181717" w:themeColor="background2" w:themeShade="1A"/>
          <w:kern w:val="0"/>
          <w:sz w:val="28"/>
          <w:szCs w:val="28"/>
        </w:rPr>
        <w:t>垃圾清运费</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设立的政策依据：根据</w:t>
      </w:r>
      <w:r>
        <w:rPr>
          <w:rFonts w:hint="eastAsia" w:cs="仿宋_GB2312" w:asciiTheme="minorEastAsia" w:hAnsiTheme="minorEastAsia" w:eastAsiaTheme="minorEastAsia"/>
          <w:color w:val="181717" w:themeColor="background2" w:themeShade="1A"/>
          <w:kern w:val="0"/>
          <w:sz w:val="28"/>
          <w:szCs w:val="28"/>
        </w:rPr>
        <w:t>垃圾清运费设立依据</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预算安排规模：</w:t>
      </w:r>
      <w:r>
        <w:rPr>
          <w:rFonts w:hint="eastAsia" w:cs="仿宋_GB2312" w:asciiTheme="minorEastAsia" w:hAnsiTheme="minorEastAsia" w:eastAsiaTheme="minorEastAsia"/>
          <w:color w:val="181717" w:themeColor="background2" w:themeShade="1A"/>
          <w:kern w:val="0"/>
          <w:sz w:val="28"/>
          <w:szCs w:val="28"/>
        </w:rPr>
        <w:t>200万</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项目承担单位：乌鲁木齐市水磨沟区环卫清运队</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资金分配情况：</w:t>
      </w:r>
      <w:r>
        <w:rPr>
          <w:rFonts w:hint="eastAsia" w:cs="仿宋_GB2312" w:asciiTheme="minorEastAsia" w:hAnsiTheme="minorEastAsia" w:eastAsiaTheme="minorEastAsia"/>
          <w:color w:val="181717" w:themeColor="background2" w:themeShade="1A"/>
          <w:kern w:val="0"/>
          <w:sz w:val="28"/>
          <w:szCs w:val="28"/>
        </w:rPr>
        <w:t>用于车辆维修、油料、临时聘用人员工资等</w:t>
      </w:r>
    </w:p>
    <w:p>
      <w:pPr>
        <w:widowControl/>
        <w:spacing w:line="560" w:lineRule="exact"/>
        <w:ind w:firstLine="560" w:firstLineChars="200"/>
        <w:jc w:val="left"/>
        <w:rPr>
          <w:rFonts w:cs="仿宋_GB2312"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资金执行时间：2016年1月1日-2016年12月31日</w:t>
      </w:r>
    </w:p>
    <w:p>
      <w:pPr>
        <w:widowControl/>
        <w:spacing w:line="560" w:lineRule="exact"/>
        <w:ind w:firstLine="560" w:firstLineChars="200"/>
        <w:jc w:val="left"/>
        <w:rPr>
          <w:rFonts w:cs="仿宋_GB2312" w:asciiTheme="minorEastAsia" w:hAnsiTheme="minorEastAsia" w:eastAsiaTheme="minorEastAsia"/>
          <w:color w:val="181717" w:themeColor="background2" w:themeShade="1A"/>
          <w:sz w:val="28"/>
          <w:szCs w:val="28"/>
        </w:rPr>
      </w:pPr>
    </w:p>
    <w:p>
      <w:pPr>
        <w:widowControl/>
        <w:spacing w:line="560" w:lineRule="exact"/>
        <w:ind w:firstLine="560" w:firstLineChars="200"/>
        <w:jc w:val="left"/>
        <w:rPr>
          <w:rFonts w:cs="仿宋_GB2312"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项目名称：运行补助经费</w:t>
      </w:r>
    </w:p>
    <w:p>
      <w:pPr>
        <w:widowControl/>
        <w:spacing w:line="560" w:lineRule="exact"/>
        <w:ind w:firstLine="560" w:firstLineChars="200"/>
        <w:jc w:val="left"/>
        <w:rPr>
          <w:rFonts w:cs="仿宋_GB2312"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设立的政策依据：根据运行补助经费设立依据</w:t>
      </w:r>
    </w:p>
    <w:p>
      <w:pPr>
        <w:widowControl/>
        <w:spacing w:line="560" w:lineRule="exact"/>
        <w:ind w:firstLine="560" w:firstLineChars="200"/>
        <w:jc w:val="left"/>
        <w:rPr>
          <w:rFonts w:cs="仿宋_GB2312"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预算安排规模：500万</w:t>
      </w:r>
    </w:p>
    <w:p>
      <w:pPr>
        <w:widowControl/>
        <w:spacing w:line="560" w:lineRule="exact"/>
        <w:ind w:firstLine="560" w:firstLineChars="200"/>
        <w:jc w:val="left"/>
        <w:rPr>
          <w:rFonts w:cs="仿宋_GB2312"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项目承担单位：新疆祥瑞劳务派遣公司</w:t>
      </w:r>
    </w:p>
    <w:p>
      <w:pPr>
        <w:widowControl/>
        <w:spacing w:line="560" w:lineRule="exact"/>
        <w:ind w:firstLine="560" w:firstLineChars="200"/>
        <w:jc w:val="left"/>
        <w:rPr>
          <w:rFonts w:cs="仿宋_GB2312"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资金分配情况：根据水磨沟区区临聘人员相关规定</w:t>
      </w:r>
    </w:p>
    <w:p>
      <w:pPr>
        <w:widowControl/>
        <w:spacing w:line="560" w:lineRule="exact"/>
        <w:ind w:firstLine="560" w:firstLineChars="200"/>
        <w:jc w:val="left"/>
        <w:rPr>
          <w:rFonts w:cs="仿宋_GB2312" w:asciiTheme="minorEastAsia" w:hAnsiTheme="minorEastAsia" w:eastAsiaTheme="minorEastAsia"/>
          <w:color w:val="181717" w:themeColor="background2" w:themeShade="1A"/>
          <w:sz w:val="28"/>
          <w:szCs w:val="28"/>
        </w:rPr>
      </w:pPr>
      <w:r>
        <w:rPr>
          <w:rFonts w:hint="eastAsia" w:cs="仿宋_GB2312" w:asciiTheme="minorEastAsia" w:hAnsiTheme="minorEastAsia" w:eastAsiaTheme="minorEastAsia"/>
          <w:color w:val="181717" w:themeColor="background2" w:themeShade="1A"/>
          <w:sz w:val="28"/>
          <w:szCs w:val="28"/>
        </w:rPr>
        <w:t>资金执行时间：2016年1月1日至2016年12月31日</w:t>
      </w:r>
    </w:p>
    <w:p>
      <w:pPr>
        <w:widowControl/>
        <w:spacing w:line="560" w:lineRule="exact"/>
        <w:ind w:firstLine="560" w:firstLineChars="200"/>
        <w:jc w:val="left"/>
        <w:rPr>
          <w:rFonts w:cs="仿宋_GB2312" w:asciiTheme="minorEastAsia" w:hAnsiTheme="minorEastAsia" w:eastAsiaTheme="minorEastAsia"/>
          <w:color w:val="181717" w:themeColor="background2" w:themeShade="1A"/>
          <w:sz w:val="28"/>
          <w:szCs w:val="28"/>
        </w:rPr>
      </w:pPr>
    </w:p>
    <w:p>
      <w:pPr>
        <w:widowControl/>
        <w:spacing w:line="560" w:lineRule="exact"/>
        <w:ind w:firstLine="560" w:firstLineChars="200"/>
        <w:jc w:val="left"/>
        <w:rPr>
          <w:rFonts w:asciiTheme="minorEastAsia" w:hAnsiTheme="minorEastAsia" w:eastAsiaTheme="minorEastAsia"/>
          <w:color w:val="181717" w:themeColor="background2" w:themeShade="1A"/>
          <w:kern w:val="0"/>
          <w:sz w:val="28"/>
          <w:szCs w:val="28"/>
        </w:rPr>
      </w:pPr>
      <w:r>
        <w:rPr>
          <w:rFonts w:asciiTheme="minorEastAsia" w:hAnsiTheme="minorEastAsia" w:eastAsiaTheme="minorEastAsia"/>
          <w:color w:val="181717" w:themeColor="background2" w:themeShade="1A"/>
          <w:kern w:val="0"/>
          <w:sz w:val="28"/>
          <w:szCs w:val="28"/>
        </w:rPr>
        <w:t>补贴人数</w:t>
      </w:r>
      <w:r>
        <w:rPr>
          <w:rFonts w:hint="eastAsia" w:asciiTheme="minorEastAsia" w:hAnsiTheme="minorEastAsia" w:eastAsiaTheme="minorEastAsia"/>
          <w:color w:val="181717" w:themeColor="background2" w:themeShade="1A"/>
          <w:kern w:val="0"/>
          <w:sz w:val="28"/>
          <w:szCs w:val="28"/>
        </w:rPr>
        <w:t>：长期工231人，</w:t>
      </w:r>
      <w:r>
        <w:rPr>
          <w:rFonts w:asciiTheme="minorEastAsia" w:hAnsiTheme="minorEastAsia" w:eastAsiaTheme="minorEastAsia"/>
          <w:color w:val="181717" w:themeColor="background2" w:themeShade="1A"/>
          <w:kern w:val="0"/>
          <w:sz w:val="28"/>
          <w:szCs w:val="28"/>
        </w:rPr>
        <w:t>季节</w:t>
      </w:r>
      <w:r>
        <w:rPr>
          <w:rFonts w:hint="eastAsia" w:asciiTheme="minorEastAsia" w:hAnsiTheme="minorEastAsia" w:eastAsiaTheme="minorEastAsia"/>
          <w:color w:val="181717" w:themeColor="background2" w:themeShade="1A"/>
          <w:kern w:val="0"/>
          <w:sz w:val="28"/>
          <w:szCs w:val="28"/>
        </w:rPr>
        <w:t>工155人</w:t>
      </w:r>
    </w:p>
    <w:p>
      <w:pPr>
        <w:widowControl/>
        <w:spacing w:line="560" w:lineRule="exact"/>
        <w:ind w:firstLine="560" w:firstLineChars="200"/>
        <w:jc w:val="left"/>
        <w:rPr>
          <w:rFonts w:asciiTheme="minorEastAsia" w:hAnsiTheme="minorEastAsia" w:eastAsiaTheme="minorEastAsia"/>
          <w:color w:val="181717" w:themeColor="background2" w:themeShade="1A"/>
          <w:kern w:val="0"/>
          <w:sz w:val="28"/>
          <w:szCs w:val="28"/>
        </w:rPr>
      </w:pPr>
      <w:r>
        <w:rPr>
          <w:rFonts w:asciiTheme="minorEastAsia" w:hAnsiTheme="minorEastAsia" w:eastAsiaTheme="minorEastAsia"/>
          <w:color w:val="181717" w:themeColor="background2" w:themeShade="1A"/>
          <w:kern w:val="0"/>
          <w:sz w:val="28"/>
          <w:szCs w:val="28"/>
        </w:rPr>
        <w:t>补贴标准</w:t>
      </w:r>
      <w:r>
        <w:rPr>
          <w:rFonts w:hint="eastAsia" w:asciiTheme="minorEastAsia" w:hAnsiTheme="minorEastAsia" w:eastAsiaTheme="minorEastAsia"/>
          <w:color w:val="181717" w:themeColor="background2" w:themeShade="1A"/>
          <w:kern w:val="0"/>
          <w:sz w:val="28"/>
          <w:szCs w:val="28"/>
        </w:rPr>
        <w:t>：</w:t>
      </w:r>
      <w:r>
        <w:rPr>
          <w:rFonts w:asciiTheme="minorEastAsia" w:hAnsiTheme="minorEastAsia" w:eastAsiaTheme="minorEastAsia"/>
          <w:color w:val="181717" w:themeColor="background2" w:themeShade="1A"/>
          <w:kern w:val="0"/>
          <w:sz w:val="28"/>
          <w:szCs w:val="28"/>
        </w:rPr>
        <w:t>15</w:t>
      </w:r>
      <w:r>
        <w:rPr>
          <w:rFonts w:hint="eastAsia" w:asciiTheme="minorEastAsia" w:hAnsiTheme="minorEastAsia" w:eastAsiaTheme="minorEastAsia"/>
          <w:color w:val="181717" w:themeColor="background2" w:themeShade="1A"/>
          <w:kern w:val="0"/>
          <w:sz w:val="28"/>
          <w:szCs w:val="28"/>
        </w:rPr>
        <w:t>元/天/人</w:t>
      </w:r>
    </w:p>
    <w:p>
      <w:pPr>
        <w:widowControl/>
        <w:spacing w:line="560" w:lineRule="exact"/>
        <w:ind w:firstLine="560" w:firstLineChars="200"/>
        <w:jc w:val="left"/>
        <w:rPr>
          <w:rFonts w:asciiTheme="minorEastAsia" w:hAnsiTheme="minorEastAsia" w:eastAsiaTheme="minorEastAsia"/>
          <w:color w:val="181717" w:themeColor="background2" w:themeShade="1A"/>
          <w:kern w:val="0"/>
          <w:sz w:val="28"/>
          <w:szCs w:val="28"/>
        </w:rPr>
      </w:pPr>
      <w:r>
        <w:rPr>
          <w:rFonts w:asciiTheme="minorEastAsia" w:hAnsiTheme="minorEastAsia" w:eastAsiaTheme="minorEastAsia"/>
          <w:color w:val="181717" w:themeColor="background2" w:themeShade="1A"/>
          <w:kern w:val="0"/>
          <w:sz w:val="28"/>
          <w:szCs w:val="28"/>
        </w:rPr>
        <w:t>补贴范围</w:t>
      </w:r>
      <w:r>
        <w:rPr>
          <w:rFonts w:hint="eastAsia" w:asciiTheme="minorEastAsia" w:hAnsiTheme="minorEastAsia" w:eastAsiaTheme="minorEastAsia"/>
          <w:color w:val="181717" w:themeColor="background2" w:themeShade="1A"/>
          <w:kern w:val="0"/>
          <w:sz w:val="28"/>
          <w:szCs w:val="28"/>
        </w:rPr>
        <w:t>：临聘人员</w:t>
      </w:r>
    </w:p>
    <w:p>
      <w:pPr>
        <w:widowControl/>
        <w:spacing w:line="560" w:lineRule="exact"/>
        <w:ind w:firstLine="560" w:firstLineChars="200"/>
        <w:jc w:val="left"/>
        <w:rPr>
          <w:rFonts w:asciiTheme="minorEastAsia" w:hAnsiTheme="minorEastAsia" w:eastAsiaTheme="minorEastAsia"/>
          <w:color w:val="181717" w:themeColor="background2" w:themeShade="1A"/>
          <w:kern w:val="0"/>
          <w:sz w:val="28"/>
          <w:szCs w:val="28"/>
        </w:rPr>
      </w:pPr>
      <w:r>
        <w:rPr>
          <w:rFonts w:asciiTheme="minorEastAsia" w:hAnsiTheme="minorEastAsia" w:eastAsiaTheme="minorEastAsia"/>
          <w:color w:val="181717" w:themeColor="background2" w:themeShade="1A"/>
          <w:kern w:val="0"/>
          <w:sz w:val="28"/>
          <w:szCs w:val="28"/>
        </w:rPr>
        <w:t>补贴方式</w:t>
      </w:r>
      <w:r>
        <w:rPr>
          <w:rFonts w:hint="eastAsia" w:asciiTheme="minorEastAsia" w:hAnsiTheme="minorEastAsia" w:eastAsiaTheme="minorEastAsia"/>
          <w:color w:val="181717" w:themeColor="background2" w:themeShade="1A"/>
          <w:kern w:val="0"/>
          <w:sz w:val="28"/>
          <w:szCs w:val="28"/>
        </w:rPr>
        <w:t>：银行统一发放，授权支付</w:t>
      </w:r>
    </w:p>
    <w:p>
      <w:pPr>
        <w:widowControl/>
        <w:spacing w:line="560" w:lineRule="exact"/>
        <w:ind w:firstLine="560" w:firstLineChars="200"/>
        <w:jc w:val="left"/>
        <w:rPr>
          <w:rFonts w:asciiTheme="minorEastAsia" w:hAnsiTheme="minorEastAsia" w:eastAsiaTheme="minorEastAsia"/>
          <w:color w:val="181717" w:themeColor="background2" w:themeShade="1A"/>
          <w:kern w:val="0"/>
          <w:sz w:val="28"/>
          <w:szCs w:val="28"/>
        </w:rPr>
      </w:pPr>
      <w:r>
        <w:rPr>
          <w:rFonts w:hint="eastAsia" w:asciiTheme="minorEastAsia" w:hAnsiTheme="minorEastAsia" w:eastAsiaTheme="minorEastAsia"/>
          <w:color w:val="181717" w:themeColor="background2" w:themeShade="1A"/>
          <w:kern w:val="0"/>
          <w:sz w:val="28"/>
          <w:szCs w:val="28"/>
        </w:rPr>
        <w:t>发放程序：按考勤表支付</w:t>
      </w:r>
    </w:p>
    <w:p>
      <w:pPr>
        <w:widowControl/>
        <w:spacing w:line="560" w:lineRule="exact"/>
        <w:ind w:firstLine="560" w:firstLineChars="200"/>
        <w:jc w:val="left"/>
        <w:rPr>
          <w:rFonts w:asciiTheme="minorEastAsia" w:hAnsiTheme="minorEastAsia" w:eastAsiaTheme="minorEastAsia"/>
          <w:color w:val="181717" w:themeColor="background2" w:themeShade="1A"/>
          <w:kern w:val="0"/>
          <w:sz w:val="28"/>
          <w:szCs w:val="28"/>
        </w:rPr>
      </w:pPr>
      <w:r>
        <w:rPr>
          <w:rFonts w:asciiTheme="minorEastAsia" w:hAnsiTheme="minorEastAsia" w:eastAsiaTheme="minorEastAsia"/>
          <w:color w:val="181717" w:themeColor="background2" w:themeShade="1A"/>
          <w:kern w:val="0"/>
          <w:sz w:val="28"/>
          <w:szCs w:val="28"/>
        </w:rPr>
        <w:t>受益人群和社会效益</w:t>
      </w:r>
      <w:r>
        <w:rPr>
          <w:rFonts w:hint="eastAsia" w:asciiTheme="minorEastAsia" w:hAnsiTheme="minorEastAsia" w:eastAsiaTheme="minorEastAsia"/>
          <w:color w:val="181717" w:themeColor="background2" w:themeShade="1A"/>
          <w:kern w:val="0"/>
          <w:sz w:val="28"/>
          <w:szCs w:val="28"/>
        </w:rPr>
        <w:t>：临聘人员</w:t>
      </w:r>
    </w:p>
    <w:p>
      <w:pPr>
        <w:widowControl/>
        <w:spacing w:line="560" w:lineRule="exact"/>
        <w:ind w:firstLine="560" w:firstLineChars="200"/>
        <w:jc w:val="left"/>
        <w:rPr>
          <w:rFonts w:asciiTheme="minorEastAsia" w:hAnsiTheme="minorEastAsia" w:eastAsiaTheme="minorEastAsia"/>
          <w:color w:val="181717" w:themeColor="background2" w:themeShade="1A"/>
          <w:kern w:val="0"/>
          <w:sz w:val="28"/>
          <w:szCs w:val="28"/>
        </w:rPr>
      </w:pPr>
    </w:p>
    <w:p>
      <w:pPr>
        <w:widowControl/>
        <w:spacing w:line="580" w:lineRule="exact"/>
        <w:ind w:firstLine="642"/>
        <w:jc w:val="left"/>
        <w:rPr>
          <w:rFonts w:ascii="黑体" w:hAnsi="宋体" w:eastAsia="黑体" w:cs="宋体"/>
          <w:color w:val="181717" w:themeColor="background2" w:themeShade="1A"/>
          <w:kern w:val="0"/>
          <w:sz w:val="32"/>
          <w:szCs w:val="32"/>
        </w:rPr>
      </w:pPr>
      <w:r>
        <w:rPr>
          <w:rFonts w:hint="eastAsia" w:ascii="黑体" w:hAnsi="宋体" w:eastAsia="黑体" w:cs="宋体"/>
          <w:color w:val="181717" w:themeColor="background2" w:themeShade="1A"/>
          <w:kern w:val="0"/>
          <w:sz w:val="32"/>
          <w:szCs w:val="32"/>
        </w:rPr>
        <w:t>七、关于乌鲁木齐市水磨沟区环卫清运队2016年一般公共预算“三公”经费预算情况说明</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乌鲁木齐市水磨沟区环卫清运队2016年“三公”经费财政拨款预算数为</w:t>
      </w:r>
      <w:r>
        <w:rPr>
          <w:rFonts w:cs="宋体" w:asciiTheme="minorEastAsia" w:hAnsiTheme="minorEastAsia" w:eastAsiaTheme="minorEastAsia"/>
          <w:color w:val="181717" w:themeColor="background2" w:themeShade="1A"/>
          <w:kern w:val="0"/>
          <w:sz w:val="28"/>
          <w:szCs w:val="28"/>
        </w:rPr>
        <w:t>15.0</w:t>
      </w:r>
      <w:r>
        <w:rPr>
          <w:rFonts w:hint="eastAsia" w:cs="宋体" w:asciiTheme="minorEastAsia" w:hAnsiTheme="minorEastAsia" w:eastAsiaTheme="minorEastAsia"/>
          <w:color w:val="181717" w:themeColor="background2" w:themeShade="1A"/>
          <w:kern w:val="0"/>
          <w:sz w:val="28"/>
          <w:szCs w:val="28"/>
        </w:rPr>
        <w:t>万元，其中：公务用车运行费</w:t>
      </w:r>
      <w:r>
        <w:rPr>
          <w:rFonts w:cs="宋体" w:asciiTheme="minorEastAsia" w:hAnsiTheme="minorEastAsia" w:eastAsiaTheme="minorEastAsia"/>
          <w:color w:val="181717" w:themeColor="background2" w:themeShade="1A"/>
          <w:kern w:val="0"/>
          <w:sz w:val="28"/>
          <w:szCs w:val="28"/>
        </w:rPr>
        <w:t>14.82</w:t>
      </w:r>
      <w:r>
        <w:rPr>
          <w:rFonts w:hint="eastAsia" w:cs="宋体" w:asciiTheme="minorEastAsia" w:hAnsiTheme="minorEastAsia" w:eastAsiaTheme="minorEastAsia"/>
          <w:color w:val="181717" w:themeColor="background2" w:themeShade="1A"/>
          <w:kern w:val="0"/>
          <w:sz w:val="28"/>
          <w:szCs w:val="28"/>
        </w:rPr>
        <w:t>万元，公务接待费</w:t>
      </w:r>
      <w:r>
        <w:rPr>
          <w:rFonts w:cs="宋体" w:asciiTheme="minorEastAsia" w:hAnsiTheme="minorEastAsia" w:eastAsiaTheme="minorEastAsia"/>
          <w:color w:val="181717" w:themeColor="background2" w:themeShade="1A"/>
          <w:kern w:val="0"/>
          <w:sz w:val="28"/>
          <w:szCs w:val="28"/>
        </w:rPr>
        <w:t>0.1</w:t>
      </w:r>
      <w:r>
        <w:rPr>
          <w:rFonts w:hint="eastAsia" w:cs="宋体" w:asciiTheme="minorEastAsia" w:hAnsiTheme="minorEastAsia" w:eastAsiaTheme="minorEastAsia"/>
          <w:color w:val="181717" w:themeColor="background2" w:themeShade="1A"/>
          <w:kern w:val="0"/>
          <w:sz w:val="28"/>
          <w:szCs w:val="28"/>
        </w:rPr>
        <w:t>8万元.与2015年“三公”经费财政拨款预算数减少0.03万元，招待费减少0.03万元.</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2016年“三公”经费财政拨款预算与上年</w:t>
      </w:r>
      <w:r>
        <w:rPr>
          <w:rFonts w:cs="宋体" w:asciiTheme="minorEastAsia" w:hAnsiTheme="minorEastAsia" w:eastAsiaTheme="minorEastAsia"/>
          <w:color w:val="181717" w:themeColor="background2" w:themeShade="1A"/>
          <w:kern w:val="0"/>
          <w:sz w:val="28"/>
          <w:szCs w:val="28"/>
        </w:rPr>
        <w:t>持平</w:t>
      </w:r>
      <w:r>
        <w:rPr>
          <w:rFonts w:hint="eastAsia" w:cs="宋体" w:asciiTheme="minorEastAsia" w:hAnsiTheme="minorEastAsia" w:eastAsiaTheme="minorEastAsia"/>
          <w:color w:val="181717" w:themeColor="background2" w:themeShade="1A"/>
          <w:kern w:val="0"/>
          <w:sz w:val="28"/>
          <w:szCs w:val="28"/>
        </w:rPr>
        <w:t>，其中：因公出国（境）费、公务用车购置费未安排预算。公务用车运行费预算与上年</w:t>
      </w:r>
      <w:r>
        <w:rPr>
          <w:rFonts w:cs="宋体" w:asciiTheme="minorEastAsia" w:hAnsiTheme="minorEastAsia" w:eastAsiaTheme="minorEastAsia"/>
          <w:color w:val="181717" w:themeColor="background2" w:themeShade="1A"/>
          <w:kern w:val="0"/>
          <w:sz w:val="28"/>
          <w:szCs w:val="28"/>
        </w:rPr>
        <w:t>持平</w:t>
      </w:r>
      <w:r>
        <w:rPr>
          <w:rFonts w:hint="eastAsia" w:cs="宋体" w:asciiTheme="minorEastAsia" w:hAnsiTheme="minorEastAsia" w:eastAsiaTheme="minorEastAsia"/>
          <w:color w:val="181717" w:themeColor="background2" w:themeShade="1A"/>
          <w:kern w:val="0"/>
          <w:sz w:val="28"/>
          <w:szCs w:val="28"/>
        </w:rPr>
        <w:t>；公务接待费预算与上年略有降低。</w:t>
      </w:r>
    </w:p>
    <w:p>
      <w:pPr>
        <w:widowControl/>
        <w:spacing w:line="580" w:lineRule="exact"/>
        <w:ind w:firstLine="640"/>
        <w:jc w:val="left"/>
        <w:rPr>
          <w:rFonts w:ascii="黑体" w:hAnsi="宋体" w:eastAsia="黑体" w:cs="宋体"/>
          <w:color w:val="181717" w:themeColor="background2" w:themeShade="1A"/>
          <w:kern w:val="0"/>
          <w:sz w:val="32"/>
          <w:szCs w:val="32"/>
        </w:rPr>
      </w:pPr>
      <w:r>
        <w:rPr>
          <w:rFonts w:hint="eastAsia" w:ascii="黑体" w:hAnsi="宋体" w:eastAsia="黑体" w:cs="宋体"/>
          <w:color w:val="181717" w:themeColor="background2" w:themeShade="1A"/>
          <w:kern w:val="0"/>
          <w:sz w:val="32"/>
          <w:szCs w:val="32"/>
        </w:rPr>
        <w:t>八、关于乌鲁木齐市水磨沟区环卫清运队2016年政府性基金预算拨款情况说明</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乌鲁木齐市水磨沟区环卫清运队2016年没有使用政府性基金预算拨款安排的支出，政府性基金预算支出情况表为空表。</w:t>
      </w:r>
    </w:p>
    <w:p>
      <w:pPr>
        <w:widowControl/>
        <w:spacing w:line="580" w:lineRule="exact"/>
        <w:ind w:firstLine="640"/>
        <w:jc w:val="left"/>
        <w:rPr>
          <w:rFonts w:ascii="黑体" w:hAnsi="宋体" w:eastAsia="黑体" w:cs="宋体"/>
          <w:color w:val="181717" w:themeColor="background2" w:themeShade="1A"/>
          <w:kern w:val="0"/>
          <w:sz w:val="32"/>
          <w:szCs w:val="32"/>
        </w:rPr>
      </w:pPr>
      <w:r>
        <w:rPr>
          <w:rFonts w:hint="eastAsia" w:ascii="黑体" w:hAnsi="宋体" w:eastAsia="黑体" w:cs="宋体"/>
          <w:color w:val="181717" w:themeColor="background2" w:themeShade="1A"/>
          <w:kern w:val="0"/>
          <w:sz w:val="32"/>
          <w:szCs w:val="32"/>
        </w:rPr>
        <w:t>九、其他重要事项的情况说明</w:t>
      </w:r>
    </w:p>
    <w:p>
      <w:pPr>
        <w:widowControl/>
        <w:spacing w:line="580" w:lineRule="exact"/>
        <w:ind w:firstLine="642"/>
        <w:jc w:val="left"/>
        <w:rPr>
          <w:rFonts w:ascii="楷体" w:hAnsi="楷体" w:eastAsia="楷体" w:cs="宋体"/>
          <w:b/>
          <w:color w:val="181717" w:themeColor="background2" w:themeShade="1A"/>
          <w:kern w:val="0"/>
          <w:sz w:val="32"/>
          <w:szCs w:val="32"/>
        </w:rPr>
      </w:pPr>
      <w:r>
        <w:rPr>
          <w:rFonts w:hint="eastAsia" w:ascii="楷体" w:hAnsi="楷体" w:eastAsia="楷体" w:cs="宋体"/>
          <w:b/>
          <w:color w:val="181717" w:themeColor="background2" w:themeShade="1A"/>
          <w:kern w:val="0"/>
          <w:sz w:val="32"/>
          <w:szCs w:val="32"/>
        </w:rPr>
        <w:t>（一）政府采购情况</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2016年，乌鲁木齐市水磨沟区环卫清运队及下属单位政府采购预算</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万元，其中：政府采购货物预算</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万元，政府采购工程预算</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万元，政府采购服务预算</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asciiTheme="minorEastAsia" w:hAnsiTheme="minorEastAsia" w:eastAsiaTheme="minorEastAsia"/>
          <w:color w:val="181717" w:themeColor="background2" w:themeShade="1A"/>
          <w:sz w:val="28"/>
          <w:szCs w:val="28"/>
        </w:rPr>
        <w:t>2016年度本乌鲁木齐市水磨沟区环卫清运队面向中小企业预留政府采购项目预算金额</w:t>
      </w:r>
      <w:r>
        <w:rPr>
          <w:rFonts w:asciiTheme="minorEastAsia" w:hAnsiTheme="minorEastAsia" w:eastAsiaTheme="minorEastAsia"/>
          <w:color w:val="181717" w:themeColor="background2" w:themeShade="1A"/>
          <w:sz w:val="28"/>
          <w:szCs w:val="28"/>
        </w:rPr>
        <w:t>0</w:t>
      </w:r>
      <w:r>
        <w:rPr>
          <w:rFonts w:hint="eastAsia" w:asciiTheme="minorEastAsia" w:hAnsiTheme="minorEastAsia" w:eastAsiaTheme="minorEastAsia"/>
          <w:color w:val="181717" w:themeColor="background2" w:themeShade="1A"/>
          <w:sz w:val="28"/>
          <w:szCs w:val="28"/>
        </w:rPr>
        <w:t>万元，其中：面向小微企业预留政府采购项目预算金额</w:t>
      </w:r>
      <w:r>
        <w:rPr>
          <w:rFonts w:asciiTheme="minorEastAsia" w:hAnsiTheme="minorEastAsia" w:eastAsiaTheme="minorEastAsia"/>
          <w:color w:val="181717" w:themeColor="background2" w:themeShade="1A"/>
          <w:sz w:val="28"/>
          <w:szCs w:val="28"/>
        </w:rPr>
        <w:t>0</w:t>
      </w:r>
      <w:r>
        <w:rPr>
          <w:rFonts w:hint="eastAsia" w:asciiTheme="minorEastAsia" w:hAnsiTheme="minorEastAsia" w:eastAsiaTheme="minorEastAsia"/>
          <w:color w:val="181717" w:themeColor="background2" w:themeShade="1A"/>
          <w:sz w:val="28"/>
          <w:szCs w:val="28"/>
        </w:rPr>
        <w:t>万元。</w:t>
      </w:r>
    </w:p>
    <w:p>
      <w:pPr>
        <w:widowControl/>
        <w:spacing w:line="580" w:lineRule="exact"/>
        <w:ind w:firstLine="642"/>
        <w:jc w:val="left"/>
        <w:rPr>
          <w:rFonts w:ascii="楷体" w:hAnsi="楷体" w:eastAsia="楷体" w:cs="宋体"/>
          <w:b/>
          <w:color w:val="181717" w:themeColor="background2" w:themeShade="1A"/>
          <w:kern w:val="0"/>
          <w:sz w:val="32"/>
          <w:szCs w:val="32"/>
        </w:rPr>
      </w:pPr>
      <w:r>
        <w:rPr>
          <w:rFonts w:hint="eastAsia" w:ascii="楷体" w:hAnsi="楷体" w:eastAsia="楷体" w:cs="宋体"/>
          <w:b/>
          <w:color w:val="181717" w:themeColor="background2" w:themeShade="1A"/>
          <w:kern w:val="0"/>
          <w:sz w:val="32"/>
          <w:szCs w:val="32"/>
        </w:rPr>
        <w:t>（二）国有资产占用使用情况</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28"/>
          <w:szCs w:val="28"/>
        </w:rPr>
        <w:t>截至2016年底，乌鲁木齐市水磨沟区环卫清运队及下属各预算单位占用使用国有资产总体情况为</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28"/>
          <w:szCs w:val="28"/>
        </w:rPr>
        <w:t>1.房屋</w:t>
      </w:r>
      <w:r>
        <w:rPr>
          <w:rFonts w:asciiTheme="minorEastAsia" w:hAnsiTheme="minorEastAsia" w:eastAsiaTheme="minorEastAsia"/>
          <w:color w:val="181717" w:themeColor="background2" w:themeShade="1A"/>
          <w:sz w:val="28"/>
          <w:szCs w:val="28"/>
        </w:rPr>
        <w:t>16</w:t>
      </w:r>
      <w:r>
        <w:rPr>
          <w:rFonts w:hint="eastAsia" w:asciiTheme="minorEastAsia" w:hAnsiTheme="minorEastAsia" w:eastAsiaTheme="minorEastAsia"/>
          <w:color w:val="181717" w:themeColor="background2" w:themeShade="1A"/>
          <w:sz w:val="28"/>
          <w:szCs w:val="28"/>
        </w:rPr>
        <w:t>5</w:t>
      </w:r>
      <w:r>
        <w:rPr>
          <w:rFonts w:asciiTheme="minorEastAsia" w:hAnsiTheme="minorEastAsia" w:eastAsiaTheme="minorEastAsia"/>
          <w:color w:val="181717" w:themeColor="background2" w:themeShade="1A"/>
          <w:sz w:val="28"/>
          <w:szCs w:val="28"/>
        </w:rPr>
        <w:t>.48</w:t>
      </w:r>
      <w:r>
        <w:rPr>
          <w:rFonts w:hint="eastAsia" w:asciiTheme="minorEastAsia" w:hAnsiTheme="minorEastAsia" w:eastAsiaTheme="minorEastAsia"/>
          <w:color w:val="181717" w:themeColor="background2" w:themeShade="1A"/>
          <w:sz w:val="28"/>
          <w:szCs w:val="28"/>
        </w:rPr>
        <w:t>平方米，价值107.79万元。</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hint="eastAsia" w:asciiTheme="minorEastAsia" w:hAnsiTheme="minorEastAsia" w:eastAsiaTheme="minorEastAsia"/>
          <w:color w:val="181717" w:themeColor="background2" w:themeShade="1A"/>
          <w:sz w:val="28"/>
          <w:szCs w:val="28"/>
        </w:rPr>
        <w:t>2.车辆</w:t>
      </w:r>
      <w:r>
        <w:rPr>
          <w:rFonts w:asciiTheme="minorEastAsia" w:hAnsiTheme="minorEastAsia" w:eastAsiaTheme="minorEastAsia"/>
          <w:color w:val="181717" w:themeColor="background2" w:themeShade="1A"/>
          <w:sz w:val="28"/>
          <w:szCs w:val="28"/>
        </w:rPr>
        <w:t>126</w:t>
      </w:r>
      <w:r>
        <w:rPr>
          <w:rFonts w:hint="eastAsia" w:asciiTheme="minorEastAsia" w:hAnsiTheme="minorEastAsia" w:eastAsiaTheme="minorEastAsia"/>
          <w:color w:val="181717" w:themeColor="background2" w:themeShade="1A"/>
          <w:sz w:val="28"/>
          <w:szCs w:val="28"/>
        </w:rPr>
        <w:t>辆，价值7,576.5万元；其中：一般公务用车</w:t>
      </w:r>
      <w:r>
        <w:rPr>
          <w:rFonts w:asciiTheme="minorEastAsia" w:hAnsiTheme="minorEastAsia" w:eastAsiaTheme="minorEastAsia"/>
          <w:color w:val="181717" w:themeColor="background2" w:themeShade="1A"/>
          <w:sz w:val="28"/>
          <w:szCs w:val="28"/>
        </w:rPr>
        <w:t>8</w:t>
      </w:r>
      <w:r>
        <w:rPr>
          <w:rFonts w:hint="eastAsia" w:asciiTheme="minorEastAsia" w:hAnsiTheme="minorEastAsia" w:eastAsiaTheme="minorEastAsia"/>
          <w:color w:val="181717" w:themeColor="background2" w:themeShade="1A"/>
          <w:sz w:val="28"/>
          <w:szCs w:val="28"/>
        </w:rPr>
        <w:t>辆，价值</w:t>
      </w:r>
      <w:r>
        <w:rPr>
          <w:rFonts w:asciiTheme="minorEastAsia" w:hAnsiTheme="minorEastAsia" w:eastAsiaTheme="minorEastAsia"/>
          <w:color w:val="181717" w:themeColor="background2" w:themeShade="1A"/>
          <w:sz w:val="28"/>
          <w:szCs w:val="28"/>
        </w:rPr>
        <w:t>117</w:t>
      </w:r>
      <w:r>
        <w:rPr>
          <w:rFonts w:hint="eastAsia" w:asciiTheme="minorEastAsia" w:hAnsiTheme="minorEastAsia" w:eastAsiaTheme="minorEastAsia"/>
          <w:color w:val="181717" w:themeColor="background2" w:themeShade="1A"/>
          <w:sz w:val="28"/>
          <w:szCs w:val="28"/>
        </w:rPr>
        <w:t>.</w:t>
      </w:r>
      <w:r>
        <w:rPr>
          <w:rFonts w:asciiTheme="minorEastAsia" w:hAnsiTheme="minorEastAsia" w:eastAsiaTheme="minorEastAsia"/>
          <w:color w:val="181717" w:themeColor="background2" w:themeShade="1A"/>
          <w:sz w:val="28"/>
          <w:szCs w:val="28"/>
        </w:rPr>
        <w:t>06</w:t>
      </w:r>
      <w:r>
        <w:rPr>
          <w:rFonts w:hint="eastAsia" w:asciiTheme="minorEastAsia" w:hAnsiTheme="minorEastAsia" w:eastAsiaTheme="minorEastAsia"/>
          <w:color w:val="181717" w:themeColor="background2" w:themeShade="1A"/>
          <w:sz w:val="28"/>
          <w:szCs w:val="28"/>
        </w:rPr>
        <w:t>万元；其他车辆</w:t>
      </w:r>
      <w:r>
        <w:rPr>
          <w:rFonts w:asciiTheme="minorEastAsia" w:hAnsiTheme="minorEastAsia" w:eastAsiaTheme="minorEastAsia"/>
          <w:color w:val="181717" w:themeColor="background2" w:themeShade="1A"/>
          <w:sz w:val="28"/>
          <w:szCs w:val="28"/>
        </w:rPr>
        <w:t>118</w:t>
      </w:r>
      <w:r>
        <w:rPr>
          <w:rFonts w:hint="eastAsia" w:asciiTheme="minorEastAsia" w:hAnsiTheme="minorEastAsia" w:eastAsiaTheme="minorEastAsia"/>
          <w:color w:val="181717" w:themeColor="background2" w:themeShade="1A"/>
          <w:sz w:val="28"/>
          <w:szCs w:val="28"/>
        </w:rPr>
        <w:t>辆，价值</w:t>
      </w:r>
      <w:r>
        <w:rPr>
          <w:rFonts w:asciiTheme="minorEastAsia" w:hAnsiTheme="minorEastAsia" w:eastAsiaTheme="minorEastAsia"/>
          <w:color w:val="181717" w:themeColor="background2" w:themeShade="1A"/>
          <w:sz w:val="28"/>
          <w:szCs w:val="28"/>
        </w:rPr>
        <w:t>7</w:t>
      </w:r>
      <w:r>
        <w:rPr>
          <w:rFonts w:hint="eastAsia" w:asciiTheme="minorEastAsia" w:hAnsiTheme="minorEastAsia" w:eastAsiaTheme="minorEastAsia"/>
          <w:color w:val="181717" w:themeColor="background2" w:themeShade="1A"/>
          <w:sz w:val="28"/>
          <w:szCs w:val="28"/>
        </w:rPr>
        <w:t>537.16万元。</w:t>
      </w:r>
    </w:p>
    <w:p>
      <w:pPr>
        <w:widowControl/>
        <w:spacing w:line="560" w:lineRule="exact"/>
        <w:ind w:firstLine="560" w:firstLineChars="200"/>
        <w:jc w:val="left"/>
        <w:rPr>
          <w:rFonts w:asciiTheme="minorEastAsia" w:hAnsiTheme="minorEastAsia" w:eastAsiaTheme="minorEastAsia"/>
          <w:color w:val="181717" w:themeColor="background2" w:themeShade="1A"/>
          <w:sz w:val="28"/>
          <w:szCs w:val="28"/>
        </w:rPr>
      </w:pPr>
      <w:r>
        <w:rPr>
          <w:rFonts w:asciiTheme="minorEastAsia" w:hAnsiTheme="minorEastAsia" w:eastAsiaTheme="minorEastAsia"/>
          <w:color w:val="181717" w:themeColor="background2" w:themeShade="1A"/>
          <w:sz w:val="28"/>
          <w:szCs w:val="28"/>
        </w:rPr>
        <w:t>3</w:t>
      </w:r>
      <w:r>
        <w:rPr>
          <w:rFonts w:hint="eastAsia" w:asciiTheme="minorEastAsia" w:hAnsiTheme="minorEastAsia" w:eastAsiaTheme="minorEastAsia"/>
          <w:color w:val="181717" w:themeColor="background2" w:themeShade="1A"/>
          <w:sz w:val="28"/>
          <w:szCs w:val="28"/>
        </w:rPr>
        <w:t>.其他资产（含</w:t>
      </w:r>
      <w:r>
        <w:rPr>
          <w:rFonts w:asciiTheme="minorEastAsia" w:hAnsiTheme="minorEastAsia" w:eastAsiaTheme="minorEastAsia"/>
          <w:color w:val="181717" w:themeColor="background2" w:themeShade="1A"/>
          <w:sz w:val="28"/>
          <w:szCs w:val="28"/>
        </w:rPr>
        <w:t>办公家具</w:t>
      </w:r>
      <w:r>
        <w:rPr>
          <w:rFonts w:hint="eastAsia" w:asciiTheme="minorEastAsia" w:hAnsiTheme="minorEastAsia" w:eastAsiaTheme="minorEastAsia"/>
          <w:color w:val="181717" w:themeColor="background2" w:themeShade="1A"/>
          <w:sz w:val="28"/>
          <w:szCs w:val="28"/>
        </w:rPr>
        <w:t>）价值2041.24万元。</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单位价值50万元以上大型设备</w:t>
      </w:r>
      <w:r>
        <w:rPr>
          <w:rFonts w:cs="宋体" w:asciiTheme="minorEastAsia" w:hAnsiTheme="minorEastAsia" w:eastAsiaTheme="minorEastAsia"/>
          <w:color w:val="181717" w:themeColor="background2" w:themeShade="1A"/>
          <w:kern w:val="0"/>
          <w:sz w:val="28"/>
          <w:szCs w:val="28"/>
        </w:rPr>
        <w:t>1</w:t>
      </w:r>
      <w:r>
        <w:rPr>
          <w:rFonts w:hint="eastAsia" w:cs="宋体" w:asciiTheme="minorEastAsia" w:hAnsiTheme="minorEastAsia" w:eastAsiaTheme="minorEastAsia"/>
          <w:color w:val="181717" w:themeColor="background2" w:themeShade="1A"/>
          <w:kern w:val="0"/>
          <w:sz w:val="28"/>
          <w:szCs w:val="28"/>
        </w:rPr>
        <w:t>台（套），单位价值100万元以上大型设备</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台（套）。</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2016年乌鲁木齐市水磨沟区环卫清运队预算未安排购置车辆经费，安排购置50万元以上大型设备</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台（套），单位价值100万元以上大型设备</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台（套）。</w:t>
      </w:r>
    </w:p>
    <w:p>
      <w:pPr>
        <w:widowControl/>
        <w:spacing w:line="580" w:lineRule="exact"/>
        <w:ind w:firstLine="642"/>
        <w:jc w:val="left"/>
        <w:rPr>
          <w:rFonts w:ascii="楷体" w:hAnsi="楷体" w:eastAsia="楷体" w:cs="宋体"/>
          <w:b/>
          <w:color w:val="181717" w:themeColor="background2" w:themeShade="1A"/>
          <w:kern w:val="0"/>
          <w:sz w:val="32"/>
          <w:szCs w:val="32"/>
        </w:rPr>
      </w:pPr>
      <w:r>
        <w:rPr>
          <w:rFonts w:hint="eastAsia" w:ascii="楷体" w:hAnsi="楷体" w:eastAsia="楷体" w:cs="宋体"/>
          <w:b/>
          <w:color w:val="181717" w:themeColor="background2" w:themeShade="1A"/>
          <w:kern w:val="0"/>
          <w:sz w:val="32"/>
          <w:szCs w:val="32"/>
        </w:rPr>
        <w:t>（三）预算绩效情况</w:t>
      </w:r>
    </w:p>
    <w:p>
      <w:pPr>
        <w:widowControl/>
        <w:spacing w:line="580" w:lineRule="exact"/>
        <w:ind w:firstLine="64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2016年度，本年度实行绩效管理的项目</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个，涉及预算金额</w:t>
      </w:r>
      <w:r>
        <w:rPr>
          <w:rFonts w:cs="宋体" w:asciiTheme="minorEastAsia" w:hAnsiTheme="minorEastAsia" w:eastAsiaTheme="minorEastAsia"/>
          <w:color w:val="181717" w:themeColor="background2" w:themeShade="1A"/>
          <w:kern w:val="0"/>
          <w:sz w:val="28"/>
          <w:szCs w:val="28"/>
        </w:rPr>
        <w:t>0</w:t>
      </w:r>
      <w:r>
        <w:rPr>
          <w:rFonts w:hint="eastAsia" w:cs="宋体" w:asciiTheme="minorEastAsia" w:hAnsiTheme="minorEastAsia" w:eastAsiaTheme="minorEastAsia"/>
          <w:color w:val="181717" w:themeColor="background2" w:themeShade="1A"/>
          <w:kern w:val="0"/>
          <w:sz w:val="28"/>
          <w:szCs w:val="28"/>
        </w:rPr>
        <w:t>万元。具体情况见下表（按项目分别填报）：</w:t>
      </w: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widowControl/>
        <w:jc w:val="left"/>
        <w:rPr>
          <w:rFonts w:ascii="仿宋_GB2312" w:hAnsi="宋体" w:eastAsia="仿宋_GB2312" w:cs="宋体"/>
          <w:color w:val="181717" w:themeColor="background2" w:themeShade="1A"/>
          <w:kern w:val="0"/>
          <w:sz w:val="32"/>
          <w:szCs w:val="32"/>
        </w:rPr>
      </w:pPr>
    </w:p>
    <w:p>
      <w:pPr>
        <w:spacing w:line="500" w:lineRule="exact"/>
        <w:jc w:val="center"/>
        <w:rPr>
          <w:rFonts w:ascii="宋体" w:hAnsi="宋体" w:cs="宋体"/>
          <w:b/>
          <w:color w:val="181717" w:themeColor="background2" w:themeShade="1A"/>
          <w:kern w:val="0"/>
          <w:sz w:val="36"/>
          <w:szCs w:val="36"/>
        </w:rPr>
      </w:pPr>
      <w:r>
        <w:rPr>
          <w:rFonts w:hint="eastAsia" w:ascii="宋体" w:hAnsi="宋体" w:cs="宋体"/>
          <w:b/>
          <w:color w:val="181717" w:themeColor="background2" w:themeShade="1A"/>
          <w:kern w:val="0"/>
          <w:sz w:val="36"/>
          <w:szCs w:val="36"/>
        </w:rPr>
        <w:t>财政支出绩效目标申报表</w:t>
      </w:r>
    </w:p>
    <w:p>
      <w:pPr>
        <w:spacing w:line="500" w:lineRule="exact"/>
        <w:jc w:val="center"/>
        <w:rPr>
          <w:rFonts w:ascii="仿宋_GB2312" w:hAnsi="宋体" w:eastAsia="仿宋_GB2312" w:cs="宋体"/>
          <w:color w:val="181717" w:themeColor="background2" w:themeShade="1A"/>
          <w:kern w:val="0"/>
          <w:sz w:val="36"/>
          <w:szCs w:val="36"/>
        </w:rPr>
      </w:pPr>
      <w:r>
        <w:rPr>
          <w:rFonts w:hint="eastAsia" w:ascii="仿宋_GB2312" w:hAnsi="宋体" w:eastAsia="仿宋_GB2312" w:cs="宋体"/>
          <w:color w:val="181717" w:themeColor="background2" w:themeShade="1A"/>
          <w:kern w:val="0"/>
          <w:sz w:val="36"/>
          <w:szCs w:val="36"/>
        </w:rPr>
        <w:t>（   年度）</w:t>
      </w:r>
    </w:p>
    <w:p>
      <w:pPr>
        <w:jc w:val="left"/>
        <w:rPr>
          <w:rFonts w:ascii="仿宋_GB2312" w:hAnsi="宋体" w:eastAsia="仿宋_GB2312" w:cs="宋体"/>
          <w:color w:val="181717" w:themeColor="background2" w:themeShade="1A"/>
          <w:kern w:val="0"/>
          <w:sz w:val="32"/>
          <w:szCs w:val="32"/>
        </w:rPr>
      </w:pPr>
      <w:r>
        <w:rPr>
          <w:rFonts w:hint="eastAsia" w:ascii="仿宋_GB2312" w:hAnsi="宋体" w:eastAsia="仿宋_GB2312" w:cs="宋体"/>
          <w:color w:val="181717" w:themeColor="background2" w:themeShade="1A"/>
          <w:kern w:val="0"/>
          <w:sz w:val="32"/>
          <w:szCs w:val="32"/>
        </w:rPr>
        <w:t>填报单位：</w:t>
      </w:r>
    </w:p>
    <w:tbl>
      <w:tblPr>
        <w:tblStyle w:val="10"/>
        <w:tblW w:w="9073" w:type="dxa"/>
        <w:jc w:val="center"/>
        <w:tblInd w:w="-147" w:type="dxa"/>
        <w:tblLayout w:type="fixed"/>
        <w:tblCellMar>
          <w:top w:w="0" w:type="dxa"/>
          <w:left w:w="108" w:type="dxa"/>
          <w:bottom w:w="0" w:type="dxa"/>
          <w:right w:w="108" w:type="dxa"/>
        </w:tblCellMar>
      </w:tblPr>
      <w:tblGrid>
        <w:gridCol w:w="2410"/>
        <w:gridCol w:w="1956"/>
        <w:gridCol w:w="312"/>
        <w:gridCol w:w="1542"/>
        <w:gridCol w:w="222"/>
        <w:gridCol w:w="476"/>
        <w:gridCol w:w="1559"/>
        <w:gridCol w:w="596"/>
      </w:tblGrid>
      <w:tr>
        <w:tblPrEx>
          <w:tblLayout w:type="fixed"/>
          <w:tblCellMar>
            <w:top w:w="0" w:type="dxa"/>
            <w:left w:w="108" w:type="dxa"/>
            <w:bottom w:w="0" w:type="dxa"/>
            <w:right w:w="108" w:type="dxa"/>
          </w:tblCellMar>
        </w:tblPrEx>
        <w:trPr>
          <w:trHeight w:val="556" w:hRule="atLeast"/>
          <w:jc w:val="center"/>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项目名称</w:t>
            </w:r>
          </w:p>
        </w:tc>
        <w:tc>
          <w:tcPr>
            <w:tcW w:w="195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项目属性</w:t>
            </w:r>
          </w:p>
        </w:tc>
        <w:tc>
          <w:tcPr>
            <w:tcW w:w="285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新增项目□    延续项目□</w:t>
            </w:r>
          </w:p>
        </w:tc>
      </w:tr>
      <w:tr>
        <w:tblPrEx>
          <w:tblLayout w:type="fixed"/>
          <w:tblCellMar>
            <w:top w:w="0" w:type="dxa"/>
            <w:left w:w="108" w:type="dxa"/>
            <w:bottom w:w="0" w:type="dxa"/>
            <w:right w:w="108" w:type="dxa"/>
          </w:tblCellMar>
        </w:tblPrEx>
        <w:trPr>
          <w:trHeight w:val="564" w:hRule="atLeast"/>
          <w:jc w:val="center"/>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主管乌鲁木齐市水磨沟区环卫清运队</w:t>
            </w:r>
          </w:p>
        </w:tc>
        <w:tc>
          <w:tcPr>
            <w:tcW w:w="195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项目实施单位</w:t>
            </w:r>
          </w:p>
        </w:tc>
        <w:tc>
          <w:tcPr>
            <w:tcW w:w="2853"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项目起止时间</w:t>
            </w:r>
          </w:p>
        </w:tc>
        <w:tc>
          <w:tcPr>
            <w:tcW w:w="195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项目负责人</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联系电话</w:t>
            </w:r>
          </w:p>
        </w:tc>
        <w:tc>
          <w:tcPr>
            <w:tcW w:w="596"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241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项目资金（万元）</w:t>
            </w:r>
          </w:p>
        </w:tc>
        <w:tc>
          <w:tcPr>
            <w:tcW w:w="666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资金总额</w:t>
            </w:r>
          </w:p>
        </w:tc>
      </w:tr>
      <w:tr>
        <w:tblPrEx>
          <w:tblLayout w:type="fixed"/>
          <w:tblCellMar>
            <w:top w:w="0" w:type="dxa"/>
            <w:left w:w="108" w:type="dxa"/>
            <w:bottom w:w="0" w:type="dxa"/>
            <w:right w:w="108" w:type="dxa"/>
          </w:tblCellMar>
        </w:tblPrEx>
        <w:trPr>
          <w:trHeight w:val="420" w:hRule="atLeast"/>
          <w:jc w:val="center"/>
        </w:trPr>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181717" w:themeColor="background2" w:themeShade="1A"/>
                <w:kern w:val="0"/>
                <w:sz w:val="24"/>
              </w:rPr>
            </w:pPr>
          </w:p>
        </w:tc>
        <w:tc>
          <w:tcPr>
            <w:tcW w:w="666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财政拨款</w:t>
            </w:r>
          </w:p>
        </w:tc>
      </w:tr>
      <w:tr>
        <w:tblPrEx>
          <w:tblLayout w:type="fixed"/>
          <w:tblCellMar>
            <w:top w:w="0" w:type="dxa"/>
            <w:left w:w="108" w:type="dxa"/>
            <w:bottom w:w="0" w:type="dxa"/>
            <w:right w:w="108" w:type="dxa"/>
          </w:tblCellMar>
        </w:tblPrEx>
        <w:trPr>
          <w:trHeight w:val="420" w:hRule="atLeast"/>
          <w:jc w:val="center"/>
        </w:trPr>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181717" w:themeColor="background2" w:themeShade="1A"/>
                <w:kern w:val="0"/>
                <w:sz w:val="24"/>
              </w:rPr>
            </w:pPr>
          </w:p>
        </w:tc>
        <w:tc>
          <w:tcPr>
            <w:tcW w:w="666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自有资金</w:t>
            </w:r>
          </w:p>
        </w:tc>
      </w:tr>
      <w:tr>
        <w:tblPrEx>
          <w:tblLayout w:type="fixed"/>
          <w:tblCellMar>
            <w:top w:w="0" w:type="dxa"/>
            <w:left w:w="108" w:type="dxa"/>
            <w:bottom w:w="0" w:type="dxa"/>
            <w:right w:w="108" w:type="dxa"/>
          </w:tblCellMar>
        </w:tblPrEx>
        <w:trPr>
          <w:trHeight w:val="420" w:hRule="atLeast"/>
          <w:jc w:val="center"/>
        </w:trPr>
        <w:tc>
          <w:tcPr>
            <w:tcW w:w="24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181717" w:themeColor="background2" w:themeShade="1A"/>
                <w:kern w:val="0"/>
                <w:sz w:val="24"/>
              </w:rPr>
            </w:pPr>
          </w:p>
        </w:tc>
        <w:tc>
          <w:tcPr>
            <w:tcW w:w="6663" w:type="dxa"/>
            <w:gridSpan w:val="7"/>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经营性收入</w:t>
            </w:r>
          </w:p>
        </w:tc>
      </w:tr>
      <w:tr>
        <w:tblPrEx>
          <w:tblLayout w:type="fixed"/>
          <w:tblCellMar>
            <w:top w:w="0" w:type="dxa"/>
            <w:left w:w="108" w:type="dxa"/>
            <w:bottom w:w="0" w:type="dxa"/>
            <w:right w:w="108" w:type="dxa"/>
          </w:tblCellMar>
        </w:tblPrEx>
        <w:trPr>
          <w:trHeight w:val="221" w:hRule="atLeast"/>
          <w:jc w:val="center"/>
        </w:trPr>
        <w:tc>
          <w:tcPr>
            <w:tcW w:w="2410" w:type="dxa"/>
            <w:vMerge w:val="continue"/>
            <w:tcBorders>
              <w:top w:val="single" w:color="auto" w:sz="4" w:space="0"/>
              <w:left w:val="single" w:color="auto" w:sz="4" w:space="0"/>
              <w:bottom w:val="nil"/>
              <w:right w:val="single" w:color="auto" w:sz="4" w:space="0"/>
            </w:tcBorders>
            <w:vAlign w:val="center"/>
          </w:tcPr>
          <w:p>
            <w:pPr>
              <w:widowControl/>
              <w:jc w:val="left"/>
              <w:rPr>
                <w:rFonts w:ascii="仿宋_GB2312" w:hAnsi="宋体" w:eastAsia="仿宋_GB2312" w:cs="宋体"/>
                <w:color w:val="181717" w:themeColor="background2" w:themeShade="1A"/>
                <w:kern w:val="0"/>
                <w:sz w:val="24"/>
              </w:rPr>
            </w:pPr>
          </w:p>
        </w:tc>
        <w:tc>
          <w:tcPr>
            <w:tcW w:w="6663"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其他收入</w:t>
            </w:r>
          </w:p>
        </w:tc>
      </w:tr>
      <w:tr>
        <w:tblPrEx>
          <w:tblLayout w:type="fixed"/>
          <w:tblCellMar>
            <w:top w:w="0" w:type="dxa"/>
            <w:left w:w="108" w:type="dxa"/>
            <w:bottom w:w="0" w:type="dxa"/>
            <w:right w:w="108" w:type="dxa"/>
          </w:tblCellMar>
        </w:tblPrEx>
        <w:trPr>
          <w:trHeight w:val="420" w:hRule="atLeast"/>
          <w:jc w:val="center"/>
        </w:trPr>
        <w:tc>
          <w:tcPr>
            <w:tcW w:w="2410" w:type="dxa"/>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181717" w:themeColor="background2" w:themeShade="1A"/>
                <w:kern w:val="0"/>
                <w:sz w:val="24"/>
              </w:rPr>
            </w:pPr>
          </w:p>
        </w:tc>
        <w:tc>
          <w:tcPr>
            <w:tcW w:w="6663"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其他</w:t>
            </w:r>
          </w:p>
        </w:tc>
      </w:tr>
      <w:tr>
        <w:tblPrEx>
          <w:tblLayout w:type="fixed"/>
          <w:tblCellMar>
            <w:top w:w="0" w:type="dxa"/>
            <w:left w:w="108" w:type="dxa"/>
            <w:bottom w:w="0" w:type="dxa"/>
            <w:right w:w="108" w:type="dxa"/>
          </w:tblCellMar>
        </w:tblPrEx>
        <w:trPr>
          <w:trHeight w:val="1624" w:hRule="atLeast"/>
          <w:jc w:val="center"/>
        </w:trPr>
        <w:tc>
          <w:tcPr>
            <w:tcW w:w="24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单位职能阐述</w:t>
            </w:r>
          </w:p>
        </w:tc>
        <w:tc>
          <w:tcPr>
            <w:tcW w:w="6663" w:type="dxa"/>
            <w:gridSpan w:val="7"/>
            <w:tcBorders>
              <w:top w:val="single" w:color="auto" w:sz="4" w:space="0"/>
              <w:left w:val="nil"/>
              <w:bottom w:val="single" w:color="auto" w:sz="4" w:space="0"/>
              <w:right w:val="single" w:color="000000" w:sz="4" w:space="0"/>
            </w:tcBorders>
            <w:shd w:val="clear" w:color="auto" w:fill="auto"/>
            <w:noWrap/>
            <w:vAlign w:val="center"/>
          </w:tcPr>
          <w:p>
            <w:pPr>
              <w:rPr>
                <w:rFonts w:ascii="仿宋_GB2312" w:hAnsi="宋体" w:eastAsia="仿宋_GB2312" w:cs="宋体"/>
                <w:color w:val="181717" w:themeColor="background2" w:themeShade="1A"/>
                <w:sz w:val="24"/>
              </w:rPr>
            </w:pPr>
          </w:p>
        </w:tc>
      </w:tr>
      <w:tr>
        <w:tblPrEx>
          <w:tblLayout w:type="fixed"/>
          <w:tblCellMar>
            <w:top w:w="0" w:type="dxa"/>
            <w:left w:w="108" w:type="dxa"/>
            <w:bottom w:w="0" w:type="dxa"/>
            <w:right w:w="108" w:type="dxa"/>
          </w:tblCellMar>
        </w:tblPrEx>
        <w:trPr>
          <w:trHeight w:val="1416" w:hRule="atLeast"/>
          <w:jc w:val="center"/>
        </w:trPr>
        <w:tc>
          <w:tcPr>
            <w:tcW w:w="24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项目概况</w:t>
            </w:r>
          </w:p>
        </w:tc>
        <w:tc>
          <w:tcPr>
            <w:tcW w:w="6663"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24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项目立项情况</w:t>
            </w: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项目立项的依据</w:t>
            </w:r>
          </w:p>
        </w:tc>
        <w:tc>
          <w:tcPr>
            <w:tcW w:w="4395"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81717" w:themeColor="background2" w:themeShade="1A"/>
                <w:kern w:val="0"/>
                <w:sz w:val="24"/>
              </w:rPr>
            </w:pP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项目申报的可行性</w:t>
            </w:r>
          </w:p>
        </w:tc>
        <w:tc>
          <w:tcPr>
            <w:tcW w:w="4395"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81717" w:themeColor="background2" w:themeShade="1A"/>
                <w:kern w:val="0"/>
                <w:sz w:val="24"/>
              </w:rPr>
            </w:pP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项目申报的必要性</w:t>
            </w:r>
          </w:p>
        </w:tc>
        <w:tc>
          <w:tcPr>
            <w:tcW w:w="4395"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p>
        </w:tc>
      </w:tr>
      <w:tr>
        <w:tblPrEx>
          <w:tblLayout w:type="fixed"/>
          <w:tblCellMar>
            <w:top w:w="0" w:type="dxa"/>
            <w:left w:w="108" w:type="dxa"/>
            <w:bottom w:w="0" w:type="dxa"/>
            <w:right w:w="108" w:type="dxa"/>
          </w:tblCellMar>
        </w:tblPrEx>
        <w:trPr>
          <w:trHeight w:val="490" w:hRule="atLeast"/>
          <w:jc w:val="center"/>
        </w:trPr>
        <w:tc>
          <w:tcPr>
            <w:tcW w:w="241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项目实施进度计划</w:t>
            </w: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项目实施内容</w:t>
            </w:r>
          </w:p>
        </w:tc>
        <w:tc>
          <w:tcPr>
            <w:tcW w:w="176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开始时间</w:t>
            </w:r>
          </w:p>
        </w:tc>
        <w:tc>
          <w:tcPr>
            <w:tcW w:w="263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完成时间</w:t>
            </w:r>
          </w:p>
        </w:tc>
      </w:tr>
      <w:tr>
        <w:tblPrEx>
          <w:tblLayout w:type="fixed"/>
          <w:tblCellMar>
            <w:top w:w="0" w:type="dxa"/>
            <w:left w:w="108" w:type="dxa"/>
            <w:bottom w:w="0" w:type="dxa"/>
            <w:right w:w="108" w:type="dxa"/>
          </w:tblCellMar>
        </w:tblPrEx>
        <w:trPr>
          <w:trHeight w:val="420" w:hRule="atLeast"/>
          <w:jc w:val="center"/>
        </w:trPr>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81717" w:themeColor="background2" w:themeShade="1A"/>
                <w:kern w:val="0"/>
                <w:sz w:val="24"/>
              </w:rPr>
            </w:pP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1、</w:t>
            </w:r>
          </w:p>
        </w:tc>
        <w:tc>
          <w:tcPr>
            <w:tcW w:w="176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p>
        </w:tc>
        <w:tc>
          <w:tcPr>
            <w:tcW w:w="263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p>
        </w:tc>
      </w:tr>
      <w:tr>
        <w:tblPrEx>
          <w:tblLayout w:type="fixed"/>
          <w:tblCellMar>
            <w:top w:w="0" w:type="dxa"/>
            <w:left w:w="108" w:type="dxa"/>
            <w:bottom w:w="0" w:type="dxa"/>
            <w:right w:w="108" w:type="dxa"/>
          </w:tblCellMar>
        </w:tblPrEx>
        <w:trPr>
          <w:trHeight w:val="420" w:hRule="atLeast"/>
          <w:jc w:val="center"/>
        </w:trPr>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81717" w:themeColor="background2" w:themeShade="1A"/>
                <w:kern w:val="0"/>
                <w:sz w:val="24"/>
              </w:rPr>
            </w:pP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2、</w:t>
            </w:r>
          </w:p>
        </w:tc>
        <w:tc>
          <w:tcPr>
            <w:tcW w:w="176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p>
        </w:tc>
        <w:tc>
          <w:tcPr>
            <w:tcW w:w="263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p>
        </w:tc>
      </w:tr>
      <w:tr>
        <w:tblPrEx>
          <w:tblLayout w:type="fixed"/>
          <w:tblCellMar>
            <w:top w:w="0" w:type="dxa"/>
            <w:left w:w="108" w:type="dxa"/>
            <w:bottom w:w="0" w:type="dxa"/>
            <w:right w:w="108" w:type="dxa"/>
          </w:tblCellMar>
        </w:tblPrEx>
        <w:trPr>
          <w:trHeight w:val="457" w:hRule="atLeast"/>
          <w:jc w:val="center"/>
        </w:trPr>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181717" w:themeColor="background2" w:themeShade="1A"/>
                <w:kern w:val="0"/>
                <w:sz w:val="24"/>
              </w:rPr>
            </w:pPr>
          </w:p>
        </w:tc>
        <w:tc>
          <w:tcPr>
            <w:tcW w:w="226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181717" w:themeColor="background2" w:themeShade="1A"/>
                <w:kern w:val="0"/>
                <w:sz w:val="24"/>
              </w:rPr>
            </w:pPr>
            <w:r>
              <w:rPr>
                <w:rFonts w:hint="eastAsia" w:ascii="仿宋_GB2312" w:hAnsi="宋体" w:eastAsia="仿宋_GB2312" w:cs="宋体"/>
                <w:color w:val="181717" w:themeColor="background2" w:themeShade="1A"/>
                <w:kern w:val="0"/>
                <w:sz w:val="24"/>
              </w:rPr>
              <w:t>……</w:t>
            </w:r>
          </w:p>
        </w:tc>
        <w:tc>
          <w:tcPr>
            <w:tcW w:w="1764"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p>
        </w:tc>
        <w:tc>
          <w:tcPr>
            <w:tcW w:w="263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仿宋_GB2312" w:hAnsi="宋体" w:eastAsia="仿宋_GB2312" w:cs="宋体"/>
                <w:color w:val="181717" w:themeColor="background2" w:themeShade="1A"/>
                <w:kern w:val="0"/>
                <w:sz w:val="24"/>
              </w:rPr>
            </w:pPr>
          </w:p>
        </w:tc>
      </w:tr>
    </w:tbl>
    <w:p>
      <w:pPr>
        <w:widowControl/>
        <w:spacing w:line="560" w:lineRule="exact"/>
        <w:ind w:firstLine="630" w:firstLineChars="196"/>
        <w:jc w:val="left"/>
        <w:rPr>
          <w:rFonts w:ascii="楷体" w:hAnsi="楷体" w:eastAsia="楷体" w:cs="宋体"/>
          <w:b/>
          <w:color w:val="181717" w:themeColor="background2" w:themeShade="1A"/>
          <w:kern w:val="0"/>
          <w:sz w:val="32"/>
          <w:szCs w:val="32"/>
        </w:rPr>
      </w:pPr>
      <w:r>
        <w:rPr>
          <w:rFonts w:hint="eastAsia" w:ascii="楷体" w:hAnsi="楷体" w:eastAsia="楷体" w:cs="宋体"/>
          <w:b/>
          <w:color w:val="181717" w:themeColor="background2" w:themeShade="1A"/>
          <w:kern w:val="0"/>
          <w:sz w:val="32"/>
          <w:szCs w:val="32"/>
        </w:rPr>
        <w:t>（四）其他需说明的事项</w:t>
      </w:r>
    </w:p>
    <w:p>
      <w:pPr>
        <w:widowControl/>
        <w:spacing w:line="560" w:lineRule="exact"/>
        <w:ind w:firstLine="560" w:firstLineChars="200"/>
        <w:jc w:val="left"/>
        <w:rPr>
          <w:rFonts w:cs="宋体" w:asciiTheme="minorEastAsia" w:hAnsiTheme="minorEastAsia" w:eastAsiaTheme="minorEastAsia"/>
          <w:color w:val="181717" w:themeColor="background2" w:themeShade="1A"/>
          <w:kern w:val="0"/>
          <w:sz w:val="28"/>
          <w:szCs w:val="28"/>
        </w:rPr>
      </w:pPr>
      <w:r>
        <w:rPr>
          <w:rFonts w:hint="eastAsia" w:cs="宋体" w:asciiTheme="minorEastAsia" w:hAnsiTheme="minorEastAsia" w:eastAsiaTheme="minorEastAsia"/>
          <w:color w:val="181717" w:themeColor="background2" w:themeShade="1A"/>
          <w:kern w:val="0"/>
          <w:sz w:val="28"/>
          <w:szCs w:val="28"/>
        </w:rPr>
        <w:t>……</w:t>
      </w:r>
    </w:p>
    <w:p>
      <w:pPr>
        <w:widowControl/>
        <w:spacing w:beforeLines="50"/>
        <w:jc w:val="center"/>
        <w:outlineLvl w:val="1"/>
        <w:rPr>
          <w:rFonts w:ascii="黑体" w:hAnsi="黑体" w:eastAsia="黑体"/>
          <w:color w:val="181717" w:themeColor="background2" w:themeShade="1A"/>
          <w:kern w:val="0"/>
          <w:sz w:val="32"/>
          <w:szCs w:val="32"/>
        </w:rPr>
      </w:pPr>
      <w:r>
        <w:rPr>
          <w:rFonts w:hint="eastAsia" w:ascii="黑体" w:hAnsi="黑体" w:eastAsia="黑体"/>
          <w:color w:val="181717" w:themeColor="background2" w:themeShade="1A"/>
          <w:kern w:val="0"/>
          <w:sz w:val="32"/>
          <w:szCs w:val="32"/>
        </w:rPr>
        <w:t>第四部分  名词解释</w:t>
      </w:r>
    </w:p>
    <w:p>
      <w:pPr>
        <w:widowControl/>
        <w:spacing w:line="560" w:lineRule="exact"/>
        <w:ind w:firstLine="640"/>
        <w:jc w:val="left"/>
        <w:rPr>
          <w:rFonts w:ascii="黑体" w:hAnsi="宋体" w:eastAsia="黑体" w:cs="宋体"/>
          <w:color w:val="181717" w:themeColor="background2" w:themeShade="1A"/>
          <w:kern w:val="0"/>
          <w:sz w:val="32"/>
          <w:szCs w:val="32"/>
        </w:rPr>
      </w:pPr>
      <w:r>
        <w:rPr>
          <w:rFonts w:hint="eastAsia" w:ascii="黑体" w:hAnsi="宋体" w:eastAsia="黑体" w:cs="宋体"/>
          <w:color w:val="181717" w:themeColor="background2" w:themeShade="1A"/>
          <w:kern w:val="0"/>
          <w:sz w:val="32"/>
          <w:szCs w:val="32"/>
        </w:rPr>
        <w:t>名词解释：</w:t>
      </w:r>
    </w:p>
    <w:p>
      <w:pPr>
        <w:spacing w:line="560" w:lineRule="exact"/>
        <w:ind w:firstLine="640" w:firstLineChars="200"/>
        <w:jc w:val="left"/>
        <w:rPr>
          <w:rFonts w:asciiTheme="minorEastAsia" w:hAnsiTheme="minorEastAsia" w:eastAsiaTheme="minorEastAsia"/>
          <w:color w:val="181717" w:themeColor="background2" w:themeShade="1A"/>
          <w:sz w:val="28"/>
          <w:szCs w:val="28"/>
        </w:rPr>
      </w:pPr>
      <w:r>
        <w:rPr>
          <w:rFonts w:hint="eastAsia" w:ascii="黑体" w:hAnsi="黑体" w:eastAsia="黑体"/>
          <w:color w:val="181717" w:themeColor="background2" w:themeShade="1A"/>
          <w:sz w:val="32"/>
          <w:szCs w:val="32"/>
        </w:rPr>
        <w:t>一、财政拨款：</w:t>
      </w:r>
      <w:r>
        <w:rPr>
          <w:rFonts w:hint="eastAsia" w:asciiTheme="minorEastAsia" w:hAnsiTheme="minorEastAsia" w:eastAsiaTheme="minorEastAsia"/>
          <w:color w:val="181717" w:themeColor="background2" w:themeShade="1A"/>
          <w:sz w:val="28"/>
          <w:szCs w:val="28"/>
        </w:rPr>
        <w:t>指由一般公共预算、政府性基金预算安排的财政拨款数。</w:t>
      </w:r>
    </w:p>
    <w:p>
      <w:pPr>
        <w:spacing w:line="560" w:lineRule="exact"/>
        <w:ind w:firstLine="640" w:firstLineChars="200"/>
        <w:jc w:val="left"/>
        <w:rPr>
          <w:rFonts w:asciiTheme="minorEastAsia" w:hAnsiTheme="minorEastAsia" w:eastAsiaTheme="minorEastAsia"/>
          <w:color w:val="181717" w:themeColor="background2" w:themeShade="1A"/>
          <w:sz w:val="28"/>
          <w:szCs w:val="28"/>
        </w:rPr>
      </w:pPr>
      <w:r>
        <w:rPr>
          <w:rFonts w:hint="eastAsia" w:ascii="黑体" w:hAnsi="黑体" w:eastAsia="黑体"/>
          <w:color w:val="181717" w:themeColor="background2" w:themeShade="1A"/>
          <w:sz w:val="32"/>
          <w:szCs w:val="32"/>
        </w:rPr>
        <w:t>二、一般公共预算：</w:t>
      </w:r>
      <w:r>
        <w:rPr>
          <w:rFonts w:hint="eastAsia" w:asciiTheme="minorEastAsia" w:hAnsiTheme="minorEastAsia" w:eastAsiaTheme="minorEastAsia"/>
          <w:color w:val="181717" w:themeColor="background2" w:themeShade="1A"/>
          <w:sz w:val="28"/>
          <w:szCs w:val="28"/>
        </w:rPr>
        <w:t>包括公共财政拨款（补助）资金、专项收入。</w:t>
      </w:r>
    </w:p>
    <w:p>
      <w:pPr>
        <w:spacing w:line="560" w:lineRule="exact"/>
        <w:ind w:firstLine="640" w:firstLineChars="200"/>
        <w:jc w:val="left"/>
        <w:rPr>
          <w:rFonts w:ascii="仿宋_GB2312" w:eastAsia="仿宋_GB2312"/>
          <w:color w:val="181717" w:themeColor="background2" w:themeShade="1A"/>
          <w:sz w:val="32"/>
          <w:szCs w:val="32"/>
        </w:rPr>
      </w:pPr>
      <w:r>
        <w:rPr>
          <w:rFonts w:hint="eastAsia" w:ascii="黑体" w:hAnsi="黑体" w:eastAsia="黑体"/>
          <w:color w:val="181717" w:themeColor="background2" w:themeShade="1A"/>
          <w:sz w:val="32"/>
          <w:szCs w:val="32"/>
        </w:rPr>
        <w:t>三、非税收入：</w:t>
      </w:r>
      <w:r>
        <w:rPr>
          <w:rFonts w:hint="eastAsia" w:asciiTheme="minorEastAsia" w:hAnsiTheme="minorEastAsia" w:eastAsiaTheme="minorEastAsia"/>
          <w:color w:val="181717" w:themeColor="background2" w:themeShade="1A"/>
          <w:sz w:val="28"/>
          <w:szCs w:val="28"/>
        </w:rPr>
        <w:t>包括罚没收入、国有资源（资产）有偿使用收入、行政事业性收费收入等。</w:t>
      </w:r>
    </w:p>
    <w:p>
      <w:pPr>
        <w:spacing w:line="560" w:lineRule="exact"/>
        <w:ind w:firstLine="640" w:firstLineChars="200"/>
        <w:jc w:val="left"/>
        <w:rPr>
          <w:rFonts w:ascii="仿宋_GB2312" w:eastAsia="仿宋_GB2312"/>
          <w:color w:val="181717" w:themeColor="background2" w:themeShade="1A"/>
          <w:sz w:val="32"/>
          <w:szCs w:val="32"/>
        </w:rPr>
      </w:pPr>
      <w:r>
        <w:rPr>
          <w:rFonts w:hint="eastAsia" w:ascii="黑体" w:hAnsi="黑体" w:eastAsia="黑体"/>
          <w:color w:val="181717" w:themeColor="background2" w:themeShade="1A"/>
          <w:sz w:val="32"/>
          <w:szCs w:val="32"/>
        </w:rPr>
        <w:t>四、其他资金：</w:t>
      </w:r>
      <w:r>
        <w:rPr>
          <w:rFonts w:hint="eastAsia" w:asciiTheme="minorEastAsia" w:hAnsiTheme="minorEastAsia" w:eastAsiaTheme="minorEastAsia"/>
          <w:color w:val="181717" w:themeColor="background2" w:themeShade="1A"/>
          <w:sz w:val="28"/>
          <w:szCs w:val="28"/>
        </w:rPr>
        <w:t>包括事业收入、经营收入、其他收入等。</w:t>
      </w:r>
    </w:p>
    <w:p>
      <w:pPr>
        <w:spacing w:line="560" w:lineRule="exact"/>
        <w:ind w:firstLine="640" w:firstLineChars="200"/>
        <w:jc w:val="left"/>
        <w:rPr>
          <w:rFonts w:asciiTheme="minorEastAsia" w:hAnsiTheme="minorEastAsia" w:eastAsiaTheme="minorEastAsia"/>
          <w:color w:val="181717" w:themeColor="background2" w:themeShade="1A"/>
          <w:sz w:val="28"/>
          <w:szCs w:val="28"/>
        </w:rPr>
      </w:pPr>
      <w:r>
        <w:rPr>
          <w:rFonts w:hint="eastAsia" w:ascii="黑体" w:hAnsi="黑体" w:eastAsia="黑体"/>
          <w:color w:val="181717" w:themeColor="background2" w:themeShade="1A"/>
          <w:sz w:val="32"/>
          <w:szCs w:val="32"/>
        </w:rPr>
        <w:t>五、基本支出：</w:t>
      </w:r>
      <w:r>
        <w:rPr>
          <w:rFonts w:hint="eastAsia" w:asciiTheme="minorEastAsia" w:hAnsiTheme="minorEastAsia" w:eastAsiaTheme="minorEastAsia"/>
          <w:color w:val="181717" w:themeColor="background2" w:themeShade="1A"/>
          <w:sz w:val="28"/>
          <w:szCs w:val="28"/>
        </w:rPr>
        <w:t>包括人员经费、商品和服务支出（定额）。其中，人员经费包括工资福利支出、对个人和家庭的补助。</w:t>
      </w:r>
    </w:p>
    <w:p>
      <w:pPr>
        <w:spacing w:line="560" w:lineRule="exact"/>
        <w:ind w:firstLine="640" w:firstLineChars="200"/>
        <w:jc w:val="left"/>
        <w:rPr>
          <w:rFonts w:asciiTheme="minorEastAsia" w:hAnsiTheme="minorEastAsia" w:eastAsiaTheme="minorEastAsia"/>
          <w:color w:val="181717" w:themeColor="background2" w:themeShade="1A"/>
          <w:sz w:val="28"/>
          <w:szCs w:val="28"/>
        </w:rPr>
      </w:pPr>
      <w:r>
        <w:rPr>
          <w:rFonts w:hint="eastAsia" w:ascii="黑体" w:hAnsi="黑体" w:eastAsia="黑体"/>
          <w:color w:val="181717" w:themeColor="background2" w:themeShade="1A"/>
          <w:sz w:val="32"/>
          <w:szCs w:val="32"/>
        </w:rPr>
        <w:t>六、项目支出：</w:t>
      </w:r>
      <w:r>
        <w:rPr>
          <w:rFonts w:hint="eastAsia" w:asciiTheme="minorEastAsia" w:hAnsiTheme="minorEastAsia" w:eastAsiaTheme="minorEastAsia"/>
          <w:color w:val="181717" w:themeColor="background2" w:themeShade="1A"/>
          <w:sz w:val="28"/>
          <w:szCs w:val="28"/>
        </w:rPr>
        <w:t>乌鲁木齐市水磨沟区环卫清运队支出预算的组成部分，是乌鲁木齐市水磨沟区环卫清运队为完成其特定的行政任务或事业发展目标，在基本支出预算之外编制的年度项目支出计划。</w:t>
      </w:r>
    </w:p>
    <w:p>
      <w:pPr>
        <w:spacing w:line="560" w:lineRule="exact"/>
        <w:ind w:firstLine="640" w:firstLineChars="200"/>
        <w:jc w:val="left"/>
        <w:rPr>
          <w:rFonts w:ascii="仿宋_GB2312" w:eastAsia="仿宋_GB2312"/>
          <w:color w:val="181717" w:themeColor="background2" w:themeShade="1A"/>
          <w:sz w:val="32"/>
          <w:szCs w:val="32"/>
        </w:rPr>
      </w:pPr>
      <w:r>
        <w:rPr>
          <w:rFonts w:hint="eastAsia" w:ascii="黑体" w:hAnsi="黑体" w:eastAsia="黑体"/>
          <w:color w:val="181717" w:themeColor="background2" w:themeShade="1A"/>
          <w:sz w:val="32"/>
          <w:szCs w:val="32"/>
        </w:rPr>
        <w:t>七、“三公”经费：</w:t>
      </w:r>
      <w:r>
        <w:rPr>
          <w:rFonts w:hint="eastAsia" w:asciiTheme="minorEastAsia" w:hAnsiTheme="minorEastAsia" w:eastAsiaTheme="minorEastAsia"/>
          <w:color w:val="181717" w:themeColor="background2" w:themeShade="1A"/>
          <w:sz w:val="28"/>
          <w:szCs w:val="28"/>
        </w:rPr>
        <w:t>指乌鲁木齐市水磨沟区环卫清运队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0" w:firstLineChars="200"/>
        <w:jc w:val="left"/>
        <w:rPr>
          <w:rFonts w:asciiTheme="minorEastAsia" w:hAnsiTheme="minorEastAsia" w:eastAsiaTheme="minorEastAsia"/>
          <w:color w:val="181717" w:themeColor="background2" w:themeShade="1A"/>
          <w:sz w:val="28"/>
          <w:szCs w:val="28"/>
        </w:rPr>
      </w:pPr>
      <w:r>
        <w:rPr>
          <w:rFonts w:hint="eastAsia" w:ascii="黑体" w:hAnsi="黑体" w:eastAsia="黑体"/>
          <w:color w:val="181717" w:themeColor="background2" w:themeShade="1A"/>
          <w:sz w:val="32"/>
          <w:szCs w:val="32"/>
        </w:rPr>
        <w:t>八、机关运行经费：</w:t>
      </w:r>
      <w:r>
        <w:rPr>
          <w:rFonts w:hint="eastAsia" w:asciiTheme="minorEastAsia" w:hAnsiTheme="minorEastAsia" w:eastAsiaTheme="minorEastAsia"/>
          <w:color w:val="181717" w:themeColor="background2" w:themeShade="1A"/>
          <w:sz w:val="28"/>
          <w:szCs w:val="28"/>
        </w:rPr>
        <w:t>指各乌鲁木齐市水磨沟区环卫清运队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560" w:lineRule="exact"/>
        <w:jc w:val="right"/>
        <w:rPr>
          <w:rFonts w:ascii="仿宋_GB2312" w:hAnsi="宋体" w:eastAsia="仿宋_GB2312" w:cs="宋体"/>
          <w:color w:val="181717" w:themeColor="background2" w:themeShade="1A"/>
          <w:kern w:val="0"/>
          <w:sz w:val="32"/>
          <w:szCs w:val="32"/>
        </w:rPr>
      </w:pPr>
      <w:r>
        <w:rPr>
          <w:rFonts w:hint="eastAsia" w:ascii="仿宋_GB2312" w:hAnsi="宋体" w:eastAsia="仿宋_GB2312" w:cs="宋体"/>
          <w:color w:val="181717" w:themeColor="background2" w:themeShade="1A"/>
          <w:kern w:val="0"/>
          <w:sz w:val="32"/>
          <w:szCs w:val="32"/>
        </w:rPr>
        <w:t>乌鲁木齐市水磨沟区环卫清运队</w:t>
      </w:r>
    </w:p>
    <w:p>
      <w:pPr>
        <w:wordWrap w:val="0"/>
        <w:ind w:firstLine="640"/>
        <w:jc w:val="right"/>
        <w:rPr>
          <w:rFonts w:ascii="仿宋_GB2312" w:eastAsia="仿宋_GB2312" w:hAnsiTheme="minorEastAsia"/>
          <w:color w:val="181717" w:themeColor="background2" w:themeShade="1A"/>
          <w:sz w:val="32"/>
          <w:szCs w:val="32"/>
        </w:rPr>
      </w:pPr>
      <w:r>
        <w:rPr>
          <w:rFonts w:hint="eastAsia" w:ascii="仿宋_GB2312" w:eastAsia="仿宋_GB2312" w:hAnsiTheme="minorEastAsia"/>
          <w:color w:val="181717" w:themeColor="background2" w:themeShade="1A"/>
          <w:sz w:val="32"/>
          <w:szCs w:val="32"/>
        </w:rPr>
        <w:t>201</w:t>
      </w:r>
      <w:r>
        <w:rPr>
          <w:rFonts w:hint="eastAsia" w:ascii="仿宋_GB2312" w:eastAsia="仿宋_GB2312" w:hAnsiTheme="minorEastAsia"/>
          <w:color w:val="181717" w:themeColor="background2" w:themeShade="1A"/>
          <w:sz w:val="32"/>
          <w:szCs w:val="32"/>
          <w:lang w:val="en-US" w:eastAsia="zh-CN"/>
        </w:rPr>
        <w:t>8</w:t>
      </w:r>
      <w:r>
        <w:rPr>
          <w:rFonts w:hint="eastAsia" w:ascii="仿宋_GB2312" w:eastAsia="仿宋_GB2312" w:hAnsiTheme="minorEastAsia"/>
          <w:color w:val="181717" w:themeColor="background2" w:themeShade="1A"/>
          <w:sz w:val="32"/>
          <w:szCs w:val="32"/>
        </w:rPr>
        <w:t>年</w:t>
      </w:r>
      <w:r>
        <w:rPr>
          <w:rFonts w:hint="eastAsia" w:ascii="仿宋_GB2312" w:eastAsia="仿宋_GB2312" w:hAnsiTheme="minorEastAsia"/>
          <w:color w:val="181717" w:themeColor="background2" w:themeShade="1A"/>
          <w:sz w:val="32"/>
          <w:szCs w:val="32"/>
          <w:lang w:val="en-US" w:eastAsia="zh-CN"/>
        </w:rPr>
        <w:t>1</w:t>
      </w:r>
      <w:r>
        <w:rPr>
          <w:rFonts w:hint="eastAsia" w:ascii="仿宋_GB2312" w:eastAsia="仿宋_GB2312" w:hAnsiTheme="minorEastAsia"/>
          <w:color w:val="181717" w:themeColor="background2" w:themeShade="1A"/>
          <w:sz w:val="32"/>
          <w:szCs w:val="32"/>
        </w:rPr>
        <w:t>2月</w:t>
      </w:r>
      <w:r>
        <w:rPr>
          <w:rFonts w:hint="eastAsia" w:ascii="仿宋_GB2312" w:eastAsia="仿宋_GB2312" w:hAnsiTheme="minorEastAsia"/>
          <w:color w:val="181717" w:themeColor="background2" w:themeShade="1A"/>
          <w:sz w:val="32"/>
          <w:szCs w:val="32"/>
          <w:lang w:val="en-US" w:eastAsia="zh-CN"/>
        </w:rPr>
        <w:t>16</w:t>
      </w:r>
      <w:r>
        <w:rPr>
          <w:rFonts w:hint="eastAsia" w:ascii="仿宋_GB2312" w:eastAsia="仿宋_GB2312" w:hAnsiTheme="minorEastAsia"/>
          <w:color w:val="181717" w:themeColor="background2" w:themeShade="1A"/>
          <w:sz w:val="32"/>
          <w:szCs w:val="32"/>
        </w:rPr>
        <w:t>日</w:t>
      </w:r>
    </w:p>
    <w:p>
      <w:pPr>
        <w:widowControl/>
        <w:spacing w:line="560" w:lineRule="exact"/>
        <w:jc w:val="right"/>
        <w:rPr>
          <w:rFonts w:ascii="仿宋_GB2312" w:hAnsi="宋体" w:eastAsia="仿宋_GB2312" w:cs="宋体"/>
          <w:color w:val="181717" w:themeColor="background2" w:themeShade="1A"/>
          <w:kern w:val="0"/>
          <w:sz w:val="32"/>
          <w:szCs w:val="32"/>
        </w:rPr>
      </w:pPr>
    </w:p>
    <w:sectPr>
      <w:footerReference r:id="rId6" w:type="default"/>
      <w:footerReference r:id="rId7" w:type="even"/>
      <w:pgSz w:w="11906" w:h="16838"/>
      <w:pgMar w:top="2098" w:right="1474" w:bottom="1928" w:left="1588" w:header="851" w:footer="992" w:gutter="0"/>
      <w:cols w:space="425" w:num="1"/>
      <w:docGrid w:type="lines" w:linePitch="435"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楷体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PAGE   \* MERGEFORMAT</w:instrText>
    </w:r>
    <w:r>
      <w:rPr>
        <w:rFonts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4 -</w:t>
    </w:r>
    <w:r>
      <w:rPr>
        <w:rFonts w:ascii="宋体" w:hAnsi="宋体" w:eastAsia="宋体" w:cs="宋体"/>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12 -</w:t>
    </w:r>
    <w:r>
      <w:rPr>
        <w:rFonts w:ascii="宋体" w:hAnsi="宋体" w:eastAsia="宋体"/>
        <w:sz w:val="28"/>
        <w:szCs w:val="2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827" w:wrap="around" w:vAnchor="text" w:hAnchor="margin" w:xAlign="outside" w:y="1"/>
      <w:rPr>
        <w:rStyle w:val="9"/>
      </w:rPr>
    </w:pPr>
    <w:r>
      <w:rPr>
        <w:rStyle w:val="9"/>
        <w:rFonts w:hint="eastAsia"/>
      </w:rPr>
      <w:t>—</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13</w:t>
    </w:r>
    <w:r>
      <w:rPr>
        <w:rStyle w:val="9"/>
        <w:sz w:val="28"/>
        <w:szCs w:val="28"/>
      </w:rPr>
      <w:fldChar w:fldCharType="end"/>
    </w:r>
    <w:r>
      <w:rPr>
        <w:rStyle w:val="9"/>
        <w:rFonts w:hint="eastAsia"/>
      </w:rPr>
      <w:t>—</w:t>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w:t>
    </w:r>
    <w:r>
      <w:rPr>
        <w:rStyle w:val="9"/>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383"/>
    <w:rsid w:val="00001554"/>
    <w:rsid w:val="00015A9E"/>
    <w:rsid w:val="000514D5"/>
    <w:rsid w:val="00077821"/>
    <w:rsid w:val="000A5A80"/>
    <w:rsid w:val="000D3CFC"/>
    <w:rsid w:val="000F607A"/>
    <w:rsid w:val="00100514"/>
    <w:rsid w:val="00100871"/>
    <w:rsid w:val="0013218A"/>
    <w:rsid w:val="0013298F"/>
    <w:rsid w:val="00144365"/>
    <w:rsid w:val="001558E7"/>
    <w:rsid w:val="00193944"/>
    <w:rsid w:val="001A2442"/>
    <w:rsid w:val="001C5115"/>
    <w:rsid w:val="001C7B0D"/>
    <w:rsid w:val="002233DF"/>
    <w:rsid w:val="002808A4"/>
    <w:rsid w:val="00292FB0"/>
    <w:rsid w:val="002D39D6"/>
    <w:rsid w:val="002E2458"/>
    <w:rsid w:val="0031599B"/>
    <w:rsid w:val="00337A99"/>
    <w:rsid w:val="00337FB3"/>
    <w:rsid w:val="00342D8C"/>
    <w:rsid w:val="00352BFB"/>
    <w:rsid w:val="00376B8A"/>
    <w:rsid w:val="0039631C"/>
    <w:rsid w:val="003C05EE"/>
    <w:rsid w:val="003C4590"/>
    <w:rsid w:val="003C6C3C"/>
    <w:rsid w:val="003E2177"/>
    <w:rsid w:val="003F6D04"/>
    <w:rsid w:val="00412C8A"/>
    <w:rsid w:val="00416D08"/>
    <w:rsid w:val="00443D9E"/>
    <w:rsid w:val="00472D3C"/>
    <w:rsid w:val="00476E48"/>
    <w:rsid w:val="004B7F1C"/>
    <w:rsid w:val="004C78DF"/>
    <w:rsid w:val="004E6D85"/>
    <w:rsid w:val="00551343"/>
    <w:rsid w:val="00554107"/>
    <w:rsid w:val="005B158B"/>
    <w:rsid w:val="005F28E3"/>
    <w:rsid w:val="00645335"/>
    <w:rsid w:val="00651B3C"/>
    <w:rsid w:val="00657B60"/>
    <w:rsid w:val="006B0EE4"/>
    <w:rsid w:val="006C0ED7"/>
    <w:rsid w:val="006D2BFF"/>
    <w:rsid w:val="006E2B08"/>
    <w:rsid w:val="00712F70"/>
    <w:rsid w:val="00722B4B"/>
    <w:rsid w:val="00732F53"/>
    <w:rsid w:val="00743B8A"/>
    <w:rsid w:val="00785465"/>
    <w:rsid w:val="00795169"/>
    <w:rsid w:val="007B51DF"/>
    <w:rsid w:val="007B6901"/>
    <w:rsid w:val="007F0693"/>
    <w:rsid w:val="007F786A"/>
    <w:rsid w:val="0081598B"/>
    <w:rsid w:val="00831650"/>
    <w:rsid w:val="00850CA4"/>
    <w:rsid w:val="00877DBC"/>
    <w:rsid w:val="008919F8"/>
    <w:rsid w:val="008978F0"/>
    <w:rsid w:val="008A4EC3"/>
    <w:rsid w:val="008C2630"/>
    <w:rsid w:val="008C2DCA"/>
    <w:rsid w:val="008D4BCE"/>
    <w:rsid w:val="008E0898"/>
    <w:rsid w:val="009051E9"/>
    <w:rsid w:val="00920488"/>
    <w:rsid w:val="009204F1"/>
    <w:rsid w:val="00931A2E"/>
    <w:rsid w:val="00935B07"/>
    <w:rsid w:val="00945755"/>
    <w:rsid w:val="009923AD"/>
    <w:rsid w:val="009A0A21"/>
    <w:rsid w:val="009D4C22"/>
    <w:rsid w:val="009E039B"/>
    <w:rsid w:val="009F6DFE"/>
    <w:rsid w:val="00A17530"/>
    <w:rsid w:val="00A5294A"/>
    <w:rsid w:val="00A64D0D"/>
    <w:rsid w:val="00AD2D46"/>
    <w:rsid w:val="00AE1429"/>
    <w:rsid w:val="00B063BC"/>
    <w:rsid w:val="00B1477B"/>
    <w:rsid w:val="00B31735"/>
    <w:rsid w:val="00B33375"/>
    <w:rsid w:val="00B95CF3"/>
    <w:rsid w:val="00B9668E"/>
    <w:rsid w:val="00BD5383"/>
    <w:rsid w:val="00BD6CFC"/>
    <w:rsid w:val="00C1143E"/>
    <w:rsid w:val="00C309B1"/>
    <w:rsid w:val="00C35577"/>
    <w:rsid w:val="00C45F86"/>
    <w:rsid w:val="00C57D2E"/>
    <w:rsid w:val="00C60A10"/>
    <w:rsid w:val="00C72C42"/>
    <w:rsid w:val="00C73565"/>
    <w:rsid w:val="00C80537"/>
    <w:rsid w:val="00C90C45"/>
    <w:rsid w:val="00C958DE"/>
    <w:rsid w:val="00CB4EA1"/>
    <w:rsid w:val="00CB5DD3"/>
    <w:rsid w:val="00CC20EC"/>
    <w:rsid w:val="00CF37F1"/>
    <w:rsid w:val="00D00B3C"/>
    <w:rsid w:val="00D07E0B"/>
    <w:rsid w:val="00D3056D"/>
    <w:rsid w:val="00D414B5"/>
    <w:rsid w:val="00D47CEF"/>
    <w:rsid w:val="00D60885"/>
    <w:rsid w:val="00D777D7"/>
    <w:rsid w:val="00D83D4A"/>
    <w:rsid w:val="00DA4536"/>
    <w:rsid w:val="00DC3354"/>
    <w:rsid w:val="00DE3EC8"/>
    <w:rsid w:val="00E42932"/>
    <w:rsid w:val="00E50607"/>
    <w:rsid w:val="00E52978"/>
    <w:rsid w:val="00E61538"/>
    <w:rsid w:val="00E6619B"/>
    <w:rsid w:val="00E73DCC"/>
    <w:rsid w:val="00EC6FC5"/>
    <w:rsid w:val="00EE69B5"/>
    <w:rsid w:val="00EF3655"/>
    <w:rsid w:val="00F549D8"/>
    <w:rsid w:val="00F81FE9"/>
    <w:rsid w:val="00FE33BF"/>
    <w:rsid w:val="38292E8C"/>
    <w:rsid w:val="4BAC6576"/>
    <w:rsid w:val="6F3F6CFE"/>
    <w:rsid w:val="7D065E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qFormat/>
    <w:uiPriority w:val="0"/>
    <w:rPr>
      <w:rFonts w:cs="Times New Roman"/>
      <w:b/>
      <w:bCs/>
    </w:rPr>
  </w:style>
  <w:style w:type="character" w:styleId="9">
    <w:name w:val="page number"/>
    <w:basedOn w:val="7"/>
    <w:qFormat/>
    <w:uiPriority w:val="0"/>
  </w:style>
  <w:style w:type="table" w:styleId="11">
    <w:name w:val="Table Grid"/>
    <w:basedOn w:val="10"/>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2">
    <w:name w:val="页脚 Char"/>
    <w:basedOn w:val="7"/>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7"/>
    <w:link w:val="2"/>
    <w:semiHidden/>
    <w:qFormat/>
    <w:uiPriority w:val="0"/>
    <w:rPr>
      <w:rFonts w:ascii="Times New Roman" w:hAnsi="Times New Roman" w:eastAsia="宋体" w:cs="Times New Roman"/>
      <w:sz w:val="18"/>
      <w:szCs w:val="18"/>
    </w:rPr>
  </w:style>
  <w:style w:type="character" w:customStyle="1" w:styleId="15">
    <w:name w:val="页眉 Char"/>
    <w:basedOn w:val="7"/>
    <w:link w:val="4"/>
    <w:uiPriority w:val="0"/>
    <w:rPr>
      <w:rFonts w:ascii="Times New Roman" w:hAnsi="Times New Roman" w:eastAsia="宋体" w:cs="Times New Roman"/>
      <w:sz w:val="18"/>
      <w:szCs w:val="18"/>
    </w:rPr>
  </w:style>
  <w:style w:type="character" w:customStyle="1" w:styleId="16">
    <w:name w:val="正文文本缩进 3 Char"/>
    <w:basedOn w:val="7"/>
    <w:link w:val="5"/>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table" w:customStyle="1" w:styleId="19">
    <w:name w:val="网格型1"/>
    <w:basedOn w:val="10"/>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普通(网站)2"/>
    <w:basedOn w:val="1"/>
    <w:uiPriority w:val="0"/>
    <w:rPr>
      <w:rFonts w:ascii="Calibri" w:hAnsi="Calibri" w:cs="黑体"/>
      <w:sz w:val="24"/>
    </w:rPr>
  </w:style>
  <w:style w:type="paragraph" w:customStyle="1" w:styleId="21">
    <w:name w:val="普通(网站)3"/>
    <w:basedOn w:val="1"/>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5DF73-EE70-440F-AD84-108F2F9B22AF}">
  <ds:schemaRefs/>
</ds:datastoreItem>
</file>

<file path=docProps/app.xml><?xml version="1.0" encoding="utf-8"?>
<Properties xmlns="http://schemas.openxmlformats.org/officeDocument/2006/extended-properties" xmlns:vt="http://schemas.openxmlformats.org/officeDocument/2006/docPropsVTypes">
  <Template>Normal</Template>
  <Pages>20</Pages>
  <Words>1232</Words>
  <Characters>7029</Characters>
  <Lines>58</Lines>
  <Paragraphs>16</Paragraphs>
  <TotalTime>0</TotalTime>
  <ScaleCrop>false</ScaleCrop>
  <LinksUpToDate>false</LinksUpToDate>
  <CharactersWithSpaces>8245</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2018-12-16T15:43:00Z</dcterms:created>
  <dc:creator>Administrator</dc:creator>
  <cp:lastModifiedBy>zx</cp:lastModifiedBy>
  <dcterms:modified xsi:type="dcterms:W3CDTF">2018-12-16T21:03:46Z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