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乌鲁木齐市水磨沟区虹桥污水处理厂</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2016年部门预算公开</w:t>
      </w:r>
    </w:p>
    <w:p>
      <w:pPr>
        <w:widowControl/>
        <w:spacing w:line="300" w:lineRule="auto"/>
        <w:ind w:firstLine="120" w:firstLineChars="50"/>
        <w:outlineLvl w:val="1"/>
        <w:rPr>
          <w:rFonts w:ascii="黑体" w:hAnsi="黑体" w:eastAsia="黑体"/>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300" w:lineRule="auto"/>
        <w:jc w:val="center"/>
        <w:outlineLvl w:val="1"/>
        <w:rPr>
          <w:rFonts w:asciiTheme="minorEastAsia" w:hAnsiTheme="minorEastAsia" w:eastAsiaTheme="minorEastAsia"/>
          <w:b/>
          <w:color w:val="171717" w:themeColor="background2" w:themeShade="1A"/>
          <w:kern w:val="0"/>
          <w:sz w:val="24"/>
        </w:rPr>
      </w:pPr>
    </w:p>
    <w:p>
      <w:pPr>
        <w:widowControl/>
        <w:spacing w:line="460" w:lineRule="exac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乌鲁木齐市水磨沟区虹桥污水处理厂单位概况</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spacing w:line="460" w:lineRule="exac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2016年部门预算公开表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spacing w:line="460" w:lineRule="exac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2016年部门预算情况说明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一、关于乌鲁木齐市水磨沟区虹桥污水处理厂2016年收支预算情况的总体说明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二、关于乌鲁木齐市水磨沟区虹桥污水处理厂2016年收入预算情况说明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三、关于乌鲁木齐市水磨沟区虹桥污水处理厂2016年支出预算情况说明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四、关于乌鲁木齐市水磨沟区虹桥污水处理厂2016年财政拨款收支预算情况的总体说明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五、关于乌鲁木齐市水磨沟区虹桥污水处理厂2016年一般公共预算当年拨款情况说明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六、关于乌鲁木齐市水磨沟区虹桥污水处理厂2016年一般公共预算基本支出情况说明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七、关于乌鲁木齐市水磨沟区虹桥污水处理厂2016年项目支出情况说明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八、关于乌鲁木齐市水磨沟区虹桥污水处理厂2016年一般公共预算“三公”经费预算情况说明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九、关于乌鲁木齐市水磨沟区虹桥污水处理厂2016年政府性基金预算拨款情况说明</w:t>
      </w:r>
    </w:p>
    <w:p>
      <w:pPr>
        <w:widowControl/>
        <w:spacing w:line="460" w:lineRule="exac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spacing w:line="460" w:lineRule="exac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pStyle w:val="2"/>
        <w:spacing w:before="2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第一部分  乌鲁木齐市水磨沟区虹桥污水处理厂单位概况</w:t>
      </w:r>
    </w:p>
    <w:p>
      <w:pPr>
        <w:widowControl/>
        <w:spacing w:line="300" w:lineRule="auto"/>
        <w:jc w:val="center"/>
        <w:outlineLvl w:val="1"/>
        <w:rPr>
          <w:rFonts w:ascii="黑体" w:hAnsi="黑体" w:eastAsia="黑体"/>
          <w:color w:val="171717" w:themeColor="background2" w:themeShade="1A"/>
          <w:kern w:val="0"/>
          <w:sz w:val="32"/>
          <w:szCs w:val="32"/>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shd w:val="clear" w:color="auto" w:fill="FFFFFF"/>
        </w:rPr>
        <w:t>乌鲁木齐水磨沟区虹桥污水处理厂，坐落于新疆乌鲁木齐市，厂区具体位于乌鲁木齐市高尔夫路1号，设计处理能力为日处理污水3.00万立方米。主要建设内容包括厂区土建施工，工艺设备、工艺管道安装，电气、自控系统安装，照明，防雷接地，采暖，通风，厂区道路施工及绿化等。乌鲁木齐水磨沟区虹桥污水处理厂自2002年11月正式投入运行以来，污水处理设备运转良好，日平均处理污水量为1.87万立方米。该项目采用先进的污水处理设备，厂区主体工艺采用AB法处理工艺。乌鲁木齐水磨沟区虹桥污水处理厂建成后极大地改善了城市水环境，对治理污染，保护当地流域水质和生态平衡具有十分重要的作用，同时对改善乌鲁木齐市的投资环境，实现乌鲁木齐市经济社会可持续发展具有积极的推进作用。</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shd w:val="clear" w:color="auto" w:fill="FFFFFF"/>
        </w:rPr>
      </w:pPr>
      <w:r>
        <w:rPr>
          <w:rFonts w:hint="eastAsia" w:asciiTheme="minorEastAsia" w:hAnsiTheme="minorEastAsia" w:eastAsiaTheme="minorEastAsia"/>
          <w:color w:val="171717" w:themeColor="background2" w:themeShade="1A"/>
          <w:sz w:val="28"/>
          <w:szCs w:val="28"/>
          <w:shd w:val="clear" w:color="auto" w:fill="FFFFFF"/>
        </w:rPr>
        <w:t>根据职责，纳入新疆乌鲁木齐市水磨沟区财政局2016年部门决算编制范围的有1个机构。</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shd w:val="clear" w:color="auto" w:fill="FFFFFF"/>
        </w:rPr>
      </w:pPr>
      <w:r>
        <w:rPr>
          <w:rFonts w:hint="eastAsia" w:asciiTheme="minorEastAsia" w:hAnsiTheme="minorEastAsia" w:eastAsiaTheme="minorEastAsia"/>
          <w:color w:val="171717" w:themeColor="background2" w:themeShade="1A"/>
          <w:sz w:val="28"/>
          <w:szCs w:val="28"/>
          <w:shd w:val="clear" w:color="auto" w:fill="FFFFFF"/>
        </w:rPr>
        <w:t>新疆乌鲁木齐市水磨沟区虹桥污水处理厂编制人数26人，事业编制26人，事业编制实际在岗人数25人，退休人数10人。</w:t>
      </w:r>
    </w:p>
    <w:p>
      <w:pPr>
        <w:widowControl/>
        <w:spacing w:line="560" w:lineRule="exact"/>
        <w:ind w:firstLine="200"/>
        <w:jc w:val="left"/>
        <w:rPr>
          <w:rFonts w:cs="宋体" w:asciiTheme="minorEastAsia" w:hAnsiTheme="minorEastAsia" w:eastAsiaTheme="minorEastAsia"/>
          <w:color w:val="171717" w:themeColor="background2" w:themeShade="1A"/>
          <w:kern w:val="0"/>
          <w:sz w:val="28"/>
          <w:szCs w:val="28"/>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spacing w:line="300" w:lineRule="auto"/>
        <w:jc w:val="left"/>
        <w:rPr>
          <w:rFonts w:cs="宋体"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pStyle w:val="2"/>
        <w:spacing w:before="240"/>
        <w:rPr>
          <w:color w:val="171717" w:themeColor="background2" w:themeShade="1A"/>
        </w:rPr>
      </w:pPr>
      <w:r>
        <w:rPr>
          <w:rFonts w:hint="eastAsia"/>
          <w:color w:val="171717" w:themeColor="background2" w:themeShade="1A"/>
        </w:rPr>
        <w:t>第二部分  乌鲁木齐市水磨沟区虹桥污水处理厂2016年部门预算公开表</w:t>
      </w: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bl>
      <w:tblPr>
        <w:tblStyle w:val="13"/>
        <w:tblW w:w="8931" w:type="dxa"/>
        <w:jc w:val="center"/>
        <w:tblInd w:w="-176" w:type="dxa"/>
        <w:tblLayout w:type="fixed"/>
        <w:tblCellMar>
          <w:top w:w="0" w:type="dxa"/>
          <w:left w:w="108" w:type="dxa"/>
          <w:bottom w:w="0" w:type="dxa"/>
          <w:right w:w="108" w:type="dxa"/>
        </w:tblCellMar>
      </w:tblPr>
      <w:tblGrid>
        <w:gridCol w:w="2411"/>
        <w:gridCol w:w="1842"/>
        <w:gridCol w:w="2977"/>
        <w:gridCol w:w="1701"/>
      </w:tblGrid>
      <w:tr>
        <w:tblPrEx>
          <w:tblLayout w:type="fixed"/>
          <w:tblCellMar>
            <w:top w:w="0" w:type="dxa"/>
            <w:left w:w="108" w:type="dxa"/>
            <w:bottom w:w="0" w:type="dxa"/>
            <w:right w:w="108" w:type="dxa"/>
          </w:tblCellMar>
        </w:tblPrEx>
        <w:trPr>
          <w:trHeight w:val="360" w:hRule="atLeast"/>
          <w:jc w:val="center"/>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528.83</w:t>
            </w: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528.83</w:t>
            </w: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202 外交支出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203 国防支出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非税收入</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204 公共安全支出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205 教育支出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206 科学技术支出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7" w:hRule="exact"/>
          <w:jc w:val="center"/>
        </w:trPr>
        <w:tc>
          <w:tcPr>
            <w:tcW w:w="241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 文化体育与传媒支出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208 社会保障和就业支出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209 社会保险基金支出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210 医疗卫生与计划生育支出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 节能环保支出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467.63</w:t>
            </w: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 城乡社区支出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61.2</w:t>
            </w: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213 农林水支出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214 交通运输支出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215 资源勘探信息等支出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216 商业服务业等支出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217 金融支出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219 援助其他地区支出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220 国土资源气象等支出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221 住房保障支出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222 粮油物资管理支出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223 国有资本经营预算支出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227 预备费</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229 其他支出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single" w:color="auto" w:sz="4" w:space="0"/>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231 债务还本支出</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2411" w:type="dxa"/>
            <w:tcBorders>
              <w:top w:val="nil"/>
              <w:left w:val="single" w:color="auto" w:sz="4" w:space="0"/>
              <w:bottom w:val="single" w:color="auto" w:sz="4" w:space="0"/>
              <w:right w:val="single" w:color="auto" w:sz="4" w:space="0"/>
            </w:tcBorders>
            <w:shd w:val="clear" w:color="auto" w:fill="auto"/>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hAnsi="宋体" w:eastAsia="仿宋_GB2312" w:cs="宋体"/>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jc w:val="center"/>
        </w:trPr>
        <w:tc>
          <w:tcPr>
            <w:tcW w:w="2411"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84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2977" w:type="dxa"/>
            <w:tcBorders>
              <w:top w:val="nil"/>
              <w:left w:val="nil"/>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r>
    </w:tbl>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部门收入总体情况表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填报部门：                                                      单位：万元</w:t>
      </w:r>
    </w:p>
    <w:tbl>
      <w:tblPr>
        <w:tblStyle w:val="13"/>
        <w:tblW w:w="8976" w:type="dxa"/>
        <w:jc w:val="center"/>
        <w:tblInd w:w="93" w:type="dxa"/>
        <w:tblLayout w:type="fixed"/>
        <w:tblCellMar>
          <w:top w:w="0" w:type="dxa"/>
          <w:left w:w="108" w:type="dxa"/>
          <w:bottom w:w="0" w:type="dxa"/>
          <w:right w:w="108" w:type="dxa"/>
        </w:tblCellMar>
      </w:tblPr>
      <w:tblGrid>
        <w:gridCol w:w="582"/>
        <w:gridCol w:w="426"/>
        <w:gridCol w:w="425"/>
        <w:gridCol w:w="2126"/>
        <w:gridCol w:w="813"/>
        <w:gridCol w:w="888"/>
        <w:gridCol w:w="567"/>
        <w:gridCol w:w="567"/>
        <w:gridCol w:w="542"/>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212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81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  计</w:t>
            </w:r>
          </w:p>
        </w:tc>
        <w:tc>
          <w:tcPr>
            <w:tcW w:w="8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56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54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931"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26"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25"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212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813"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88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567"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542"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p>
        </w:tc>
        <w:tc>
          <w:tcPr>
            <w:tcW w:w="42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p>
        </w:tc>
        <w:tc>
          <w:tcPr>
            <w:tcW w:w="21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sz w:val="18"/>
                <w:szCs w:val="18"/>
              </w:rPr>
            </w:pPr>
          </w:p>
        </w:tc>
        <w:tc>
          <w:tcPr>
            <w:tcW w:w="81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p>
        </w:tc>
        <w:tc>
          <w:tcPr>
            <w:tcW w:w="88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p>
        </w:tc>
        <w:tc>
          <w:tcPr>
            <w:tcW w:w="56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211</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01</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03</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机关服务（环境保护管理事务）</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467.63</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467.63</w:t>
            </w: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212</w:t>
            </w:r>
          </w:p>
        </w:tc>
        <w:tc>
          <w:tcPr>
            <w:tcW w:w="426"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03</w:t>
            </w:r>
          </w:p>
        </w:tc>
        <w:tc>
          <w:tcPr>
            <w:tcW w:w="425"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99</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其他城乡社区公共设施支出</w:t>
            </w:r>
          </w:p>
        </w:tc>
        <w:tc>
          <w:tcPr>
            <w:tcW w:w="813"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61.2</w:t>
            </w:r>
          </w:p>
        </w:tc>
        <w:tc>
          <w:tcPr>
            <w:tcW w:w="888" w:type="dxa"/>
            <w:tcBorders>
              <w:top w:val="single" w:color="auto" w:sz="4" w:space="0"/>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sz w:val="18"/>
                <w:szCs w:val="18"/>
              </w:rPr>
            </w:pPr>
            <w:r>
              <w:rPr>
                <w:rFonts w:hint="eastAsia" w:ascii="仿宋_GB2312" w:hAnsi="宋体" w:eastAsia="仿宋_GB2312" w:cs="宋体"/>
                <w:color w:val="171717" w:themeColor="background2" w:themeShade="1A"/>
                <w:kern w:val="0"/>
                <w:sz w:val="18"/>
                <w:szCs w:val="18"/>
              </w:rPr>
              <w:t>61.2</w:t>
            </w: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left"/>
              <w:rPr>
                <w:rFonts w:ascii="仿宋_GB2312" w:eastAsia="仿宋_GB2312" w:cs="宋体" w:hAnsiTheme="minorEastAsia"/>
                <w:color w:val="171717" w:themeColor="background2" w:themeShade="1A"/>
                <w:sz w:val="18"/>
                <w:szCs w:val="18"/>
              </w:rPr>
            </w:pP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8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25"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2126"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合计</w:t>
            </w:r>
          </w:p>
        </w:tc>
        <w:tc>
          <w:tcPr>
            <w:tcW w:w="813"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528.83</w:t>
            </w:r>
          </w:p>
        </w:tc>
        <w:tc>
          <w:tcPr>
            <w:tcW w:w="888"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528.83</w:t>
            </w: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67"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542"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single" w:color="auto" w:sz="4" w:space="0"/>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bl>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bl>
      <w:tblPr>
        <w:tblStyle w:val="13"/>
        <w:tblW w:w="9229" w:type="dxa"/>
        <w:jc w:val="center"/>
        <w:tblInd w:w="93" w:type="dxa"/>
        <w:tblLayout w:type="fixed"/>
        <w:tblCellMar>
          <w:top w:w="0" w:type="dxa"/>
          <w:left w:w="108" w:type="dxa"/>
          <w:bottom w:w="0" w:type="dxa"/>
          <w:right w:w="108" w:type="dxa"/>
        </w:tblCellMar>
      </w:tblPr>
      <w:tblGrid>
        <w:gridCol w:w="582"/>
        <w:gridCol w:w="426"/>
        <w:gridCol w:w="567"/>
        <w:gridCol w:w="2693"/>
        <w:gridCol w:w="1465"/>
        <w:gridCol w:w="1818"/>
        <w:gridCol w:w="1678"/>
      </w:tblGrid>
      <w:tr>
        <w:tblPrEx>
          <w:tblLayout w:type="fixed"/>
          <w:tblCellMar>
            <w:top w:w="0" w:type="dxa"/>
            <w:left w:w="108" w:type="dxa"/>
            <w:bottom w:w="0" w:type="dxa"/>
            <w:right w:w="108" w:type="dxa"/>
          </w:tblCellMar>
        </w:tblPrEx>
        <w:trPr>
          <w:trHeight w:val="34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4961"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5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46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8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7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693"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1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7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w:t>
            </w:r>
          </w:p>
        </w:tc>
        <w:tc>
          <w:tcPr>
            <w:tcW w:w="4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03</w:t>
            </w:r>
          </w:p>
        </w:tc>
        <w:tc>
          <w:tcPr>
            <w:tcW w:w="269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机关服务（环境保护管理事务）</w:t>
            </w:r>
          </w:p>
        </w:tc>
        <w:tc>
          <w:tcPr>
            <w:tcW w:w="146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467.63</w:t>
            </w:r>
          </w:p>
        </w:tc>
        <w:tc>
          <w:tcPr>
            <w:tcW w:w="18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467.63</w:t>
            </w:r>
          </w:p>
        </w:tc>
        <w:tc>
          <w:tcPr>
            <w:tcW w:w="1678"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w:t>
            </w:r>
          </w:p>
        </w:tc>
        <w:tc>
          <w:tcPr>
            <w:tcW w:w="426"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03</w:t>
            </w:r>
          </w:p>
        </w:tc>
        <w:tc>
          <w:tcPr>
            <w:tcW w:w="567"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693"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其他城乡社区公共设施支出</w:t>
            </w:r>
          </w:p>
        </w:tc>
        <w:tc>
          <w:tcPr>
            <w:tcW w:w="146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61.2</w:t>
            </w:r>
          </w:p>
        </w:tc>
        <w:tc>
          <w:tcPr>
            <w:tcW w:w="181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61.2</w:t>
            </w: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9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26"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6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69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465"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18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467.63</w:t>
            </w:r>
          </w:p>
        </w:tc>
        <w:tc>
          <w:tcPr>
            <w:tcW w:w="167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61.2</w:t>
            </w:r>
          </w:p>
        </w:tc>
      </w:tr>
    </w:tbl>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表四：</w:t>
      </w:r>
    </w:p>
    <w:p>
      <w:pPr>
        <w:widowControl/>
        <w:spacing w:beforeLines="50"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财政拨款收支预算总体情况表</w:t>
      </w:r>
    </w:p>
    <w:tbl>
      <w:tblPr>
        <w:tblStyle w:val="13"/>
        <w:tblpPr w:leftFromText="180" w:rightFromText="180" w:vertAnchor="text" w:horzAnchor="page" w:tblpXSpec="center" w:tblpY="589"/>
        <w:tblOverlap w:val="never"/>
        <w:tblW w:w="9229" w:type="dxa"/>
        <w:tblInd w:w="0" w:type="dxa"/>
        <w:tblLayout w:type="fixed"/>
        <w:tblCellMar>
          <w:top w:w="0" w:type="dxa"/>
          <w:left w:w="108" w:type="dxa"/>
          <w:bottom w:w="0" w:type="dxa"/>
          <w:right w:w="108" w:type="dxa"/>
        </w:tblCellMar>
      </w:tblPr>
      <w:tblGrid>
        <w:gridCol w:w="1620"/>
        <w:gridCol w:w="1323"/>
        <w:gridCol w:w="2157"/>
        <w:gridCol w:w="1294"/>
        <w:gridCol w:w="1418"/>
        <w:gridCol w:w="1417"/>
      </w:tblGrid>
      <w:tr>
        <w:tblPrEx>
          <w:tblLayout w:type="fixed"/>
          <w:tblCellMar>
            <w:top w:w="0" w:type="dxa"/>
            <w:left w:w="108" w:type="dxa"/>
            <w:bottom w:w="0" w:type="dxa"/>
            <w:right w:w="108" w:type="dxa"/>
          </w:tblCellMar>
        </w:tblPrEx>
        <w:trPr>
          <w:trHeight w:val="285" w:hRule="atLeast"/>
        </w:trPr>
        <w:tc>
          <w:tcPr>
            <w:tcW w:w="294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286"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682"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528.83</w:t>
            </w: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467.63</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467.63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61.2</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61.2</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58"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21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beforeLines="50"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w:t>
      </w: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143" w:type="dxa"/>
        <w:jc w:val="center"/>
        <w:tblInd w:w="0" w:type="dxa"/>
        <w:tblLayout w:type="fixed"/>
        <w:tblCellMar>
          <w:top w:w="0" w:type="dxa"/>
          <w:left w:w="108" w:type="dxa"/>
          <w:bottom w:w="0" w:type="dxa"/>
          <w:right w:w="108" w:type="dxa"/>
        </w:tblCellMar>
      </w:tblPr>
      <w:tblGrid>
        <w:gridCol w:w="582"/>
        <w:gridCol w:w="519"/>
        <w:gridCol w:w="474"/>
        <w:gridCol w:w="2341"/>
        <w:gridCol w:w="1684"/>
        <w:gridCol w:w="1842"/>
        <w:gridCol w:w="1701"/>
      </w:tblGrid>
      <w:tr>
        <w:tblPrEx>
          <w:tblLayout w:type="fixed"/>
          <w:tblCellMar>
            <w:top w:w="0" w:type="dxa"/>
            <w:left w:w="108" w:type="dxa"/>
            <w:bottom w:w="0" w:type="dxa"/>
            <w:right w:w="108" w:type="dxa"/>
          </w:tblCellMar>
        </w:tblPrEx>
        <w:trPr>
          <w:trHeight w:val="450" w:hRule="atLeast"/>
          <w:jc w:val="center"/>
        </w:trPr>
        <w:tc>
          <w:tcPr>
            <w:tcW w:w="9143" w:type="dxa"/>
            <w:gridSpan w:val="7"/>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                                                       单位：万元</w:t>
            </w:r>
          </w:p>
        </w:tc>
      </w:tr>
      <w:tr>
        <w:tblPrEx>
          <w:tblLayout w:type="fixed"/>
          <w:tblCellMar>
            <w:top w:w="0" w:type="dxa"/>
            <w:left w:w="108" w:type="dxa"/>
            <w:bottom w:w="0" w:type="dxa"/>
            <w:right w:w="108" w:type="dxa"/>
          </w:tblCellMar>
        </w:tblPrEx>
        <w:trPr>
          <w:trHeight w:val="405" w:hRule="atLeast"/>
          <w:jc w:val="center"/>
        </w:trPr>
        <w:tc>
          <w:tcPr>
            <w:tcW w:w="391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57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34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34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b/>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000000" w:fill="FFFFFF"/>
            <w:vAlign w:val="center"/>
          </w:tcPr>
          <w:p>
            <w:pPr>
              <w:spacing w:line="300" w:lineRule="auto"/>
              <w:jc w:val="right"/>
              <w:rPr>
                <w:rFonts w:ascii="仿宋_GB2312" w:eastAsia="仿宋_GB2312" w:cs="宋体" w:hAnsiTheme="minorEastAsia"/>
                <w:b/>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211</w:t>
            </w:r>
          </w:p>
        </w:tc>
        <w:tc>
          <w:tcPr>
            <w:tcW w:w="51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4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03</w:t>
            </w:r>
          </w:p>
        </w:tc>
        <w:tc>
          <w:tcPr>
            <w:tcW w:w="234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机关服务（环境保护管理事务）</w:t>
            </w:r>
          </w:p>
        </w:tc>
        <w:tc>
          <w:tcPr>
            <w:tcW w:w="16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467.63</w:t>
            </w:r>
          </w:p>
        </w:tc>
        <w:tc>
          <w:tcPr>
            <w:tcW w:w="184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467.63</w:t>
            </w:r>
          </w:p>
        </w:tc>
        <w:tc>
          <w:tcPr>
            <w:tcW w:w="1701"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212</w:t>
            </w:r>
          </w:p>
        </w:tc>
        <w:tc>
          <w:tcPr>
            <w:tcW w:w="519"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03</w:t>
            </w:r>
          </w:p>
        </w:tc>
        <w:tc>
          <w:tcPr>
            <w:tcW w:w="47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99</w:t>
            </w:r>
          </w:p>
        </w:tc>
        <w:tc>
          <w:tcPr>
            <w:tcW w:w="2341" w:type="dxa"/>
            <w:tcBorders>
              <w:top w:val="nil"/>
              <w:left w:val="nil"/>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其他城乡社区公共设施支出</w:t>
            </w:r>
          </w:p>
        </w:tc>
        <w:tc>
          <w:tcPr>
            <w:tcW w:w="1684"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61.2</w:t>
            </w:r>
          </w:p>
        </w:tc>
        <w:tc>
          <w:tcPr>
            <w:tcW w:w="184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61.2</w:t>
            </w: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8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1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7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34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528.83</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467.63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61.2</w:t>
            </w:r>
          </w:p>
        </w:tc>
      </w:tr>
    </w:tbl>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表六：</w:t>
      </w:r>
    </w:p>
    <w:tbl>
      <w:tblPr>
        <w:tblStyle w:val="13"/>
        <w:tblW w:w="9087" w:type="dxa"/>
        <w:jc w:val="center"/>
        <w:tblInd w:w="0" w:type="dxa"/>
        <w:tblLayout w:type="fixed"/>
        <w:tblCellMar>
          <w:top w:w="0" w:type="dxa"/>
          <w:left w:w="108" w:type="dxa"/>
          <w:bottom w:w="0" w:type="dxa"/>
          <w:right w:w="108" w:type="dxa"/>
        </w:tblCellMar>
      </w:tblPr>
      <w:tblGrid>
        <w:gridCol w:w="738"/>
        <w:gridCol w:w="637"/>
        <w:gridCol w:w="2794"/>
        <w:gridCol w:w="1516"/>
        <w:gridCol w:w="1701"/>
        <w:gridCol w:w="1701"/>
      </w:tblGrid>
      <w:tr>
        <w:tblPrEx>
          <w:tblLayout w:type="fixed"/>
          <w:tblCellMar>
            <w:top w:w="0" w:type="dxa"/>
            <w:left w:w="108" w:type="dxa"/>
            <w:bottom w:w="0" w:type="dxa"/>
            <w:right w:w="108" w:type="dxa"/>
          </w:tblCellMar>
        </w:tblPrEx>
        <w:trPr>
          <w:trHeight w:val="375" w:hRule="atLeast"/>
          <w:jc w:val="center"/>
        </w:trPr>
        <w:tc>
          <w:tcPr>
            <w:tcW w:w="9087" w:type="dxa"/>
            <w:gridSpan w:val="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hAnsiTheme="minorEastAsia"/>
                <w:color w:val="171717" w:themeColor="background2" w:themeShade="1A"/>
                <w:kern w:val="0"/>
                <w:sz w:val="24"/>
              </w:rPr>
              <w:t>编制部门：                                                     单位：万元</w:t>
            </w:r>
          </w:p>
        </w:tc>
      </w:tr>
      <w:tr>
        <w:tblPrEx>
          <w:tblLayout w:type="fixed"/>
          <w:tblCellMar>
            <w:top w:w="0" w:type="dxa"/>
            <w:left w:w="108" w:type="dxa"/>
            <w:bottom w:w="0" w:type="dxa"/>
            <w:right w:w="108" w:type="dxa"/>
          </w:tblCellMar>
        </w:tblPrEx>
        <w:trPr>
          <w:trHeight w:val="390" w:hRule="atLeast"/>
          <w:jc w:val="center"/>
        </w:trPr>
        <w:tc>
          <w:tcPr>
            <w:tcW w:w="416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49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37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7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5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90"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7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22"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基本工资</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75.95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75.95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津贴补贴</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22.45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22.45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03</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奖金</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6.33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6.33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伙食补助费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4.59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4.59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绩效工资</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75.22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75.22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08</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采暖补贴</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3.31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3.31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其他社会保障缴费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85.37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85.37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住房公积金</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27.52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27.52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其他工资福利支出</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办公费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2.07</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08</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办公取暖费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10.43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10.43</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差旅费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1.81</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维修(护)费(含其他维修)</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2.98</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培训费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1.53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1.53</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17</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公务接待费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28</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工会经费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1.02</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其他商品服务支出</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0.94</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0.94</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05</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水费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0.5</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电费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0.99</w:t>
            </w: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邮电费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1.3</w:t>
            </w:r>
          </w:p>
        </w:tc>
      </w:tr>
      <w:tr>
        <w:tblPrEx>
          <w:tblLayout w:type="fixed"/>
          <w:tblCellMar>
            <w:top w:w="0" w:type="dxa"/>
            <w:left w:w="108" w:type="dxa"/>
            <w:bottom w:w="0" w:type="dxa"/>
            <w:right w:w="108" w:type="dxa"/>
          </w:tblCellMar>
        </w:tblPrEx>
        <w:trPr>
          <w:trHeight w:val="341"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退休费</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31.82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31.82</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41"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奖励金</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106.29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106.29</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23"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eastAsia="仿宋_GB2312" w:cs="宋体" w:hAnsiTheme="minorEastAsia"/>
                <w:b/>
                <w:bCs/>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其他对个人和家庭的补助支出</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0.13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8"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100</w:t>
            </w: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hint="eastAsia" w:ascii="仿宋_GB2312" w:eastAsia="仿宋_GB2312" w:cs="宋体" w:hAnsiTheme="minorEastAsia"/>
                <w:bCs/>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福利</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4.28</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hint="eastAsia" w:ascii="仿宋_GB2312" w:hAnsi="宋体" w:eastAsia="仿宋_GB2312" w:cs="宋体"/>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8" w:hRule="atLeast"/>
          <w:jc w:val="center"/>
        </w:trPr>
        <w:tc>
          <w:tcPr>
            <w:tcW w:w="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7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Cs/>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467.63</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443.96</w:t>
            </w: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rFonts w:ascii="仿宋_GB2312" w:hAnsi="宋体" w:eastAsia="仿宋_GB2312" w:cs="宋体"/>
                <w:color w:val="171717" w:themeColor="background2" w:themeShade="1A"/>
                <w:kern w:val="0"/>
                <w:sz w:val="18"/>
                <w:szCs w:val="18"/>
              </w:rPr>
            </w:pPr>
            <w:r>
              <w:rPr>
                <w:rFonts w:hint="eastAsia" w:ascii="仿宋_GB2312" w:hAnsi="宋体" w:eastAsia="仿宋_GB2312" w:cs="宋体"/>
                <w:color w:val="171717" w:themeColor="background2" w:themeShade="1A"/>
                <w:kern w:val="0"/>
                <w:sz w:val="18"/>
                <w:szCs w:val="18"/>
              </w:rPr>
              <w:t>23.67</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表七：</w:t>
      </w:r>
    </w:p>
    <w:tbl>
      <w:tblPr>
        <w:tblStyle w:val="13"/>
        <w:tblW w:w="10061" w:type="dxa"/>
        <w:jc w:val="center"/>
        <w:tblInd w:w="0" w:type="dxa"/>
        <w:tblLayout w:type="fixed"/>
        <w:tblCellMar>
          <w:top w:w="0" w:type="dxa"/>
          <w:left w:w="108" w:type="dxa"/>
          <w:bottom w:w="0" w:type="dxa"/>
          <w:right w:w="108" w:type="dxa"/>
        </w:tblCellMar>
      </w:tblPr>
      <w:tblGrid>
        <w:gridCol w:w="9"/>
        <w:gridCol w:w="572"/>
        <w:gridCol w:w="426"/>
        <w:gridCol w:w="425"/>
        <w:gridCol w:w="850"/>
        <w:gridCol w:w="1396"/>
        <w:gridCol w:w="750"/>
        <w:gridCol w:w="569"/>
        <w:gridCol w:w="536"/>
        <w:gridCol w:w="652"/>
        <w:gridCol w:w="652"/>
        <w:gridCol w:w="698"/>
        <w:gridCol w:w="457"/>
        <w:gridCol w:w="698"/>
        <w:gridCol w:w="457"/>
        <w:gridCol w:w="457"/>
        <w:gridCol w:w="389"/>
        <w:gridCol w:w="68"/>
      </w:tblGrid>
      <w:tr>
        <w:tblPrEx>
          <w:tblLayout w:type="fixed"/>
          <w:tblCellMar>
            <w:top w:w="0" w:type="dxa"/>
            <w:left w:w="108" w:type="dxa"/>
            <w:bottom w:w="0" w:type="dxa"/>
            <w:right w:w="108" w:type="dxa"/>
          </w:tblCellMar>
        </w:tblPrEx>
        <w:trPr>
          <w:gridBefore w:val="1"/>
          <w:gridAfter w:val="1"/>
          <w:wBefore w:w="9" w:type="dxa"/>
          <w:wAfter w:w="68" w:type="dxa"/>
          <w:trHeight w:val="375" w:hRule="atLeast"/>
          <w:jc w:val="center"/>
        </w:trPr>
        <w:tc>
          <w:tcPr>
            <w:tcW w:w="9984" w:type="dxa"/>
            <w:gridSpan w:val="16"/>
            <w:tcBorders>
              <w:top w:val="nil"/>
              <w:left w:val="nil"/>
              <w:bottom w:val="nil"/>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hAnsiTheme="minorEastAsia"/>
                <w:color w:val="171717" w:themeColor="background2" w:themeShade="1A"/>
                <w:kern w:val="0"/>
                <w:sz w:val="24"/>
              </w:rPr>
              <w:t>编制部门：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32" w:type="dxa"/>
            <w:gridSpan w:val="4"/>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 目 编 码</w:t>
            </w:r>
          </w:p>
        </w:tc>
        <w:tc>
          <w:tcPr>
            <w:tcW w:w="850"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396" w:type="dxa"/>
            <w:vMerge w:val="restart"/>
            <w:shd w:val="clear" w:color="auto" w:fill="auto"/>
            <w:vAlign w:val="center"/>
          </w:tcPr>
          <w:p>
            <w:pPr>
              <w:spacing w:line="300" w:lineRule="auto"/>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750"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569"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53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45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81" w:type="dxa"/>
            <w:gridSpan w:val="2"/>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26"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25" w:type="dxa"/>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850"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39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50"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69"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5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                                                      单位：万元</w:t>
      </w:r>
    </w:p>
    <w:tbl>
      <w:tblPr>
        <w:tblStyle w:val="13"/>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政府性基金预算支出情况表</w:t>
      </w:r>
    </w:p>
    <w:p>
      <w:pPr>
        <w:widowControl/>
        <w:spacing w:line="300" w:lineRule="auto"/>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                                                      单位：万元</w:t>
      </w:r>
    </w:p>
    <w:tbl>
      <w:tblPr>
        <w:tblStyle w:val="13"/>
        <w:tblW w:w="9087" w:type="dxa"/>
        <w:jc w:val="center"/>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pStyle w:val="2"/>
        <w:spacing w:before="435"/>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  乌鲁木齐市水磨沟区虹桥污水处理厂2016年部门预算情况说明</w:t>
      </w:r>
    </w:p>
    <w:p>
      <w:pPr>
        <w:widowControl/>
        <w:spacing w:line="300" w:lineRule="auto"/>
        <w:jc w:val="center"/>
        <w:outlineLvl w:val="1"/>
        <w:rPr>
          <w:rFonts w:ascii="黑体" w:hAnsi="黑体" w:eastAsia="黑体"/>
          <w:color w:val="171717" w:themeColor="background2" w:themeShade="1A"/>
          <w:kern w:val="0"/>
          <w:sz w:val="32"/>
          <w:szCs w:val="32"/>
        </w:rPr>
      </w:pPr>
      <w:r>
        <w:rPr>
          <w:rFonts w:hint="eastAsia" w:ascii="黑体" w:hAnsi="黑体" w:eastAsia="黑体"/>
          <w:color w:val="171717" w:themeColor="background2" w:themeShade="1A"/>
          <w:kern w:val="0"/>
          <w:sz w:val="32"/>
          <w:szCs w:val="32"/>
        </w:rPr>
        <w:t>2016年部门预算情况说明</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一、关于乌鲁木齐市水磨沟区虹桥污水处理厂2016年收支预算情况的总体说明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按照全口径预算的原则，乌鲁木齐市水磨沟区虹桥污水处理厂2016年所有收入和支出均纳入部门预算管理。收支总预算528.83万元。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收入预算包括：一般公共预算、单位上年结转（不包括国库集中支付额度结余）等。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支出预算包括：社会保障和就业支出、节能环保支出、城乡社区支出</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二、关于乌鲁木齐市水磨沟区虹桥污水处理厂2016年收入预算情况说明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乌鲁木齐市水磨沟区虹桥污水处理厂收入预算528.83万元，其中：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528.83万元，比上年增加56.14万元；增加基本工资、津贴补贴、奖金、伙食补助费、绩效工资、机关事业单位基本养老保险缴费、其他社会保障缴费、住房公积金、其他工资福利支出、退休费、奖励金、其他对个人和家庭的补助。</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财政预算拨款结余结转0万元，比上年增加0万元。</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三、关于乌鲁木齐市水磨沟区虹桥污水处理厂单位2016年支出预算情况说明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乌鲁木齐市水磨沟区虹桥污水处理厂单位2016年支出预算528.83万元，其中：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本支出467.63万元，比上年增加56.14万元。增加基本工资、津贴补贴、奖金、伙食补助费、绩效工资、机关事业单位基本养老保险缴费、其他社会保障缴费、住房公积金、其他工资福利支出、退休费、奖励金、其他对个人和家庭的补助。</w:t>
      </w:r>
    </w:p>
    <w:p>
      <w:pPr>
        <w:widowControl/>
        <w:spacing w:line="560" w:lineRule="exact"/>
        <w:ind w:firstLine="562" w:firstLineChars="200"/>
        <w:jc w:val="left"/>
        <w:rPr>
          <w:rFonts w:cs="宋体" w:asciiTheme="minorEastAsia" w:hAnsiTheme="minorEastAsia" w:eastAsiaTheme="minorEastAsia"/>
          <w:b/>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项目支出61.2万元，比上年增加1.2万元。应停产产生的中水绿化费</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四、关于乌鲁木齐市水磨沟区虹桥污水处理厂2016年财政拨款收支预算情况的总体说明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spacing w:val="-4"/>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财政拨款收支总预算528.63万元。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五、关于乌鲁木齐市水磨沟区虹桥污水处理厂2016年一般公共预算基本支出情况说明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乌鲁木齐市水磨沟区虹桥污水处理厂2016年一般公共预算基本支出</w:t>
      </w:r>
      <w:r>
        <w:rPr>
          <w:rFonts w:hint="eastAsia" w:cs="宋体" w:asciiTheme="minorEastAsia" w:hAnsiTheme="minorEastAsia" w:eastAsiaTheme="minorEastAsia"/>
          <w:color w:val="171717" w:themeColor="background2" w:themeShade="1A"/>
          <w:kern w:val="0"/>
          <w:sz w:val="28"/>
          <w:szCs w:val="28"/>
          <w:lang w:val="en-US" w:eastAsia="zh-CN"/>
        </w:rPr>
        <w:t>467.63</w:t>
      </w:r>
      <w:r>
        <w:rPr>
          <w:rFonts w:hint="eastAsia" w:cs="宋体" w:asciiTheme="minorEastAsia" w:hAnsiTheme="minorEastAsia" w:eastAsiaTheme="minorEastAsia"/>
          <w:color w:val="17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443.96万元，主要包括：基本工资、津贴补贴、奖金、伙食补助费、绩效工资、机关事业单位基本养老保险缴费、其他社会保障缴费、住房公积金、其他工资福利支出、退休费、奖励金、其他对个人和家庭的补助。</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公用经费23.67万元，主要包括：办公费、水费、电费、邮电费、取暖费、差旅费、维修（护）费、培训费、公务接待费、工会经费、其他商品和服务支出。</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六、关于乌鲁木齐市水磨沟区虹桥污水处理厂2016年一般公共预算项目支出情况说明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w:t>
      </w:r>
      <w:r>
        <w:rPr>
          <w:rFonts w:asciiTheme="minorEastAsia" w:hAnsiTheme="minorEastAsia" w:eastAsiaTheme="minorEastAsia"/>
          <w:b/>
          <w:color w:val="171717" w:themeColor="background2" w:themeShade="1A"/>
          <w:sz w:val="28"/>
          <w:szCs w:val="28"/>
        </w:rPr>
        <w:t>属于</w:t>
      </w:r>
      <w:r>
        <w:rPr>
          <w:rFonts w:asciiTheme="minorEastAsia" w:hAnsiTheme="minorEastAsia" w:eastAsiaTheme="minorEastAsia"/>
          <w:b/>
          <w:color w:val="171717" w:themeColor="background2" w:themeShade="1A"/>
          <w:spacing w:val="-8"/>
          <w:sz w:val="28"/>
          <w:szCs w:val="28"/>
        </w:rPr>
        <w:t>对个人补贴的项目支出</w:t>
      </w:r>
      <w:r>
        <w:rPr>
          <w:rFonts w:hint="eastAsia" w:asciiTheme="minorEastAsia" w:hAnsiTheme="minorEastAsia" w:eastAsiaTheme="minorEastAsia"/>
          <w:b/>
          <w:color w:val="171717" w:themeColor="background2" w:themeShade="1A"/>
          <w:sz w:val="28"/>
          <w:szCs w:val="28"/>
        </w:rPr>
        <w:t>按下列内容说明）</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2016年临聘人员司机、安保维稳补助</w:t>
      </w:r>
    </w:p>
    <w:p>
      <w:pPr>
        <w:widowControl/>
        <w:spacing w:line="560" w:lineRule="exact"/>
        <w:ind w:firstLine="560" w:firstLineChars="200"/>
        <w:jc w:val="left"/>
        <w:rPr>
          <w:rFonts w:hint="eastAsia" w:cs="新宋体" w:asciiTheme="minorEastAsia" w:hAnsiTheme="minorEastAsia" w:eastAsiaTheme="minorEastAsia"/>
          <w:color w:val="171717" w:themeColor="background2" w:themeShade="1A"/>
          <w:sz w:val="28"/>
          <w:szCs w:val="28"/>
          <w:shd w:val="clear" w:color="auto" w:fill="FFFFFF"/>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1.2万元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乌鲁木齐市水磨沟区虹桥污水处理厂</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政府统一分配</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w:t>
      </w:r>
      <w:r>
        <w:rPr>
          <w:rFonts w:cs="宋体" w:asciiTheme="minorEastAsia" w:hAnsiTheme="minorEastAsia" w:eastAsiaTheme="minorEastAsia"/>
          <w:color w:val="171717" w:themeColor="background2" w:themeShade="1A"/>
          <w:kern w:val="0"/>
          <w:sz w:val="28"/>
          <w:szCs w:val="28"/>
        </w:rPr>
        <w:t>01</w:t>
      </w:r>
      <w:r>
        <w:rPr>
          <w:rFonts w:hint="eastAsia" w:cs="宋体" w:asciiTheme="minorEastAsia" w:hAnsiTheme="minorEastAsia" w:eastAsiaTheme="minorEastAsia"/>
          <w:color w:val="171717" w:themeColor="background2" w:themeShade="1A"/>
          <w:kern w:val="0"/>
          <w:sz w:val="28"/>
          <w:szCs w:val="28"/>
        </w:rPr>
        <w:t>6年1月</w:t>
      </w:r>
      <w:r>
        <w:rPr>
          <w:rFonts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rPr>
        <w:t>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发放程序：政府以建厂或补贴形式</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目</w:t>
      </w:r>
      <w:r>
        <w:rPr>
          <w:rFonts w:asciiTheme="minorEastAsia" w:hAnsiTheme="minorEastAsia" w:eastAsiaTheme="minorEastAsia"/>
          <w:color w:val="171717" w:themeColor="background2" w:themeShade="1A"/>
          <w:sz w:val="28"/>
          <w:szCs w:val="28"/>
        </w:rPr>
        <w:t>名称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2016年运行补助经费</w:t>
      </w:r>
    </w:p>
    <w:p>
      <w:pPr>
        <w:widowControl/>
        <w:spacing w:line="560" w:lineRule="exact"/>
        <w:ind w:firstLine="560" w:firstLineChars="200"/>
        <w:jc w:val="left"/>
        <w:rPr>
          <w:rFonts w:hint="eastAsia" w:cs="新宋体" w:asciiTheme="minorEastAsia" w:hAnsiTheme="minorEastAsia" w:eastAsiaTheme="minorEastAsia"/>
          <w:color w:val="171717" w:themeColor="background2" w:themeShade="1A"/>
          <w:sz w:val="28"/>
          <w:szCs w:val="28"/>
          <w:shd w:val="clear" w:color="auto" w:fill="FFFFFF"/>
        </w:rPr>
      </w:pPr>
      <w:r>
        <w:rPr>
          <w:rFonts w:asciiTheme="minorEastAsia" w:hAnsiTheme="minorEastAsia" w:eastAsiaTheme="minorEastAsia"/>
          <w:color w:val="171717" w:themeColor="background2" w:themeShade="1A"/>
          <w:sz w:val="28"/>
          <w:szCs w:val="28"/>
        </w:rPr>
        <w:t>设立的政策依据</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预算安排规模</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60万元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项目承担单位</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乌鲁木齐市水磨沟区虹桥污水处理厂</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资金分配情况</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政府统一分配</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w:t>
      </w:r>
      <w:r>
        <w:rPr>
          <w:rFonts w:cs="宋体" w:asciiTheme="minorEastAsia" w:hAnsiTheme="minorEastAsia" w:eastAsiaTheme="minorEastAsia"/>
          <w:color w:val="171717" w:themeColor="background2" w:themeShade="1A"/>
          <w:kern w:val="0"/>
          <w:sz w:val="28"/>
          <w:szCs w:val="28"/>
        </w:rPr>
        <w:t>01</w:t>
      </w:r>
      <w:r>
        <w:rPr>
          <w:rFonts w:hint="eastAsia" w:cs="宋体" w:asciiTheme="minorEastAsia" w:hAnsiTheme="minorEastAsia" w:eastAsiaTheme="minorEastAsia"/>
          <w:color w:val="171717" w:themeColor="background2" w:themeShade="1A"/>
          <w:kern w:val="0"/>
          <w:sz w:val="28"/>
          <w:szCs w:val="28"/>
        </w:rPr>
        <w:t>6年1月</w:t>
      </w:r>
      <w:r>
        <w:rPr>
          <w:rFonts w:cs="宋体" w:asciiTheme="minorEastAsia" w:hAnsiTheme="minorEastAsia" w:eastAsiaTheme="minorEastAsia"/>
          <w:color w:val="171717" w:themeColor="background2" w:themeShade="1A"/>
          <w:kern w:val="0"/>
          <w:sz w:val="28"/>
          <w:szCs w:val="28"/>
        </w:rPr>
        <w:t>-201</w:t>
      </w:r>
      <w:r>
        <w:rPr>
          <w:rFonts w:hint="eastAsia" w:cs="宋体" w:asciiTheme="minorEastAsia" w:hAnsiTheme="minorEastAsia" w:eastAsiaTheme="minorEastAsia"/>
          <w:color w:val="171717" w:themeColor="background2" w:themeShade="1A"/>
          <w:kern w:val="0"/>
          <w:sz w:val="28"/>
          <w:szCs w:val="28"/>
        </w:rPr>
        <w:t>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发放程序：政府以建厂或补贴形式</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七、关于乌鲁木齐市水磨沟区虹桥污水处理厂2016年一般公共预算“三公”经费预算情况说明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乌鲁木齐市水磨沟区虹桥污水处理厂2016年“三公”经费财政拨款预算数为0.1万元，其中：因公出国（境）费0万元，公务用车购置0万元，公务用车运行费0万元，公务接待费0.1万元。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2016年“三公”经费财政拨款预算与上年</w:t>
      </w:r>
      <w:r>
        <w:rPr>
          <w:rFonts w:cs="宋体" w:asciiTheme="minorEastAsia" w:hAnsiTheme="minorEastAsia" w:eastAsiaTheme="minorEastAsia"/>
          <w:color w:val="171717" w:themeColor="background2" w:themeShade="1A"/>
          <w:kern w:val="0"/>
          <w:sz w:val="28"/>
          <w:szCs w:val="28"/>
        </w:rPr>
        <w:t>持平</w:t>
      </w:r>
      <w:r>
        <w:rPr>
          <w:rFonts w:hint="eastAsia" w:cs="宋体" w:asciiTheme="minorEastAsia" w:hAnsiTheme="minorEastAsia" w:eastAsiaTheme="minorEastAsia"/>
          <w:color w:val="171717" w:themeColor="background2" w:themeShade="1A"/>
          <w:kern w:val="0"/>
          <w:sz w:val="28"/>
          <w:szCs w:val="28"/>
        </w:rPr>
        <w:t>，其中：因公出国（境）费、公务用车购置费、公务用车运行费未安排预算；公务接待费预算与上年</w:t>
      </w:r>
      <w:r>
        <w:rPr>
          <w:rFonts w:cs="宋体" w:asciiTheme="minorEastAsia" w:hAnsiTheme="minorEastAsia" w:eastAsiaTheme="minorEastAsia"/>
          <w:color w:val="171717" w:themeColor="background2" w:themeShade="1A"/>
          <w:kern w:val="0"/>
          <w:sz w:val="28"/>
          <w:szCs w:val="28"/>
        </w:rPr>
        <w:t>持平</w:t>
      </w:r>
      <w:r>
        <w:rPr>
          <w:rFonts w:hint="eastAsia" w:cs="宋体" w:asciiTheme="minorEastAsia" w:hAnsiTheme="minorEastAsia" w:eastAsiaTheme="minorEastAsia"/>
          <w:color w:val="171717" w:themeColor="background2" w:themeShade="1A"/>
          <w:kern w:val="0"/>
          <w:sz w:val="28"/>
          <w:szCs w:val="28"/>
        </w:rPr>
        <w:t>。</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八、关于乌鲁木齐市水磨沟区虹桥污水处理厂2016年政府性基金预算拨款情况说明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乌鲁木齐市水磨沟区虹桥污水处理厂2016年没有使用政府性基金预算拨款安排的支出，政府性基金预算支出情况表为空表。</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2016年度本部门面向中小企业预留政府采购项目预算金额0万元，其中：面向小微企业预留政府采购项目预算金额0万元。</w:t>
      </w:r>
    </w:p>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截至2015年底，乌鲁木齐市水磨沟区虹桥污水处理厂及下属各预算单位占用使用国有资产总体情况为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1.房屋4504平方米，价值4209.24万元。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2.车辆5辆，价值134.46万元；其中：一般公务用车4辆，价值101.6万元；执法执勤用车0辆，价值0万元；其他车辆1辆，价值32.86万元。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3.其他资产价值（包含办公家具）</w:t>
      </w:r>
      <w:r>
        <w:rPr>
          <w:rFonts w:cs="宋体" w:asciiTheme="minorEastAsia" w:hAnsiTheme="minorEastAsia" w:eastAsiaTheme="minorEastAsia"/>
          <w:color w:val="171717" w:themeColor="background2" w:themeShade="1A"/>
          <w:kern w:val="0"/>
          <w:sz w:val="28"/>
          <w:szCs w:val="28"/>
        </w:rPr>
        <w:t>1,147.66</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单位价值50万元以上大型设备17台（套），单位价值100万元以上大型设备0台（套）。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2016年部门预算未安排购置车辆经费，安排购置50万元以上大型设备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p>
    <w:p>
      <w:pPr>
        <w:widowControl/>
        <w:spacing w:line="560" w:lineRule="exact"/>
        <w:jc w:val="left"/>
        <w:rPr>
          <w:rFonts w:cs="宋体" w:asciiTheme="minorEastAsia" w:hAnsiTheme="minorEastAsia" w:eastAsiaTheme="minorEastAsia"/>
          <w:color w:val="171717" w:themeColor="background2" w:themeShade="1A"/>
          <w:kern w:val="0"/>
          <w:sz w:val="28"/>
          <w:szCs w:val="28"/>
        </w:rPr>
      </w:pPr>
    </w:p>
    <w:p>
      <w:pPr>
        <w:spacing w:line="300" w:lineRule="auto"/>
        <w:jc w:val="center"/>
        <w:rPr>
          <w:rFonts w:cs="宋体" w:asciiTheme="minorEastAsia" w:hAnsiTheme="minorEastAsia" w:eastAsiaTheme="minorEastAsia"/>
          <w:color w:val="171717" w:themeColor="background2" w:themeShade="1A"/>
          <w:kern w:val="0"/>
          <w:sz w:val="28"/>
          <w:szCs w:val="28"/>
        </w:rPr>
      </w:pPr>
    </w:p>
    <w:p>
      <w:pPr>
        <w:spacing w:line="300" w:lineRule="auto"/>
        <w:jc w:val="center"/>
        <w:rPr>
          <w:rFonts w:cs="宋体" w:asciiTheme="minorEastAsia" w:hAnsiTheme="minorEastAsia" w:eastAsiaTheme="minorEastAsia"/>
          <w:b/>
          <w:color w:val="171717" w:themeColor="background2" w:themeShade="1A"/>
          <w:kern w:val="0"/>
          <w:sz w:val="36"/>
          <w:szCs w:val="36"/>
        </w:rPr>
      </w:pPr>
      <w:r>
        <w:rPr>
          <w:rFonts w:hint="eastAsia" w:cs="宋体" w:asciiTheme="minorEastAsia" w:hAnsiTheme="minorEastAsia" w:eastAsiaTheme="min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jc w:val="center"/>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901"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spacing w:line="300" w:lineRule="auto"/>
              <w:rPr>
                <w:rFonts w:ascii="仿宋_GB2312" w:eastAsia="仿宋_GB2312" w:cs="宋体" w:hAnsiTheme="minorEastAsia"/>
                <w:color w:val="171717" w:themeColor="background2" w:themeShade="1A"/>
                <w:sz w:val="24"/>
              </w:rPr>
            </w:pPr>
          </w:p>
        </w:tc>
      </w:tr>
      <w:tr>
        <w:tblPrEx>
          <w:tblLayout w:type="fixed"/>
          <w:tblCellMar>
            <w:top w:w="0" w:type="dxa"/>
            <w:left w:w="108" w:type="dxa"/>
            <w:bottom w:w="0" w:type="dxa"/>
            <w:right w:w="108" w:type="dxa"/>
          </w:tblCellMar>
        </w:tblPrEx>
        <w:trPr>
          <w:trHeight w:val="703" w:hRule="atLeast"/>
          <w:jc w:val="center"/>
        </w:trPr>
        <w:tc>
          <w:tcPr>
            <w:tcW w:w="1960"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bl>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（四）其他需说明的事项</w:t>
      </w:r>
    </w:p>
    <w:p>
      <w:pPr>
        <w:spacing w:line="560" w:lineRule="exact"/>
        <w:ind w:firstLine="560" w:firstLineChars="200"/>
        <w:jc w:val="left"/>
        <w:rPr>
          <w:color w:val="171717" w:themeColor="background2" w:themeShade="1A"/>
          <w:sz w:val="28"/>
          <w:szCs w:val="28"/>
        </w:rPr>
      </w:pPr>
      <w:r>
        <w:rPr>
          <w:rFonts w:hint="eastAsia"/>
          <w:color w:val="171717" w:themeColor="background2" w:themeShade="1A"/>
          <w:sz w:val="28"/>
          <w:szCs w:val="28"/>
        </w:rPr>
        <w:t>……</w:t>
      </w:r>
    </w:p>
    <w:p>
      <w:pPr>
        <w:pStyle w:val="2"/>
        <w:spacing w:before="435"/>
        <w:rPr>
          <w:rFonts w:ascii="黑体" w:hAnsi="黑体" w:eastAsia="黑体"/>
          <w:color w:val="171717" w:themeColor="background2" w:themeShade="1A"/>
          <w:szCs w:val="32"/>
        </w:rPr>
      </w:pPr>
      <w:r>
        <w:rPr>
          <w:rFonts w:hint="eastAsia" w:ascii="黑体" w:hAnsi="黑体" w:eastAsia="黑体"/>
          <w:color w:val="171717" w:themeColor="background2" w:themeShade="1A"/>
          <w:szCs w:val="32"/>
        </w:rPr>
        <w:t>第四部分  名词解释</w:t>
      </w:r>
    </w:p>
    <w:p>
      <w:pPr>
        <w:widowControl/>
        <w:spacing w:line="300" w:lineRule="auto"/>
        <w:ind w:firstLine="640"/>
        <w:jc w:val="left"/>
        <w:rPr>
          <w:rFonts w:ascii="黑体" w:hAnsi="黑体" w:eastAsia="黑体" w:cs="宋体"/>
          <w:b/>
          <w:color w:val="171717" w:themeColor="background2" w:themeShade="1A"/>
          <w:kern w:val="0"/>
          <w:sz w:val="32"/>
          <w:szCs w:val="32"/>
        </w:rPr>
      </w:pPr>
      <w:r>
        <w:rPr>
          <w:rFonts w:hint="eastAsia" w:ascii="黑体" w:hAnsi="黑体" w:eastAsia="黑体" w:cs="宋体"/>
          <w:b/>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部门支出预算的组成部分，是部门为完成其特定的行政任务或事业发展目标，在基本支出预算之外编制的年度项目支出计划。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指部门的公用经费，包括办公及印刷费、邮电费、差旅费、会议费、福利费、日常维修费、专用材料及一般设备购置费、办公用房水电费、办公用房取暖费、办公用房物业管理</w:t>
      </w:r>
      <w:bookmarkStart w:id="0" w:name="_GoBack"/>
      <w:bookmarkEnd w:id="0"/>
      <w:r>
        <w:rPr>
          <w:rFonts w:hint="eastAsia" w:asciiTheme="minorEastAsia" w:hAnsiTheme="minorEastAsia" w:eastAsiaTheme="minorEastAsia"/>
          <w:color w:val="171717" w:themeColor="background2" w:themeShade="1A"/>
          <w:sz w:val="28"/>
          <w:szCs w:val="28"/>
        </w:rPr>
        <w:t>费、公务用车运行维护费及其他费用。</w:t>
      </w:r>
    </w:p>
    <w:p>
      <w:pPr>
        <w:widowControl/>
        <w:spacing w:line="300" w:lineRule="auto"/>
        <w:jc w:val="right"/>
        <w:rPr>
          <w:rFonts w:ascii="仿宋_GB2312" w:hAnsi="楷体" w:eastAsia="仿宋_GB2312"/>
          <w:color w:val="171717" w:themeColor="background2" w:themeShade="1A"/>
          <w:sz w:val="32"/>
          <w:szCs w:val="32"/>
        </w:rPr>
      </w:pPr>
      <w:r>
        <w:rPr>
          <w:rFonts w:hint="eastAsia" w:ascii="仿宋_GB2312" w:hAnsi="楷体" w:eastAsia="仿宋_GB2312"/>
          <w:color w:val="171717" w:themeColor="background2" w:themeShade="1A"/>
          <w:sz w:val="32"/>
          <w:szCs w:val="32"/>
        </w:rPr>
        <w:t>乌鲁木齐市水磨沟区虹桥污水处理厂</w:t>
      </w:r>
    </w:p>
    <w:p>
      <w:pPr>
        <w:wordWrap w:val="0"/>
        <w:ind w:firstLine="640"/>
        <w:jc w:val="right"/>
        <w:rPr>
          <w:rFonts w:ascii="仿宋_GB2312" w:eastAsia="仿宋_GB2312" w:hAnsiTheme="minorEastAsia"/>
          <w:color w:val="171717" w:themeColor="background2" w:themeShade="1A"/>
          <w:sz w:val="32"/>
          <w:szCs w:val="32"/>
        </w:rPr>
      </w:pPr>
      <w:r>
        <w:rPr>
          <w:rFonts w:hint="eastAsia" w:ascii="仿宋_GB2312" w:eastAsia="仿宋_GB2312" w:hAnsiTheme="minorEastAsia"/>
          <w:color w:val="171717" w:themeColor="background2" w:themeShade="1A"/>
          <w:sz w:val="32"/>
          <w:szCs w:val="32"/>
        </w:rPr>
        <w:t>2018年12月16日</w:t>
      </w:r>
    </w:p>
    <w:p>
      <w:pPr>
        <w:widowControl/>
        <w:spacing w:line="300" w:lineRule="auto"/>
        <w:jc w:val="left"/>
        <w:rPr>
          <w:rFonts w:asciiTheme="minorEastAsia" w:hAnsiTheme="minorEastAsia" w:eastAsiaTheme="minorEastAsia"/>
          <w:color w:val="FF0000"/>
          <w:sz w:val="24"/>
        </w:rPr>
      </w:pPr>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827" w:wrap="around" w:vAnchor="text" w:hAnchor="margin" w:xAlign="outside" w:y="1"/>
      <w:rPr>
        <w:rStyle w:val="12"/>
      </w:rPr>
    </w:pPr>
    <w:r>
      <w:rPr>
        <w:rStyle w:val="12"/>
        <w:rFonts w:hint="eastAsia"/>
      </w:rPr>
      <w:t>—</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20</w:t>
    </w:r>
    <w:r>
      <w:rPr>
        <w:rStyle w:val="12"/>
        <w:sz w:val="28"/>
        <w:szCs w:val="28"/>
      </w:rPr>
      <w:fldChar w:fldCharType="end"/>
    </w:r>
    <w:r>
      <w:rPr>
        <w:rStyle w:val="12"/>
        <w:rFonts w:hint="eastAsia"/>
      </w:rPr>
      <w:t>—</w:t>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2</w: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15A9E"/>
    <w:rsid w:val="00017844"/>
    <w:rsid w:val="000C2F44"/>
    <w:rsid w:val="00105EBF"/>
    <w:rsid w:val="00143DF1"/>
    <w:rsid w:val="001A0005"/>
    <w:rsid w:val="001C03C4"/>
    <w:rsid w:val="001D7C6C"/>
    <w:rsid w:val="00240227"/>
    <w:rsid w:val="002A686B"/>
    <w:rsid w:val="002E727D"/>
    <w:rsid w:val="003471DB"/>
    <w:rsid w:val="00387466"/>
    <w:rsid w:val="003F6C48"/>
    <w:rsid w:val="00410114"/>
    <w:rsid w:val="00472D3C"/>
    <w:rsid w:val="004A51A5"/>
    <w:rsid w:val="004E3FA5"/>
    <w:rsid w:val="005349C7"/>
    <w:rsid w:val="005D695B"/>
    <w:rsid w:val="00623E22"/>
    <w:rsid w:val="0063190A"/>
    <w:rsid w:val="00671111"/>
    <w:rsid w:val="006747A4"/>
    <w:rsid w:val="006E281E"/>
    <w:rsid w:val="006E42A8"/>
    <w:rsid w:val="007E4B9B"/>
    <w:rsid w:val="00801F08"/>
    <w:rsid w:val="008242BB"/>
    <w:rsid w:val="008321C6"/>
    <w:rsid w:val="008520E7"/>
    <w:rsid w:val="00881459"/>
    <w:rsid w:val="008A3119"/>
    <w:rsid w:val="008C779C"/>
    <w:rsid w:val="008E6A0F"/>
    <w:rsid w:val="0090671C"/>
    <w:rsid w:val="00907D16"/>
    <w:rsid w:val="0091081D"/>
    <w:rsid w:val="009504DC"/>
    <w:rsid w:val="00962A89"/>
    <w:rsid w:val="009929FC"/>
    <w:rsid w:val="009A47E5"/>
    <w:rsid w:val="009A622E"/>
    <w:rsid w:val="00A115FD"/>
    <w:rsid w:val="00A14A27"/>
    <w:rsid w:val="00A34ADB"/>
    <w:rsid w:val="00A77444"/>
    <w:rsid w:val="00AD7AFD"/>
    <w:rsid w:val="00AE113C"/>
    <w:rsid w:val="00AF4865"/>
    <w:rsid w:val="00B62FFB"/>
    <w:rsid w:val="00BD5383"/>
    <w:rsid w:val="00C00BF0"/>
    <w:rsid w:val="00C33869"/>
    <w:rsid w:val="00C33AC4"/>
    <w:rsid w:val="00C53F43"/>
    <w:rsid w:val="00C82B8D"/>
    <w:rsid w:val="00DA2544"/>
    <w:rsid w:val="00DD41EB"/>
    <w:rsid w:val="00E50607"/>
    <w:rsid w:val="00E82A56"/>
    <w:rsid w:val="00F346B9"/>
    <w:rsid w:val="00F87CD2"/>
    <w:rsid w:val="00FB6A1B"/>
    <w:rsid w:val="062B31F4"/>
    <w:rsid w:val="127170E1"/>
    <w:rsid w:val="15616587"/>
    <w:rsid w:val="19ED5C4C"/>
    <w:rsid w:val="1CDC15DC"/>
    <w:rsid w:val="25987F9F"/>
    <w:rsid w:val="26D74323"/>
    <w:rsid w:val="29BF0F73"/>
    <w:rsid w:val="2A00471B"/>
    <w:rsid w:val="2A051B44"/>
    <w:rsid w:val="40E40EBD"/>
    <w:rsid w:val="44C278A1"/>
    <w:rsid w:val="4A1E7079"/>
    <w:rsid w:val="4AC37366"/>
    <w:rsid w:val="4AEC3F01"/>
    <w:rsid w:val="4E213335"/>
    <w:rsid w:val="4FCD1CEF"/>
    <w:rsid w:val="52075066"/>
    <w:rsid w:val="5515254A"/>
    <w:rsid w:val="56927798"/>
    <w:rsid w:val="58AF2009"/>
    <w:rsid w:val="5BC666A7"/>
    <w:rsid w:val="5C9017ED"/>
    <w:rsid w:val="5DDB794F"/>
    <w:rsid w:val="5F7B3670"/>
    <w:rsid w:val="639140D9"/>
    <w:rsid w:val="64441FC5"/>
    <w:rsid w:val="65063F91"/>
    <w:rsid w:val="65F26BA8"/>
    <w:rsid w:val="71FE2B1D"/>
    <w:rsid w:val="72493BF6"/>
    <w:rsid w:val="76BC5C49"/>
    <w:rsid w:val="77325005"/>
    <w:rsid w:val="78AE5F49"/>
    <w:rsid w:val="7AEB3E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26"/>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27"/>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17"/>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rFonts w:eastAsia="黑体"/>
      <w:snapToGrid w:val="0"/>
      <w:kern w:val="0"/>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脚 Char"/>
    <w:basedOn w:val="10"/>
    <w:link w:val="6"/>
    <w:qFormat/>
    <w:uiPriority w:val="99"/>
    <w:rPr>
      <w:rFonts w:ascii="Times New Roman" w:hAnsi="Times New Roman" w:eastAsia="黑体" w:cs="Times New Roman"/>
      <w:snapToGrid w:val="0"/>
      <w:kern w:val="0"/>
      <w:sz w:val="18"/>
      <w:szCs w:val="18"/>
    </w:rPr>
  </w:style>
  <w:style w:type="paragraph" w:customStyle="1" w:styleId="16">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7">
    <w:name w:val="批注框文本 Char"/>
    <w:basedOn w:val="10"/>
    <w:link w:val="5"/>
    <w:semiHidden/>
    <w:qFormat/>
    <w:uiPriority w:val="0"/>
    <w:rPr>
      <w:rFonts w:ascii="Times New Roman" w:hAnsi="Times New Roman" w:eastAsia="宋体" w:cs="Times New Roman"/>
      <w:sz w:val="18"/>
      <w:szCs w:val="18"/>
    </w:rPr>
  </w:style>
  <w:style w:type="character" w:customStyle="1" w:styleId="18">
    <w:name w:val="页眉 Char"/>
    <w:basedOn w:val="10"/>
    <w:link w:val="7"/>
    <w:qFormat/>
    <w:uiPriority w:val="0"/>
    <w:rPr>
      <w:rFonts w:ascii="Times New Roman" w:hAnsi="Times New Roman" w:eastAsia="宋体" w:cs="Times New Roman"/>
      <w:sz w:val="18"/>
      <w:szCs w:val="18"/>
    </w:rPr>
  </w:style>
  <w:style w:type="character" w:customStyle="1" w:styleId="19">
    <w:name w:val="正文文本缩进 3 Char"/>
    <w:basedOn w:val="10"/>
    <w:link w:val="8"/>
    <w:qFormat/>
    <w:uiPriority w:val="0"/>
    <w:rPr>
      <w:rFonts w:ascii="Times New Roman" w:hAnsi="Times New Roman" w:eastAsia="仿宋_GB2312" w:cs="Times New Roman"/>
      <w:sz w:val="32"/>
      <w:szCs w:val="24"/>
    </w:rPr>
  </w:style>
  <w:style w:type="paragraph" w:styleId="20">
    <w:name w:val="List Paragraph"/>
    <w:basedOn w:val="1"/>
    <w:qFormat/>
    <w:uiPriority w:val="34"/>
    <w:pPr>
      <w:ind w:firstLine="420" w:firstLineChars="200"/>
    </w:pPr>
    <w:rPr>
      <w:rFonts w:ascii="Calibri" w:hAnsi="Calibri"/>
      <w:szCs w:val="22"/>
    </w:rPr>
  </w:style>
  <w:style w:type="paragraph" w:customStyle="1" w:styleId="21">
    <w:name w:val="普通(网站)1"/>
    <w:basedOn w:val="1"/>
    <w:qFormat/>
    <w:uiPriority w:val="0"/>
    <w:rPr>
      <w:rFonts w:ascii="Calibri" w:hAnsi="Calibri" w:cs="黑体"/>
      <w:sz w:val="24"/>
    </w:rPr>
  </w:style>
  <w:style w:type="table" w:customStyle="1" w:styleId="22">
    <w:name w:val="网格型1"/>
    <w:basedOn w:val="13"/>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3">
    <w:name w:val="普通(网站)2"/>
    <w:basedOn w:val="1"/>
    <w:qFormat/>
    <w:uiPriority w:val="0"/>
    <w:rPr>
      <w:rFonts w:ascii="Calibri" w:hAnsi="Calibri" w:cs="黑体"/>
      <w:sz w:val="24"/>
    </w:rPr>
  </w:style>
  <w:style w:type="paragraph" w:customStyle="1" w:styleId="24">
    <w:name w:val="普通(网站)3"/>
    <w:basedOn w:val="1"/>
    <w:qFormat/>
    <w:uiPriority w:val="0"/>
    <w:rPr>
      <w:rFonts w:ascii="Calibri" w:hAnsi="Calibri" w:cs="黑体"/>
      <w:sz w:val="24"/>
    </w:rPr>
  </w:style>
  <w:style w:type="character" w:customStyle="1" w:styleId="25">
    <w:name w:val="标题 1 Char"/>
    <w:basedOn w:val="10"/>
    <w:link w:val="2"/>
    <w:qFormat/>
    <w:uiPriority w:val="9"/>
    <w:rPr>
      <w:rFonts w:ascii="Times New Roman" w:hAnsi="Times New Roman" w:cs="Times New Roman" w:eastAsiaTheme="majorEastAsia"/>
      <w:b/>
      <w:bCs/>
      <w:kern w:val="44"/>
      <w:sz w:val="32"/>
      <w:szCs w:val="44"/>
    </w:rPr>
  </w:style>
  <w:style w:type="character" w:customStyle="1" w:styleId="26">
    <w:name w:val="标题 2 Char"/>
    <w:basedOn w:val="10"/>
    <w:link w:val="3"/>
    <w:qFormat/>
    <w:uiPriority w:val="9"/>
    <w:rPr>
      <w:rFonts w:asciiTheme="majorHAnsi" w:hAnsiTheme="majorHAnsi" w:eastAsiaTheme="majorEastAsia" w:cstheme="majorBidi"/>
      <w:b/>
      <w:bCs/>
      <w:sz w:val="30"/>
      <w:szCs w:val="32"/>
    </w:rPr>
  </w:style>
  <w:style w:type="character" w:customStyle="1" w:styleId="27">
    <w:name w:val="标题 3 Char"/>
    <w:basedOn w:val="10"/>
    <w:link w:val="4"/>
    <w:qFormat/>
    <w:uiPriority w:val="9"/>
    <w:rPr>
      <w:rFonts w:ascii="Times New Roman" w:hAnsi="Times New Roman" w:cs="Times New Roman" w:eastAsiaTheme="majorEastAsia"/>
      <w:b/>
      <w:bCs/>
      <w:sz w:val="28"/>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79661B-C0C8-4985-905C-D8670B8A3A2E}">
  <ds:schemaRefs/>
</ds:datastoreItem>
</file>

<file path=docProps/app.xml><?xml version="1.0" encoding="utf-8"?>
<Properties xmlns="http://schemas.openxmlformats.org/officeDocument/2006/extended-properties" xmlns:vt="http://schemas.openxmlformats.org/officeDocument/2006/docPropsVTypes">
  <Template>Normal</Template>
  <Pages>20</Pages>
  <Words>1220</Words>
  <Characters>6959</Characters>
  <Lines>57</Lines>
  <Paragraphs>16</Paragraphs>
  <TotalTime>75</TotalTime>
  <ScaleCrop>false</ScaleCrop>
  <LinksUpToDate>false</LinksUpToDate>
  <CharactersWithSpaces>8163</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2018-03-26T04:39:00Z</dcterms:created>
  <dc:creator>Administrator</dc:creator>
  <cp:lastModifiedBy>zx</cp:lastModifiedBy>
  <dcterms:modified xsi:type="dcterms:W3CDTF">2018-12-16T18:06:42Z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