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s="黑体"/>
          <w:bCs/>
          <w:color w:val="171717" w:themeColor="background2" w:themeShade="1A"/>
          <w:sz w:val="44"/>
          <w:szCs w:val="44"/>
        </w:rPr>
      </w:pPr>
      <w:r>
        <w:rPr>
          <w:rFonts w:hint="eastAsia" w:ascii="黑体" w:hAnsi="黑体" w:eastAsia="黑体" w:cs="黑体"/>
          <w:bCs/>
          <w:color w:val="171717" w:themeColor="background2" w:themeShade="1A"/>
          <w:sz w:val="44"/>
          <w:szCs w:val="44"/>
        </w:rPr>
        <w:t>附件：</w:t>
      </w:r>
    </w:p>
    <w:p>
      <w:pPr>
        <w:widowControl/>
        <w:spacing w:before="100" w:beforeAutospacing="1" w:after="100" w:afterAutospacing="1" w:line="300" w:lineRule="auto"/>
        <w:jc w:val="center"/>
        <w:outlineLvl w:val="1"/>
        <w:rPr>
          <w:rFonts w:asciiTheme="majorEastAsia" w:hAnsiTheme="majorEastAsia" w:eastAsiaTheme="majorEastAsia"/>
          <w:b/>
          <w:color w:val="171717" w:themeColor="background2" w:themeShade="1A"/>
          <w:kern w:val="0"/>
          <w:sz w:val="44"/>
          <w:szCs w:val="44"/>
        </w:rPr>
      </w:pPr>
    </w:p>
    <w:p>
      <w:pPr>
        <w:widowControl/>
        <w:spacing w:before="100" w:beforeAutospacing="1" w:after="100" w:afterAutospacing="1" w:line="300" w:lineRule="auto"/>
        <w:jc w:val="center"/>
        <w:outlineLvl w:val="1"/>
        <w:rPr>
          <w:rFonts w:asciiTheme="majorEastAsia" w:hAnsiTheme="majorEastAsia" w:eastAsiaTheme="majorEastAsia"/>
          <w:b/>
          <w:color w:val="171717" w:themeColor="background2" w:themeShade="1A"/>
          <w:kern w:val="0"/>
          <w:sz w:val="44"/>
          <w:szCs w:val="44"/>
        </w:rPr>
      </w:pPr>
    </w:p>
    <w:p>
      <w:pPr>
        <w:widowControl/>
        <w:spacing w:before="100" w:beforeAutospacing="1" w:after="100" w:afterAutospacing="1" w:line="300" w:lineRule="auto"/>
        <w:jc w:val="center"/>
        <w:outlineLvl w:val="1"/>
        <w:rPr>
          <w:rFonts w:asciiTheme="majorEastAsia" w:hAnsiTheme="majorEastAsia" w:eastAsiaTheme="majorEastAsia"/>
          <w:b/>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s="黑体"/>
          <w:bCs/>
          <w:color w:val="171717" w:themeColor="background2" w:themeShade="1A"/>
          <w:kern w:val="0"/>
          <w:sz w:val="44"/>
          <w:szCs w:val="44"/>
        </w:rPr>
      </w:pPr>
      <w:r>
        <w:rPr>
          <w:rFonts w:hint="eastAsia" w:ascii="黑体" w:hAnsi="黑体" w:eastAsia="黑体" w:cs="黑体"/>
          <w:bCs/>
          <w:color w:val="171717" w:themeColor="background2" w:themeShade="1A"/>
          <w:kern w:val="0"/>
          <w:sz w:val="44"/>
          <w:szCs w:val="44"/>
        </w:rPr>
        <w:t>中国人民解放军乌鲁木齐市水磨沟区武装部预算2016年公开</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s="黑体"/>
          <w:bCs/>
          <w:color w:val="171717" w:themeColor="background2" w:themeShade="1A"/>
          <w:kern w:val="0"/>
          <w:sz w:val="44"/>
          <w:szCs w:val="44"/>
        </w:rPr>
      </w:pPr>
      <w:r>
        <w:rPr>
          <w:rFonts w:hint="eastAsia" w:ascii="黑体" w:hAnsi="黑体" w:eastAsia="黑体" w:cs="黑体"/>
          <w:bCs/>
          <w:color w:val="171717" w:themeColor="background2" w:themeShade="1A"/>
          <w:kern w:val="0"/>
          <w:sz w:val="44"/>
          <w:szCs w:val="44"/>
        </w:rPr>
        <w:t>目录</w:t>
      </w:r>
    </w:p>
    <w:p>
      <w:pPr>
        <w:widowControl/>
        <w:spacing w:line="300" w:lineRule="auto"/>
        <w:jc w:val="center"/>
        <w:outlineLvl w:val="1"/>
        <w:rPr>
          <w:rFonts w:ascii="黑体" w:hAnsi="黑体" w:eastAsia="黑体" w:cs="黑体"/>
          <w:bCs/>
          <w:color w:val="171717" w:themeColor="background2" w:themeShade="1A"/>
          <w:kern w:val="0"/>
          <w:sz w:val="44"/>
          <w:szCs w:val="44"/>
        </w:rPr>
      </w:pP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第一部分  中国人民解放军乌鲁木齐市水磨沟区武装部单位概况</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第二部分  中国人民解放军乌鲁木齐市水磨沟区武装部2016年部门预算公开表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一、部门收支总体情况表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二、部门收入总体情况表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三、部门支出总体情况表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四、财政拨款收支总体情况表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五、一般公共预算支出情况表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六、一般公共预算基本支出情况表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七、项目支出情况表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八、一般公共预算“三公”经费支出情况表</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九、政府性基金预算支出情况表</w:t>
      </w: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第三部分  中国人民解放军乌鲁木齐市水磨沟区武装部2016年部门预算情况说明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一、关于中国人民解放军乌鲁木齐市水磨沟区武装部2016年收支预算情况的总体说明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二、关于中国人民解放军乌鲁木齐市水磨沟区武装部2016年收入预算情况说明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三、关于中国人民解放军乌鲁木齐市水磨沟区武装部2016年支出预算情况说明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四、关于中国人民解放军乌鲁木齐市水磨沟区武装部2016年财政拨款收支预算情况的总体说明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五、关于中国人民解放军乌鲁木齐市水磨沟区武装部2016年一般公共预算当年拨款情况说明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六、关于中国人民解放军乌鲁木齐市水磨沟区武装部2016年一般公共预算基本支出情况说明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七、关于中国人民解放军乌鲁木齐市水磨沟区武装部2016年项目支出情况说明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八、关于中国人民解放军乌鲁木齐市水磨沟区武装部2016年一般公共预算“三公”经费预算情况说明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九、关于中国人民解放军乌鲁木齐市水磨沟区武装部2016年政府性基金预算拨款情况说明</w:t>
      </w:r>
    </w:p>
    <w:p>
      <w:pPr>
        <w:widowControl/>
        <w:spacing w:line="460" w:lineRule="exact"/>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十、其他重要事项的情况说明</w:t>
      </w: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第一部分   中国人民解放军乌鲁木齐市水磨沟区武装部单位概况</w:t>
      </w:r>
    </w:p>
    <w:p>
      <w:pPr>
        <w:widowControl/>
        <w:spacing w:line="300" w:lineRule="auto"/>
        <w:jc w:val="center"/>
        <w:outlineLvl w:val="1"/>
        <w:rPr>
          <w:rFonts w:asciiTheme="minorEastAsia" w:hAnsiTheme="minorEastAsia" w:eastAsiaTheme="minorEastAsia"/>
          <w:b/>
          <w:color w:val="171717" w:themeColor="background2" w:themeShade="1A"/>
          <w:kern w:val="0"/>
          <w:sz w:val="24"/>
        </w:rPr>
      </w:pPr>
    </w:p>
    <w:p>
      <w:pPr>
        <w:pStyle w:val="3"/>
        <w:spacing w:line="560" w:lineRule="exact"/>
        <w:ind w:firstLine="99" w:firstLineChars="31"/>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一、主要职能</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1.负责民兵组织建设和武器装备的管理</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2.负责民兵、预备役人员的军事训练和政治教育</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3.组织并带领民兵完成战备执勤任务和参加两个文明建设</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4.负责民兵、预备役人员的登记、统计工作；协同教育部门对学生实施军事训练</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5.负责征兵、招收飞行学员工作；负责拟制本区域内的战时动员计划，会同有关部门在平时做好战时动员准备工作</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6.负责对专职人民武装干部的管理；协同有关部门做好退出现役军人的安置和烈军属的优抚工作</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7.战时负责组织实施兵员动员和带领民兵参军参战，支援前线保卫后方等各项任务。</w:t>
      </w:r>
    </w:p>
    <w:p>
      <w:pPr>
        <w:pStyle w:val="3"/>
        <w:spacing w:line="560" w:lineRule="exact"/>
        <w:ind w:firstLine="99" w:firstLineChars="31"/>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二、机构设置及人员情况</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shd w:val="clear" w:color="auto" w:fill="FFFFFF"/>
        </w:rPr>
      </w:pPr>
      <w:r>
        <w:rPr>
          <w:rFonts w:hint="eastAsia" w:asciiTheme="minorEastAsia" w:hAnsiTheme="minorEastAsia" w:eastAsiaTheme="minorEastAsia"/>
          <w:color w:val="171717" w:themeColor="background2" w:themeShade="1A"/>
          <w:sz w:val="28"/>
          <w:szCs w:val="28"/>
          <w:shd w:val="clear" w:color="auto" w:fill="FFFFFF"/>
        </w:rPr>
        <w:t>我部目前现役军人8人，在编事业编制职工6人，区人事局统招财政供养常备特勤民兵80人。(注:现役干部8人工资由部队供养,6名职工及常备特勤民兵80人由区财政供养)</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shd w:val="clear" w:color="auto" w:fill="FFFFFF"/>
        </w:rPr>
      </w:pPr>
      <w:r>
        <w:rPr>
          <w:rFonts w:hint="eastAsia" w:asciiTheme="minorEastAsia" w:hAnsiTheme="minorEastAsia" w:eastAsiaTheme="minorEastAsia"/>
          <w:color w:val="171717" w:themeColor="background2" w:themeShade="1A"/>
          <w:sz w:val="28"/>
          <w:szCs w:val="28"/>
          <w:shd w:val="clear" w:color="auto" w:fill="FFFFFF"/>
        </w:rPr>
        <w:t>我部共设三个科室，分别为：军事科、政工科、保障科。</w:t>
      </w: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Lines="0"/>
        <w:rPr>
          <w:rFonts w:ascii="黑体" w:hAnsi="黑体" w:eastAsia="黑体" w:cs="黑体"/>
          <w:b w:val="0"/>
          <w:bCs w:val="0"/>
          <w:color w:val="171717" w:themeColor="background2" w:themeShade="1A"/>
        </w:rPr>
      </w:pPr>
      <w:r>
        <w:rPr>
          <w:rFonts w:hint="eastAsia" w:ascii="黑体" w:hAnsi="黑体" w:eastAsia="黑体" w:cs="黑体"/>
          <w:b w:val="0"/>
          <w:bCs w:val="0"/>
          <w:color w:val="171717" w:themeColor="background2" w:themeShade="1A"/>
        </w:rPr>
        <w:t>第二部分  中国人民解放军乌鲁木齐市水磨沟区武装部2016年部门预算公开表</w:t>
      </w:r>
    </w:p>
    <w:p>
      <w:pPr>
        <w:widowControl/>
        <w:spacing w:beforeLines="50" w:line="300" w:lineRule="auto"/>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表一：</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部门收支总体情况表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bl>
      <w:tblPr>
        <w:tblStyle w:val="13"/>
        <w:tblW w:w="8931" w:type="dxa"/>
        <w:jc w:val="center"/>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jc w:val="center"/>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188.29</w:t>
            </w:r>
          </w:p>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117.49</w:t>
            </w:r>
          </w:p>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455.76</w:t>
            </w:r>
          </w:p>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jc w:val="right"/>
              <w:rPr>
                <w:rFonts w:ascii="仿宋_GB2312" w:hAnsi="仿宋_GB2312" w:eastAsia="仿宋_GB2312" w:cs="仿宋_GB2312"/>
                <w:color w:val="171717" w:themeColor="background2" w:themeShade="1A"/>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65" w:hRule="atLeast"/>
          <w:jc w:val="center"/>
        </w:trPr>
        <w:tc>
          <w:tcPr>
            <w:tcW w:w="2549" w:type="dxa"/>
            <w:tcBorders>
              <w:top w:val="nil"/>
              <w:left w:val="single" w:color="auto" w:sz="4" w:space="0"/>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tc>
      </w:tr>
    </w:tbl>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表二：</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部门收入总体情况表</w:t>
      </w:r>
    </w:p>
    <w:p>
      <w:pPr>
        <w:widowControl/>
        <w:spacing w:line="300" w:lineRule="auto"/>
        <w:jc w:val="center"/>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bl>
      <w:tblPr>
        <w:tblStyle w:val="13"/>
        <w:tblW w:w="8976" w:type="dxa"/>
        <w:jc w:val="center"/>
        <w:tblInd w:w="93" w:type="dxa"/>
        <w:tblLayout w:type="fixed"/>
        <w:tblCellMar>
          <w:top w:w="0" w:type="dxa"/>
          <w:left w:w="108" w:type="dxa"/>
          <w:bottom w:w="0" w:type="dxa"/>
          <w:right w:w="108" w:type="dxa"/>
        </w:tblCellMar>
      </w:tblPr>
      <w:tblGrid>
        <w:gridCol w:w="546"/>
        <w:gridCol w:w="457"/>
        <w:gridCol w:w="534"/>
        <w:gridCol w:w="1607"/>
        <w:gridCol w:w="876"/>
        <w:gridCol w:w="87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5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功能分类科目编码</w:t>
            </w:r>
          </w:p>
        </w:tc>
        <w:tc>
          <w:tcPr>
            <w:tcW w:w="16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功能分类科目名称</w:t>
            </w:r>
          </w:p>
        </w:tc>
        <w:tc>
          <w:tcPr>
            <w:tcW w:w="8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总  计</w:t>
            </w:r>
          </w:p>
        </w:tc>
        <w:tc>
          <w:tcPr>
            <w:tcW w:w="8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款</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项</w:t>
            </w: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50</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事业运行（政府办公厅（室）及相关机构事务）</w:t>
            </w:r>
          </w:p>
        </w:tc>
        <w:tc>
          <w:tcPr>
            <w:tcW w:w="876" w:type="dxa"/>
            <w:tcBorders>
              <w:top w:val="nil"/>
              <w:left w:val="nil"/>
              <w:bottom w:val="single" w:color="auto" w:sz="4" w:space="0"/>
              <w:right w:val="single" w:color="auto" w:sz="4" w:space="0"/>
            </w:tcBorders>
            <w:shd w:val="clear" w:color="000000" w:fill="FFFFFF"/>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188.29</w:t>
            </w:r>
          </w:p>
        </w:tc>
        <w:tc>
          <w:tcPr>
            <w:tcW w:w="876" w:type="dxa"/>
            <w:tcBorders>
              <w:top w:val="nil"/>
              <w:left w:val="nil"/>
              <w:bottom w:val="single" w:color="auto" w:sz="4" w:space="0"/>
              <w:right w:val="single" w:color="auto" w:sz="4" w:space="0"/>
            </w:tcBorders>
            <w:shd w:val="clear" w:color="000000" w:fill="FFFFFF"/>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188.29</w:t>
            </w: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01</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兵役征集</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预备役部队</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07</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民兵</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455.76</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455.76</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01</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其他国防支出</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117.49</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117.49</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204</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02</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其他公安支出</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208</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05</w:t>
            </w: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05</w:t>
            </w:r>
          </w:p>
        </w:tc>
        <w:tc>
          <w:tcPr>
            <w:tcW w:w="1607" w:type="dxa"/>
            <w:tcBorders>
              <w:top w:val="nil"/>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机关事业单位基本养老保险缴费支出</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1607" w:type="dxa"/>
            <w:tcBorders>
              <w:top w:val="nil"/>
              <w:left w:val="nil"/>
              <w:bottom w:val="single" w:color="auto" w:sz="4" w:space="0"/>
              <w:right w:val="single" w:color="auto" w:sz="4" w:space="0"/>
            </w:tcBorders>
            <w:shd w:val="clear" w:color="auto" w:fill="auto"/>
            <w:vAlign w:val="center"/>
          </w:tcPr>
          <w:p>
            <w:pPr>
              <w:spacing w:line="300" w:lineRule="auto"/>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1607" w:type="dxa"/>
            <w:tcBorders>
              <w:top w:val="nil"/>
              <w:left w:val="nil"/>
              <w:bottom w:val="single" w:color="auto" w:sz="4" w:space="0"/>
              <w:right w:val="single" w:color="auto" w:sz="4" w:space="0"/>
            </w:tcBorders>
            <w:shd w:val="clear" w:color="auto" w:fill="auto"/>
            <w:vAlign w:val="center"/>
          </w:tcPr>
          <w:p>
            <w:pPr>
              <w:spacing w:line="300" w:lineRule="auto"/>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1607" w:type="dxa"/>
            <w:tcBorders>
              <w:top w:val="nil"/>
              <w:left w:val="nil"/>
              <w:bottom w:val="single" w:color="auto" w:sz="4" w:space="0"/>
              <w:right w:val="single" w:color="auto" w:sz="4" w:space="0"/>
            </w:tcBorders>
            <w:shd w:val="clear" w:color="auto" w:fill="auto"/>
            <w:vAlign w:val="center"/>
          </w:tcPr>
          <w:p>
            <w:pPr>
              <w:spacing w:line="300" w:lineRule="auto"/>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1607" w:type="dxa"/>
            <w:tcBorders>
              <w:top w:val="nil"/>
              <w:left w:val="nil"/>
              <w:bottom w:val="single" w:color="auto" w:sz="4" w:space="0"/>
              <w:right w:val="single" w:color="auto" w:sz="4" w:space="0"/>
            </w:tcBorders>
            <w:shd w:val="clear" w:color="auto" w:fill="auto"/>
            <w:vAlign w:val="center"/>
          </w:tcPr>
          <w:p>
            <w:pPr>
              <w:spacing w:line="300" w:lineRule="auto"/>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876"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534"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1607" w:type="dxa"/>
            <w:tcBorders>
              <w:top w:val="nil"/>
              <w:left w:val="nil"/>
              <w:bottom w:val="single" w:color="auto" w:sz="4" w:space="0"/>
              <w:right w:val="single" w:color="auto" w:sz="4" w:space="0"/>
            </w:tcBorders>
            <w:shd w:val="clear" w:color="auto" w:fill="auto"/>
            <w:vAlign w:val="center"/>
          </w:tcPr>
          <w:p>
            <w:pPr>
              <w:spacing w:line="300" w:lineRule="auto"/>
              <w:jc w:val="center"/>
              <w:rPr>
                <w:rFonts w:cs="宋体" w:asciiTheme="minorEastAsia" w:hAnsiTheme="minorEastAsia" w:eastAsiaTheme="minorEastAsia"/>
                <w:color w:val="171717" w:themeColor="background2" w:themeShade="1A"/>
                <w:sz w:val="24"/>
              </w:rPr>
            </w:pPr>
            <w:r>
              <w:rPr>
                <w:rFonts w:hint="eastAsia" w:ascii="仿宋_GB2312" w:hAnsi="仿宋_GB2312" w:eastAsia="仿宋_GB2312" w:cs="仿宋_GB2312"/>
                <w:color w:val="171717" w:themeColor="background2" w:themeShade="1A"/>
                <w:sz w:val="18"/>
                <w:szCs w:val="18"/>
              </w:rPr>
              <w:t>合计</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tc>
        <w:tc>
          <w:tcPr>
            <w:tcW w:w="8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cs="宋体" w:asciiTheme="minorEastAsia" w:hAnsiTheme="minorEastAsia" w:eastAsiaTheme="minorEastAsia"/>
                <w:color w:val="171717" w:themeColor="background2" w:themeShade="1A"/>
                <w:sz w:val="24"/>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widowControl/>
        <w:spacing w:line="300" w:lineRule="auto"/>
        <w:outlineLvl w:val="1"/>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表三：</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部门支出总体情况表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bl>
      <w:tblPr>
        <w:tblStyle w:val="13"/>
        <w:tblW w:w="9229" w:type="dxa"/>
        <w:jc w:val="center"/>
        <w:tblInd w:w="93" w:type="dxa"/>
        <w:tblLayout w:type="fixed"/>
        <w:tblCellMar>
          <w:top w:w="0" w:type="dxa"/>
          <w:left w:w="108" w:type="dxa"/>
          <w:bottom w:w="0" w:type="dxa"/>
          <w:right w:w="108" w:type="dxa"/>
        </w:tblCellMar>
      </w:tblPr>
      <w:tblGrid>
        <w:gridCol w:w="546"/>
        <w:gridCol w:w="457"/>
        <w:gridCol w:w="457"/>
        <w:gridCol w:w="2516"/>
        <w:gridCol w:w="1801"/>
        <w:gridCol w:w="1795"/>
        <w:gridCol w:w="1657"/>
      </w:tblGrid>
      <w:tr>
        <w:tblPrEx>
          <w:tblLayout w:type="fixed"/>
          <w:tblCellMar>
            <w:top w:w="0" w:type="dxa"/>
            <w:left w:w="108" w:type="dxa"/>
            <w:bottom w:w="0" w:type="dxa"/>
            <w:right w:w="108" w:type="dxa"/>
          </w:tblCellMar>
        </w:tblPrEx>
        <w:trPr>
          <w:trHeight w:val="345" w:hRule="atLeast"/>
          <w:jc w:val="center"/>
        </w:trPr>
        <w:tc>
          <w:tcPr>
            <w:tcW w:w="39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w:t>
            </w:r>
          </w:p>
        </w:tc>
        <w:tc>
          <w:tcPr>
            <w:tcW w:w="525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功能分类科目编码</w:t>
            </w:r>
          </w:p>
        </w:tc>
        <w:tc>
          <w:tcPr>
            <w:tcW w:w="25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功能分类科目名称</w:t>
            </w:r>
          </w:p>
        </w:tc>
        <w:tc>
          <w:tcPr>
            <w:tcW w:w="18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合计</w:t>
            </w:r>
          </w:p>
        </w:tc>
        <w:tc>
          <w:tcPr>
            <w:tcW w:w="179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基本支出</w:t>
            </w:r>
          </w:p>
        </w:tc>
        <w:tc>
          <w:tcPr>
            <w:tcW w:w="165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w:t>
            </w:r>
          </w:p>
        </w:tc>
        <w:tc>
          <w:tcPr>
            <w:tcW w:w="251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8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795"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65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50</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事业运行（政府办公厅（室）及相关机构事务）</w:t>
            </w:r>
          </w:p>
        </w:tc>
        <w:tc>
          <w:tcPr>
            <w:tcW w:w="1801"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188.29</w:t>
            </w:r>
          </w:p>
        </w:tc>
        <w:tc>
          <w:tcPr>
            <w:tcW w:w="1795"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188.29</w:t>
            </w: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01</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兵役征集</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预备役部队</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07</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民兵</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01</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其他国防支出</w:t>
            </w:r>
          </w:p>
        </w:tc>
        <w:tc>
          <w:tcPr>
            <w:tcW w:w="1801"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117.49</w:t>
            </w:r>
          </w:p>
        </w:tc>
        <w:tc>
          <w:tcPr>
            <w:tcW w:w="1795"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117.49</w:t>
            </w: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204</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其他公安支出</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455.76</w:t>
            </w: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455.76</w:t>
            </w: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208</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05</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05</w:t>
            </w:r>
          </w:p>
        </w:tc>
        <w:tc>
          <w:tcPr>
            <w:tcW w:w="2516"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机关事业单位基本养老保险缴费支出</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79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171717" w:themeColor="background2" w:themeShade="1A"/>
                <w:kern w:val="0"/>
                <w:sz w:val="24"/>
              </w:rPr>
            </w:pPr>
            <w:r>
              <w:rPr>
                <w:rFonts w:hint="eastAsia" w:ascii="仿宋_GB2312" w:hAnsi="仿宋_GB2312" w:eastAsia="仿宋_GB2312" w:cs="仿宋_GB2312"/>
                <w:color w:val="171717" w:themeColor="background2" w:themeShade="1A"/>
                <w:kern w:val="0"/>
                <w:sz w:val="18"/>
                <w:szCs w:val="18"/>
              </w:rPr>
              <w:t>合计</w:t>
            </w:r>
          </w:p>
        </w:tc>
        <w:tc>
          <w:tcPr>
            <w:tcW w:w="1801"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761.54</w:t>
            </w:r>
          </w:p>
        </w:tc>
        <w:tc>
          <w:tcPr>
            <w:tcW w:w="1795"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305.78</w:t>
            </w:r>
          </w:p>
        </w:tc>
        <w:tc>
          <w:tcPr>
            <w:tcW w:w="16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sz w:val="18"/>
                <w:szCs w:val="18"/>
              </w:rPr>
            </w:pPr>
            <w:r>
              <w:rPr>
                <w:rFonts w:ascii="仿宋_GB2312" w:hAnsi="仿宋_GB2312" w:eastAsia="仿宋_GB2312" w:cs="仿宋_GB2312"/>
                <w:color w:val="171717" w:themeColor="background2" w:themeShade="1A"/>
                <w:sz w:val="18"/>
                <w:szCs w:val="18"/>
              </w:rPr>
              <w:t>455.76</w:t>
            </w:r>
          </w:p>
        </w:tc>
      </w:tr>
    </w:tbl>
    <w:p>
      <w:pPr>
        <w:widowControl/>
        <w:spacing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r>
        <w:rPr>
          <w:rFonts w:asciiTheme="minorEastAsia" w:hAnsiTheme="minorEastAsia" w:eastAsiaTheme="minorEastAsia"/>
          <w:b/>
          <w:color w:val="171717" w:themeColor="background2" w:themeShade="1A"/>
          <w:kern w:val="0"/>
          <w:sz w:val="24"/>
        </w:rPr>
        <w:br w:type="page"/>
      </w:r>
    </w:p>
    <w:p>
      <w:pPr>
        <w:widowControl/>
        <w:spacing w:line="300" w:lineRule="auto"/>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表四：</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财政拨款收支预算总体情况表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bl>
      <w:tblPr>
        <w:tblStyle w:val="13"/>
        <w:tblW w:w="9512" w:type="dxa"/>
        <w:jc w:val="center"/>
        <w:tblInd w:w="-193" w:type="dxa"/>
        <w:tblLayout w:type="fixed"/>
        <w:tblCellMar>
          <w:top w:w="0" w:type="dxa"/>
          <w:left w:w="108" w:type="dxa"/>
          <w:bottom w:w="0" w:type="dxa"/>
          <w:right w:w="108" w:type="dxa"/>
        </w:tblCellMar>
      </w:tblPr>
      <w:tblGrid>
        <w:gridCol w:w="1903"/>
        <w:gridCol w:w="947"/>
        <w:gridCol w:w="2977"/>
        <w:gridCol w:w="992"/>
        <w:gridCol w:w="1276"/>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财政拨款收入</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    目</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合计</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功  能  分  类</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财政拨款（补助）</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761.54</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 一般公共服务支出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188.29</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188.29</w:t>
            </w:r>
          </w:p>
          <w:p>
            <w:pPr>
              <w:widowControl/>
              <w:spacing w:line="300" w:lineRule="auto"/>
              <w:jc w:val="right"/>
              <w:rPr>
                <w:rFonts w:ascii="仿宋_GB2312" w:hAnsi="仿宋_GB2312" w:eastAsia="仿宋_GB2312" w:cs="仿宋_GB2312"/>
                <w:color w:val="171717" w:themeColor="background2" w:themeShade="1A"/>
                <w:kern w:val="0"/>
                <w:sz w:val="18"/>
                <w:szCs w:val="18"/>
              </w:rPr>
            </w:pP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一般公共预算</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761.54</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202 外交支出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政府性基金预算</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 国防支出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117.49</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117.49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204 公共安全支出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455.76</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455.76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205 教育支出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206 科学技术支出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207 文化体育与传媒支出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208 社会保障和就业支出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209 社会保险基金支出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210 医疗卫生与计划生育支出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211 节能环保支出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212 城乡社区支出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213 农林水支出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214 交通运输支出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215 资源勘探信息等支出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216 商业服务业等支出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217 金融支出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219 援助其他地区支出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220 国土资源气象等支出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221 住房保障支出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222 粮油物资管理支出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223 国有资本经营预算支出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227 预备费</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229 其他支出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231 债务还本支出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232 债务付息支出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233 债务发行费支出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小       计</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761.54</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小           计</w:t>
            </w:r>
          </w:p>
        </w:tc>
        <w:tc>
          <w:tcPr>
            <w:tcW w:w="992" w:type="dxa"/>
            <w:tcBorders>
              <w:top w:val="nil"/>
              <w:left w:val="nil"/>
              <w:bottom w:val="single" w:color="auto" w:sz="4" w:space="0"/>
              <w:right w:val="single" w:color="auto" w:sz="4" w:space="0"/>
            </w:tcBorders>
            <w:shd w:val="clear" w:color="auto" w:fill="auto"/>
          </w:tcPr>
          <w:p>
            <w:r>
              <w:rPr>
                <w:rFonts w:hint="eastAsia" w:ascii="仿宋_GB2312" w:hAnsi="仿宋_GB2312" w:eastAsia="仿宋_GB2312" w:cs="仿宋_GB2312"/>
                <w:color w:val="171717" w:themeColor="background2" w:themeShade="1A"/>
                <w:kern w:val="0"/>
                <w:sz w:val="18"/>
                <w:szCs w:val="18"/>
              </w:rPr>
              <w:t>761.54</w:t>
            </w:r>
          </w:p>
        </w:tc>
        <w:tc>
          <w:tcPr>
            <w:tcW w:w="1276" w:type="dxa"/>
            <w:tcBorders>
              <w:top w:val="nil"/>
              <w:left w:val="nil"/>
              <w:bottom w:val="single" w:color="auto" w:sz="4" w:space="0"/>
              <w:right w:val="single" w:color="auto" w:sz="4" w:space="0"/>
            </w:tcBorders>
            <w:shd w:val="clear" w:color="auto" w:fill="auto"/>
          </w:tcPr>
          <w:p>
            <w:r>
              <w:rPr>
                <w:rFonts w:hint="eastAsia" w:ascii="仿宋_GB2312" w:hAnsi="仿宋_GB2312" w:eastAsia="仿宋_GB2312" w:cs="仿宋_GB2312"/>
                <w:color w:val="171717" w:themeColor="background2" w:themeShade="1A"/>
                <w:kern w:val="0"/>
                <w:sz w:val="18"/>
                <w:szCs w:val="18"/>
              </w:rPr>
              <w:t>761.54</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230 转移性支出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收  入  总  计</w:t>
            </w:r>
          </w:p>
        </w:tc>
        <w:tc>
          <w:tcPr>
            <w:tcW w:w="9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761.54</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支  出  总  计</w:t>
            </w:r>
          </w:p>
        </w:tc>
        <w:tc>
          <w:tcPr>
            <w:tcW w:w="992" w:type="dxa"/>
            <w:tcBorders>
              <w:top w:val="nil"/>
              <w:left w:val="nil"/>
              <w:bottom w:val="single" w:color="auto" w:sz="4" w:space="0"/>
              <w:right w:val="single" w:color="auto" w:sz="4" w:space="0"/>
            </w:tcBorders>
            <w:shd w:val="clear" w:color="auto" w:fill="auto"/>
          </w:tcPr>
          <w:p>
            <w:r>
              <w:rPr>
                <w:rFonts w:hint="eastAsia" w:ascii="仿宋_GB2312" w:hAnsi="仿宋_GB2312" w:eastAsia="仿宋_GB2312" w:cs="仿宋_GB2312"/>
                <w:color w:val="171717" w:themeColor="background2" w:themeShade="1A"/>
                <w:kern w:val="0"/>
                <w:sz w:val="18"/>
                <w:szCs w:val="18"/>
              </w:rPr>
              <w:t>761.54</w:t>
            </w:r>
          </w:p>
        </w:tc>
        <w:tc>
          <w:tcPr>
            <w:tcW w:w="1276" w:type="dxa"/>
            <w:tcBorders>
              <w:top w:val="nil"/>
              <w:left w:val="nil"/>
              <w:bottom w:val="single" w:color="auto" w:sz="4" w:space="0"/>
              <w:right w:val="single" w:color="auto" w:sz="4" w:space="0"/>
            </w:tcBorders>
            <w:shd w:val="clear" w:color="auto" w:fill="auto"/>
          </w:tcPr>
          <w:p>
            <w:r>
              <w:rPr>
                <w:rFonts w:hint="eastAsia" w:ascii="仿宋_GB2312" w:hAnsi="仿宋_GB2312" w:eastAsia="仿宋_GB2312" w:cs="仿宋_GB2312"/>
                <w:color w:val="171717" w:themeColor="background2" w:themeShade="1A"/>
                <w:kern w:val="0"/>
                <w:sz w:val="18"/>
                <w:szCs w:val="18"/>
              </w:rPr>
              <w:t>761.54</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bl>
    <w:p>
      <w:pPr>
        <w:widowControl/>
        <w:spacing w:line="300" w:lineRule="auto"/>
        <w:jc w:val="right"/>
        <w:rPr>
          <w:rFonts w:ascii="仿宋_GB2312" w:hAnsi="仿宋_GB2312" w:eastAsia="仿宋_GB2312" w:cs="仿宋_GB2312"/>
          <w:color w:val="171717" w:themeColor="background2" w:themeShade="1A"/>
          <w:kern w:val="0"/>
          <w:sz w:val="18"/>
          <w:szCs w:val="18"/>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widowControl/>
        <w:spacing w:line="300" w:lineRule="auto"/>
        <w:jc w:val="left"/>
        <w:outlineLvl w:val="1"/>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表五：</w:t>
      </w:r>
    </w:p>
    <w:tbl>
      <w:tblPr>
        <w:tblStyle w:val="13"/>
        <w:tblW w:w="9180" w:type="dxa"/>
        <w:jc w:val="center"/>
        <w:tblInd w:w="93" w:type="dxa"/>
        <w:tblLayout w:type="fixed"/>
        <w:tblCellMar>
          <w:top w:w="0" w:type="dxa"/>
          <w:left w:w="108" w:type="dxa"/>
          <w:bottom w:w="0" w:type="dxa"/>
          <w:right w:w="108" w:type="dxa"/>
        </w:tblCellMar>
      </w:tblPr>
      <w:tblGrid>
        <w:gridCol w:w="548"/>
        <w:gridCol w:w="494"/>
        <w:gridCol w:w="459"/>
        <w:gridCol w:w="2520"/>
        <w:gridCol w:w="1691"/>
        <w:gridCol w:w="1760"/>
        <w:gridCol w:w="1708"/>
      </w:tblGrid>
      <w:tr>
        <w:tblPrEx>
          <w:tblLayout w:type="fixed"/>
          <w:tblCellMar>
            <w:top w:w="0" w:type="dxa"/>
            <w:left w:w="108" w:type="dxa"/>
            <w:bottom w:w="0" w:type="dxa"/>
            <w:right w:w="108" w:type="dxa"/>
          </w:tblCellMar>
        </w:tblPrEx>
        <w:trPr>
          <w:trHeight w:val="762" w:hRule="atLeast"/>
          <w:jc w:val="center"/>
        </w:trPr>
        <w:tc>
          <w:tcPr>
            <w:tcW w:w="9180" w:type="dxa"/>
            <w:gridSpan w:val="7"/>
            <w:tcBorders>
              <w:top w:val="nil"/>
              <w:left w:val="nil"/>
              <w:bottom w:val="nil"/>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一般公共预算支出情况表</w:t>
            </w:r>
          </w:p>
          <w:p>
            <w:pPr>
              <w:widowControl/>
              <w:spacing w:line="300" w:lineRule="auto"/>
              <w:outlineLvl w:val="1"/>
              <w:rPr>
                <w:rFonts w:asciiTheme="minorEastAsia" w:hAnsiTheme="minorEastAsia" w:eastAsiaTheme="minorEastAsia"/>
                <w:color w:val="171717" w:themeColor="background2" w:themeShade="1A"/>
                <w:kern w:val="0"/>
                <w:szCs w:val="21"/>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c>
      </w:tr>
      <w:tr>
        <w:tblPrEx>
          <w:tblLayout w:type="fixed"/>
          <w:tblCellMar>
            <w:top w:w="0" w:type="dxa"/>
            <w:left w:w="108" w:type="dxa"/>
            <w:bottom w:w="0" w:type="dxa"/>
            <w:right w:w="108" w:type="dxa"/>
          </w:tblCellMar>
        </w:tblPrEx>
        <w:trPr>
          <w:trHeight w:val="349" w:hRule="atLeast"/>
          <w:jc w:val="center"/>
        </w:trPr>
        <w:tc>
          <w:tcPr>
            <w:tcW w:w="402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w:t>
            </w:r>
          </w:p>
        </w:tc>
        <w:tc>
          <w:tcPr>
            <w:tcW w:w="515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98" w:hRule="atLeast"/>
          <w:jc w:val="center"/>
        </w:trPr>
        <w:tc>
          <w:tcPr>
            <w:tcW w:w="150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功能分类科目编码</w:t>
            </w:r>
          </w:p>
        </w:tc>
        <w:tc>
          <w:tcPr>
            <w:tcW w:w="2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功能分类科目名称</w:t>
            </w:r>
          </w:p>
        </w:tc>
        <w:tc>
          <w:tcPr>
            <w:tcW w:w="16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7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基本支出</w:t>
            </w:r>
          </w:p>
        </w:tc>
        <w:tc>
          <w:tcPr>
            <w:tcW w:w="1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61"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w:t>
            </w:r>
          </w:p>
        </w:tc>
        <w:tc>
          <w:tcPr>
            <w:tcW w:w="252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6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7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70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498"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50</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事业运行（政府办公厅（室）及相关机构事务）</w:t>
            </w:r>
          </w:p>
        </w:tc>
        <w:tc>
          <w:tcPr>
            <w:tcW w:w="1691"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188.29</w:t>
            </w:r>
          </w:p>
        </w:tc>
        <w:tc>
          <w:tcPr>
            <w:tcW w:w="176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188.29</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01</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兵役征集</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预备役部队</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07</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民兵</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01</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其他国防支出</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117.49</w:t>
            </w: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117.49</w:t>
            </w: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204</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02</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其他公安支出</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455.76</w:t>
            </w: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ascii="仿宋_GB2312" w:hAnsi="仿宋_GB2312" w:eastAsia="仿宋_GB2312" w:cs="仿宋_GB2312"/>
                <w:color w:val="171717" w:themeColor="background2" w:themeShade="1A"/>
                <w:kern w:val="0"/>
                <w:sz w:val="18"/>
                <w:szCs w:val="18"/>
              </w:rPr>
              <w:t>455.76</w:t>
            </w:r>
          </w:p>
        </w:tc>
      </w:tr>
      <w:tr>
        <w:tblPrEx>
          <w:tblLayout w:type="fixed"/>
          <w:tblCellMar>
            <w:top w:w="0" w:type="dxa"/>
            <w:left w:w="108" w:type="dxa"/>
            <w:bottom w:w="0" w:type="dxa"/>
            <w:right w:w="108" w:type="dxa"/>
          </w:tblCellMar>
        </w:tblPrEx>
        <w:trPr>
          <w:trHeight w:val="498"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208</w:t>
            </w: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05</w:t>
            </w: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05</w:t>
            </w: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机关事业单位基本养老保险缴费支出</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87"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5" w:hRule="atLeast"/>
          <w:jc w:val="center"/>
        </w:trPr>
        <w:tc>
          <w:tcPr>
            <w:tcW w:w="5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494"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合计</w:t>
            </w:r>
          </w:p>
        </w:tc>
        <w:tc>
          <w:tcPr>
            <w:tcW w:w="169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761.54</w:t>
            </w:r>
          </w:p>
        </w:tc>
        <w:tc>
          <w:tcPr>
            <w:tcW w:w="17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188.29</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573.25</w:t>
            </w:r>
          </w:p>
        </w:tc>
      </w:tr>
    </w:tbl>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r>
        <w:rPr>
          <w:rFonts w:asciiTheme="minorEastAsia" w:hAnsiTheme="minorEastAsia" w:eastAsiaTheme="minorEastAsia"/>
          <w:b/>
          <w:color w:val="171717" w:themeColor="background2" w:themeShade="1A"/>
          <w:kern w:val="0"/>
          <w:sz w:val="24"/>
        </w:rPr>
        <w:br w:type="page"/>
      </w:r>
    </w:p>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表六：</w:t>
      </w:r>
    </w:p>
    <w:tbl>
      <w:tblPr>
        <w:tblStyle w:val="13"/>
        <w:tblW w:w="9087" w:type="dxa"/>
        <w:jc w:val="center"/>
        <w:tblInd w:w="91" w:type="dxa"/>
        <w:tblLayout w:type="fixed"/>
        <w:tblCellMar>
          <w:top w:w="0" w:type="dxa"/>
          <w:left w:w="108" w:type="dxa"/>
          <w:bottom w:w="0" w:type="dxa"/>
          <w:right w:w="108" w:type="dxa"/>
        </w:tblCellMar>
      </w:tblPr>
      <w:tblGrid>
        <w:gridCol w:w="576"/>
        <w:gridCol w:w="577"/>
        <w:gridCol w:w="3651"/>
        <w:gridCol w:w="1448"/>
        <w:gridCol w:w="1497"/>
        <w:gridCol w:w="1338"/>
      </w:tblGrid>
      <w:tr>
        <w:tblPrEx>
          <w:tblLayout w:type="fixed"/>
          <w:tblCellMar>
            <w:top w:w="0" w:type="dxa"/>
            <w:left w:w="108" w:type="dxa"/>
            <w:bottom w:w="0" w:type="dxa"/>
            <w:right w:w="108" w:type="dxa"/>
          </w:tblCellMar>
        </w:tblPrEx>
        <w:trPr>
          <w:trHeight w:val="819" w:hRule="exact"/>
          <w:jc w:val="center"/>
        </w:trPr>
        <w:tc>
          <w:tcPr>
            <w:tcW w:w="9087" w:type="dxa"/>
            <w:gridSpan w:val="6"/>
            <w:tcBorders>
              <w:top w:val="nil"/>
              <w:left w:val="nil"/>
              <w:bottom w:val="nil"/>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一般公共预算基本支出情况表</w:t>
            </w:r>
          </w:p>
          <w:p>
            <w:pPr>
              <w:widowControl/>
              <w:spacing w:line="300" w:lineRule="auto"/>
              <w:jc w:val="center"/>
              <w:rPr>
                <w:rFonts w:cs="宋体" w:asciiTheme="minorEastAsia" w:hAnsiTheme="minorEastAsia" w:eastAsiaTheme="minorEastAsia"/>
                <w:b/>
                <w:bCs/>
                <w:color w:val="171717" w:themeColor="background2" w:themeShade="1A"/>
                <w:kern w:val="0"/>
                <w:szCs w:val="21"/>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c>
      </w:tr>
      <w:tr>
        <w:tblPrEx>
          <w:tblLayout w:type="fixed"/>
          <w:tblCellMar>
            <w:top w:w="0" w:type="dxa"/>
            <w:left w:w="108" w:type="dxa"/>
            <w:bottom w:w="0" w:type="dxa"/>
            <w:right w:w="108" w:type="dxa"/>
          </w:tblCellMar>
        </w:tblPrEx>
        <w:trPr>
          <w:trHeight w:val="304" w:hRule="exact"/>
          <w:jc w:val="center"/>
        </w:trPr>
        <w:tc>
          <w:tcPr>
            <w:tcW w:w="480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w:t>
            </w:r>
          </w:p>
        </w:tc>
        <w:tc>
          <w:tcPr>
            <w:tcW w:w="428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568" w:hRule="exact"/>
          <w:jc w:val="center"/>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经济分类科目编码</w:t>
            </w:r>
          </w:p>
        </w:tc>
        <w:tc>
          <w:tcPr>
            <w:tcW w:w="36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经济分类科目名称</w:t>
            </w:r>
          </w:p>
        </w:tc>
        <w:tc>
          <w:tcPr>
            <w:tcW w:w="144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4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人员经费</w:t>
            </w:r>
          </w:p>
        </w:tc>
        <w:tc>
          <w:tcPr>
            <w:tcW w:w="133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314"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365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Cs w:val="21"/>
              </w:rPr>
            </w:pPr>
          </w:p>
        </w:tc>
        <w:tc>
          <w:tcPr>
            <w:tcW w:w="144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Cs w:val="21"/>
              </w:rPr>
            </w:pPr>
          </w:p>
        </w:tc>
        <w:tc>
          <w:tcPr>
            <w:tcW w:w="149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Cs w:val="21"/>
              </w:rPr>
            </w:pPr>
          </w:p>
        </w:tc>
        <w:tc>
          <w:tcPr>
            <w:tcW w:w="133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Cs w:val="21"/>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01</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基本工资</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119.1</w:t>
            </w: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119.1</w:t>
            </w: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02</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津贴补贴</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奖金</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伙食补助费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07</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绩效工资</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08</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机关事业单位基本养老保险缴费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12</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其他社会保障缴费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住房公积金</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其他工资福利支出</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01</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办公费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05</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水费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电费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07</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邮电费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08</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办公取暖费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11</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差旅费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维修(护)费(含其他维修)</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16</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培训费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17</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公务接待费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28</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工会经费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29</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福利费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31</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公务用车运行维护费</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其他商品服务支出</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35.85</w:t>
            </w: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35.85</w:t>
            </w: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09</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奖励金</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其他对个人和家庭的补助支出</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33.34</w:t>
            </w: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33.34</w:t>
            </w: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97" w:hRule="exac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365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171717" w:themeColor="background2" w:themeShade="1A"/>
                <w:kern w:val="0"/>
                <w:szCs w:val="21"/>
              </w:rPr>
            </w:pPr>
            <w:r>
              <w:rPr>
                <w:rFonts w:hint="eastAsia" w:ascii="仿宋_GB2312" w:hAnsi="仿宋_GB2312" w:eastAsia="仿宋_GB2312" w:cs="仿宋_GB2312"/>
                <w:color w:val="171717" w:themeColor="background2" w:themeShade="1A"/>
                <w:kern w:val="0"/>
                <w:sz w:val="18"/>
                <w:szCs w:val="18"/>
              </w:rPr>
              <w:t>合计</w:t>
            </w:r>
          </w:p>
        </w:tc>
        <w:tc>
          <w:tcPr>
            <w:tcW w:w="144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188.29</w:t>
            </w:r>
          </w:p>
        </w:tc>
        <w:tc>
          <w:tcPr>
            <w:tcW w:w="149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152.44</w:t>
            </w:r>
          </w:p>
        </w:tc>
        <w:tc>
          <w:tcPr>
            <w:tcW w:w="133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35.85</w:t>
            </w:r>
          </w:p>
        </w:tc>
      </w:tr>
    </w:tbl>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表七：</w:t>
      </w:r>
    </w:p>
    <w:tbl>
      <w:tblPr>
        <w:tblStyle w:val="13"/>
        <w:tblW w:w="11153" w:type="dxa"/>
        <w:jc w:val="center"/>
        <w:tblInd w:w="11" w:type="dxa"/>
        <w:tblLayout w:type="fixed"/>
        <w:tblCellMar>
          <w:top w:w="0" w:type="dxa"/>
          <w:left w:w="108" w:type="dxa"/>
          <w:bottom w:w="0" w:type="dxa"/>
          <w:right w:w="108" w:type="dxa"/>
        </w:tblCellMar>
      </w:tblPr>
      <w:tblGrid>
        <w:gridCol w:w="633"/>
        <w:gridCol w:w="475"/>
        <w:gridCol w:w="487"/>
        <w:gridCol w:w="851"/>
        <w:gridCol w:w="1456"/>
        <w:gridCol w:w="846"/>
        <w:gridCol w:w="846"/>
        <w:gridCol w:w="741"/>
        <w:gridCol w:w="630"/>
        <w:gridCol w:w="644"/>
        <w:gridCol w:w="817"/>
        <w:gridCol w:w="457"/>
        <w:gridCol w:w="698"/>
        <w:gridCol w:w="457"/>
        <w:gridCol w:w="457"/>
        <w:gridCol w:w="658"/>
      </w:tblGrid>
      <w:tr>
        <w:tblPrEx>
          <w:tblLayout w:type="fixed"/>
          <w:tblCellMar>
            <w:top w:w="0" w:type="dxa"/>
            <w:left w:w="108" w:type="dxa"/>
            <w:bottom w:w="0" w:type="dxa"/>
            <w:right w:w="108" w:type="dxa"/>
          </w:tblCellMar>
        </w:tblPrEx>
        <w:trPr>
          <w:trHeight w:val="375" w:hRule="atLeast"/>
          <w:jc w:val="center"/>
        </w:trPr>
        <w:tc>
          <w:tcPr>
            <w:tcW w:w="11153" w:type="dxa"/>
            <w:gridSpan w:val="16"/>
            <w:tcBorders>
              <w:top w:val="nil"/>
              <w:left w:val="nil"/>
              <w:bottom w:val="nil"/>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一般公共预算项目支出情况表</w:t>
            </w:r>
          </w:p>
          <w:p>
            <w:pPr>
              <w:widowControl/>
              <w:spacing w:line="300" w:lineRule="auto"/>
              <w:jc w:val="center"/>
              <w:rPr>
                <w:rFonts w:cs="宋体" w:asciiTheme="minorEastAsia" w:hAnsiTheme="minorEastAsia" w:eastAsiaTheme="minorEastAsia"/>
                <w:b/>
                <w:bCs/>
                <w:color w:val="171717" w:themeColor="background2" w:themeShade="1A"/>
                <w:kern w:val="0"/>
                <w:szCs w:val="21"/>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595" w:type="dxa"/>
            <w:gridSpan w:val="3"/>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科 目 编 码</w:t>
            </w:r>
          </w:p>
        </w:tc>
        <w:tc>
          <w:tcPr>
            <w:tcW w:w="851"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科目</w:t>
            </w:r>
          </w:p>
        </w:tc>
        <w:tc>
          <w:tcPr>
            <w:tcW w:w="1456"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项目名称</w:t>
            </w:r>
          </w:p>
        </w:tc>
        <w:tc>
          <w:tcPr>
            <w:tcW w:w="846"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项目支出合计</w:t>
            </w:r>
          </w:p>
        </w:tc>
        <w:tc>
          <w:tcPr>
            <w:tcW w:w="846"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工资福利支出</w:t>
            </w:r>
          </w:p>
        </w:tc>
        <w:tc>
          <w:tcPr>
            <w:tcW w:w="741"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商品和服务支出</w:t>
            </w:r>
          </w:p>
        </w:tc>
        <w:tc>
          <w:tcPr>
            <w:tcW w:w="630"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对个人和家庭的补助</w:t>
            </w:r>
          </w:p>
        </w:tc>
        <w:tc>
          <w:tcPr>
            <w:tcW w:w="644"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债务利息及费用支出</w:t>
            </w:r>
          </w:p>
        </w:tc>
        <w:tc>
          <w:tcPr>
            <w:tcW w:w="817"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对社会保障基金补助</w:t>
            </w:r>
          </w:p>
        </w:tc>
        <w:tc>
          <w:tcPr>
            <w:tcW w:w="658"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633" w:type="dxa"/>
            <w:tcBorders>
              <w:bottom w:val="single" w:color="auto" w:sz="4" w:space="0"/>
            </w:tcBorders>
            <w:shd w:val="clear" w:color="auto" w:fill="auto"/>
            <w:vAlign w:val="center"/>
          </w:tcPr>
          <w:p>
            <w:pPr>
              <w:widowControl/>
              <w:spacing w:line="300" w:lineRule="auto"/>
              <w:jc w:val="left"/>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类</w:t>
            </w:r>
          </w:p>
        </w:tc>
        <w:tc>
          <w:tcPr>
            <w:tcW w:w="475" w:type="dxa"/>
            <w:tcBorders>
              <w:bottom w:val="single" w:color="auto" w:sz="4" w:space="0"/>
            </w:tcBorders>
            <w:shd w:val="clear" w:color="auto" w:fill="auto"/>
            <w:vAlign w:val="center"/>
          </w:tcPr>
          <w:p>
            <w:pPr>
              <w:widowControl/>
              <w:spacing w:line="300" w:lineRule="auto"/>
              <w:jc w:val="left"/>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款</w:t>
            </w:r>
          </w:p>
        </w:tc>
        <w:tc>
          <w:tcPr>
            <w:tcW w:w="487" w:type="dxa"/>
            <w:tcBorders>
              <w:bottom w:val="single" w:color="auto" w:sz="4" w:space="0"/>
            </w:tcBorders>
            <w:shd w:val="clear" w:color="auto" w:fill="auto"/>
            <w:vAlign w:val="center"/>
          </w:tcPr>
          <w:p>
            <w:pPr>
              <w:widowControl/>
              <w:spacing w:line="300" w:lineRule="auto"/>
              <w:jc w:val="left"/>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846"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846"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741"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630"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644"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81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c>
          <w:tcPr>
            <w:tcW w:w="658" w:type="dxa"/>
            <w:vMerge w:val="continue"/>
            <w:tcBorders>
              <w:bottom w:val="single" w:color="auto" w:sz="4" w:space="0"/>
            </w:tcBorders>
            <w:shd w:val="clear" w:color="auto" w:fill="auto"/>
          </w:tcPr>
          <w:p>
            <w:pPr>
              <w:widowControl/>
              <w:spacing w:line="300" w:lineRule="auto"/>
              <w:jc w:val="left"/>
              <w:outlineLvl w:val="1"/>
              <w:rPr>
                <w:rFonts w:asciiTheme="minorEastAsia" w:hAnsiTheme="minorEastAsia" w:eastAsiaTheme="minorEastAsia"/>
                <w:b/>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75"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87"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01</w:t>
            </w:r>
          </w:p>
        </w:tc>
        <w:tc>
          <w:tcPr>
            <w:tcW w:w="851"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兵役征集</w:t>
            </w:r>
          </w:p>
        </w:tc>
        <w:tc>
          <w:tcPr>
            <w:tcW w:w="1456"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征兵工作经费</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741"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30" w:type="dxa"/>
            <w:shd w:val="clear" w:color="auto" w:fill="auto"/>
            <w:vAlign w:val="center"/>
          </w:tcPr>
          <w:p>
            <w:pPr>
              <w:jc w:val="right"/>
              <w:rPr>
                <w:rFonts w:cs="宋体" w:asciiTheme="minorEastAsia" w:hAnsiTheme="minorEastAsia" w:eastAsiaTheme="minorEastAsia"/>
                <w:color w:val="171717" w:themeColor="background2" w:themeShade="1A"/>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75"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87"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851"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预备役部队</w:t>
            </w:r>
          </w:p>
        </w:tc>
        <w:tc>
          <w:tcPr>
            <w:tcW w:w="1456"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民兵预备役武器集中管理维护费</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10</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741"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10</w:t>
            </w: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75"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87"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851"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预备役部队</w:t>
            </w:r>
          </w:p>
        </w:tc>
        <w:tc>
          <w:tcPr>
            <w:tcW w:w="1456"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民兵预备役部队军事训练经费</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15</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741"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15</w:t>
            </w: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75"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06</w:t>
            </w:r>
          </w:p>
        </w:tc>
        <w:tc>
          <w:tcPr>
            <w:tcW w:w="487"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07</w:t>
            </w:r>
          </w:p>
        </w:tc>
        <w:tc>
          <w:tcPr>
            <w:tcW w:w="851"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民兵</w:t>
            </w:r>
          </w:p>
        </w:tc>
        <w:tc>
          <w:tcPr>
            <w:tcW w:w="1456"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民兵特勤分队伙食费</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48</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48</w:t>
            </w:r>
          </w:p>
        </w:tc>
        <w:tc>
          <w:tcPr>
            <w:tcW w:w="741"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203</w:t>
            </w:r>
          </w:p>
        </w:tc>
        <w:tc>
          <w:tcPr>
            <w:tcW w:w="475"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487"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01</w:t>
            </w:r>
          </w:p>
        </w:tc>
        <w:tc>
          <w:tcPr>
            <w:tcW w:w="851"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其他国防支出</w:t>
            </w:r>
          </w:p>
        </w:tc>
        <w:tc>
          <w:tcPr>
            <w:tcW w:w="1456"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代理记账经费</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741"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204</w:t>
            </w:r>
          </w:p>
        </w:tc>
        <w:tc>
          <w:tcPr>
            <w:tcW w:w="475"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02</w:t>
            </w:r>
          </w:p>
        </w:tc>
        <w:tc>
          <w:tcPr>
            <w:tcW w:w="487"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851"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其他公安支出</w:t>
            </w:r>
          </w:p>
        </w:tc>
        <w:tc>
          <w:tcPr>
            <w:tcW w:w="1456" w:type="dxa"/>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2018年临时聘用人员经费</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sz w:val="18"/>
                <w:szCs w:val="18"/>
              </w:rPr>
              <w:t>445.76</w:t>
            </w:r>
          </w:p>
        </w:tc>
        <w:tc>
          <w:tcPr>
            <w:tcW w:w="846" w:type="dxa"/>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445.76</w:t>
            </w:r>
          </w:p>
        </w:tc>
        <w:tc>
          <w:tcPr>
            <w:tcW w:w="741" w:type="dxa"/>
            <w:shd w:val="clear" w:color="auto" w:fill="auto"/>
          </w:tcPr>
          <w:p>
            <w:pPr>
              <w:spacing w:line="300" w:lineRule="auto"/>
              <w:jc w:val="right"/>
              <w:rPr>
                <w:rFonts w:ascii="仿宋_GB2312" w:hAnsi="仿宋_GB2312" w:eastAsia="仿宋_GB2312" w:cs="仿宋_GB2312"/>
                <w:color w:val="171717" w:themeColor="background2" w:themeShade="1A"/>
                <w:sz w:val="18"/>
                <w:szCs w:val="18"/>
              </w:rPr>
            </w:pP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vAlign w:val="center"/>
          </w:tcPr>
          <w:p>
            <w:pPr>
              <w:rPr>
                <w:rFonts w:cs="宋体" w:asciiTheme="minorEastAsia" w:hAnsiTheme="minorEastAsia" w:eastAsiaTheme="minorEastAsia"/>
                <w:color w:val="171717" w:themeColor="background2" w:themeShade="1A"/>
                <w:szCs w:val="21"/>
              </w:rPr>
            </w:pPr>
          </w:p>
        </w:tc>
        <w:tc>
          <w:tcPr>
            <w:tcW w:w="475" w:type="dxa"/>
            <w:shd w:val="clear" w:color="auto" w:fill="auto"/>
            <w:vAlign w:val="center"/>
          </w:tcPr>
          <w:p>
            <w:pPr>
              <w:rPr>
                <w:rFonts w:cs="宋体" w:asciiTheme="minorEastAsia" w:hAnsiTheme="minorEastAsia" w:eastAsiaTheme="minorEastAsia"/>
                <w:color w:val="171717" w:themeColor="background2" w:themeShade="1A"/>
                <w:szCs w:val="21"/>
              </w:rPr>
            </w:pPr>
          </w:p>
        </w:tc>
        <w:tc>
          <w:tcPr>
            <w:tcW w:w="487" w:type="dxa"/>
            <w:shd w:val="clear" w:color="auto" w:fill="auto"/>
            <w:vAlign w:val="center"/>
          </w:tcPr>
          <w:p>
            <w:pPr>
              <w:rPr>
                <w:rFonts w:cs="宋体" w:asciiTheme="minorEastAsia" w:hAnsiTheme="minorEastAsia" w:eastAsiaTheme="minorEastAsia"/>
                <w:color w:val="171717" w:themeColor="background2" w:themeShade="1A"/>
                <w:szCs w:val="21"/>
              </w:rPr>
            </w:pPr>
          </w:p>
        </w:tc>
        <w:tc>
          <w:tcPr>
            <w:tcW w:w="851" w:type="dxa"/>
            <w:shd w:val="clear" w:color="auto" w:fill="auto"/>
          </w:tcPr>
          <w:p>
            <w:pPr>
              <w:jc w:val="left"/>
              <w:rPr>
                <w:rFonts w:cs="宋体" w:asciiTheme="minorEastAsia" w:hAnsiTheme="minorEastAsia" w:eastAsiaTheme="minorEastAsia"/>
                <w:color w:val="171717" w:themeColor="background2" w:themeShade="1A"/>
                <w:szCs w:val="21"/>
              </w:rPr>
            </w:pPr>
          </w:p>
        </w:tc>
        <w:tc>
          <w:tcPr>
            <w:tcW w:w="1456" w:type="dxa"/>
            <w:shd w:val="clear" w:color="auto" w:fill="auto"/>
            <w:vAlign w:val="center"/>
          </w:tcPr>
          <w:p>
            <w:pPr>
              <w:rPr>
                <w:rFonts w:cs="宋体" w:asciiTheme="minorEastAsia" w:hAnsiTheme="minorEastAsia" w:eastAsiaTheme="minorEastAsia"/>
                <w:color w:val="171717" w:themeColor="background2" w:themeShade="1A"/>
                <w:szCs w:val="21"/>
              </w:rPr>
            </w:pPr>
          </w:p>
        </w:tc>
        <w:tc>
          <w:tcPr>
            <w:tcW w:w="846" w:type="dxa"/>
            <w:shd w:val="clear" w:color="auto" w:fill="auto"/>
            <w:vAlign w:val="center"/>
          </w:tcPr>
          <w:p>
            <w:pPr>
              <w:jc w:val="right"/>
              <w:rPr>
                <w:rFonts w:cs="宋体" w:asciiTheme="minorEastAsia" w:hAnsiTheme="minorEastAsia" w:eastAsiaTheme="minorEastAsia"/>
                <w:color w:val="171717" w:themeColor="background2" w:themeShade="1A"/>
                <w:szCs w:val="21"/>
              </w:rPr>
            </w:pPr>
          </w:p>
        </w:tc>
        <w:tc>
          <w:tcPr>
            <w:tcW w:w="846" w:type="dxa"/>
            <w:shd w:val="clear" w:color="auto" w:fill="auto"/>
            <w:vAlign w:val="center"/>
          </w:tcPr>
          <w:p>
            <w:pPr>
              <w:jc w:val="right"/>
              <w:rPr>
                <w:rFonts w:cs="宋体" w:asciiTheme="minorEastAsia" w:hAnsiTheme="minorEastAsia" w:eastAsiaTheme="minorEastAsia"/>
                <w:color w:val="171717" w:themeColor="background2" w:themeShade="1A"/>
                <w:szCs w:val="21"/>
              </w:rPr>
            </w:pPr>
          </w:p>
        </w:tc>
        <w:tc>
          <w:tcPr>
            <w:tcW w:w="741" w:type="dxa"/>
            <w:shd w:val="clear" w:color="auto" w:fill="auto"/>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75"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8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51"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1456"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46" w:type="dxa"/>
            <w:shd w:val="clear" w:color="auto" w:fill="auto"/>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c>
          <w:tcPr>
            <w:tcW w:w="846" w:type="dxa"/>
            <w:shd w:val="clear" w:color="auto" w:fill="auto"/>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c>
          <w:tcPr>
            <w:tcW w:w="741" w:type="dxa"/>
            <w:shd w:val="clear" w:color="auto" w:fill="auto"/>
          </w:tcPr>
          <w:p>
            <w:pPr>
              <w:widowControl/>
              <w:spacing w:line="300" w:lineRule="auto"/>
              <w:jc w:val="right"/>
              <w:outlineLvl w:val="1"/>
              <w:rPr>
                <w:rFonts w:asciiTheme="minorEastAsia" w:hAnsiTheme="minorEastAsia" w:eastAsiaTheme="minorEastAsia"/>
                <w:color w:val="171717" w:themeColor="background2" w:themeShade="1A"/>
                <w:kern w:val="0"/>
                <w:szCs w:val="21"/>
              </w:rPr>
            </w:pPr>
          </w:p>
        </w:tc>
        <w:tc>
          <w:tcPr>
            <w:tcW w:w="630"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3"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75"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8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51"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1456"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合计</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573.25</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493.76</w:t>
            </w:r>
          </w:p>
        </w:tc>
        <w:tc>
          <w:tcPr>
            <w:tcW w:w="74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25</w:t>
            </w:r>
          </w:p>
        </w:tc>
        <w:tc>
          <w:tcPr>
            <w:tcW w:w="630" w:type="dxa"/>
            <w:shd w:val="clear" w:color="auto" w:fill="auto"/>
            <w:vAlign w:val="center"/>
          </w:tcPr>
          <w:p>
            <w:pPr>
              <w:jc w:val="right"/>
              <w:rPr>
                <w:rFonts w:cs="宋体" w:asciiTheme="minorEastAsia" w:hAnsiTheme="minorEastAsia" w:eastAsiaTheme="minorEastAsia"/>
                <w:color w:val="171717" w:themeColor="background2" w:themeShade="1A"/>
                <w:szCs w:val="21"/>
              </w:rPr>
            </w:pPr>
          </w:p>
        </w:tc>
        <w:tc>
          <w:tcPr>
            <w:tcW w:w="644"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81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9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457"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p>
        </w:tc>
        <w:tc>
          <w:tcPr>
            <w:tcW w:w="658" w:type="dxa"/>
            <w:shd w:val="clear" w:color="auto" w:fill="auto"/>
          </w:tcPr>
          <w:p>
            <w:pPr>
              <w:widowControl/>
              <w:spacing w:line="300" w:lineRule="auto"/>
              <w:jc w:val="left"/>
              <w:outlineLvl w:val="1"/>
              <w:rPr>
                <w:rFonts w:asciiTheme="minorEastAsia" w:hAnsiTheme="minorEastAsia" w:eastAsiaTheme="minorEastAsia"/>
                <w:color w:val="171717" w:themeColor="background2" w:themeShade="1A"/>
                <w:kern w:val="0"/>
                <w:szCs w:val="21"/>
              </w:rPr>
            </w:pPr>
            <w:r>
              <w:rPr>
                <w:rFonts w:hint="eastAsia" w:ascii="仿宋_GB2312" w:hAnsi="仿宋_GB2312" w:eastAsia="仿宋_GB2312" w:cs="仿宋_GB2312"/>
                <w:color w:val="171717" w:themeColor="background2" w:themeShade="1A"/>
                <w:sz w:val="18"/>
                <w:szCs w:val="18"/>
              </w:rPr>
              <w:t>54.49</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r>
        <w:rPr>
          <w:rFonts w:asciiTheme="minorEastAsia" w:hAnsiTheme="minorEastAsia" w:eastAsiaTheme="minorEastAsia"/>
          <w:b/>
          <w:color w:val="171717" w:themeColor="background2" w:themeShade="1A"/>
          <w:kern w:val="0"/>
          <w:sz w:val="24"/>
        </w:rPr>
        <w:br w:type="page"/>
      </w:r>
    </w:p>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表八：</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一般公共预算“三公”经费支出情况表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bl>
      <w:tblPr>
        <w:tblStyle w:val="13"/>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4.96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4.94</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4.94</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0.02</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widowControl/>
        <w:spacing w:line="300" w:lineRule="auto"/>
        <w:outlineLvl w:val="1"/>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表九：</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政府性基金预算支出情况表</w:t>
      </w:r>
    </w:p>
    <w:p>
      <w:pPr>
        <w:widowControl/>
        <w:spacing w:line="300" w:lineRule="auto"/>
        <w:jc w:val="left"/>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编制部门：中国人民解放军乌鲁木齐市水磨沟区武装部                 单位：万元</w:t>
      </w:r>
    </w:p>
    <w:tbl>
      <w:tblPr>
        <w:tblStyle w:val="13"/>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171717" w:themeColor="background2" w:themeShade="1A"/>
                <w:kern w:val="0"/>
                <w:sz w:val="24"/>
              </w:rPr>
            </w:pPr>
            <w:r>
              <w:rPr>
                <w:rFonts w:hint="eastAsia" w:ascii="仿宋_GB2312" w:hAnsi="仿宋_GB2312" w:eastAsia="仿宋_GB2312" w:cs="仿宋_GB2312"/>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bl>
    <w:p>
      <w:pPr>
        <w:widowControl/>
        <w:spacing w:line="300" w:lineRule="auto"/>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line="560" w:lineRule="exact"/>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 中国人民解放军乌鲁木齐市水磨沟区武装部2016年部门预算情况说明</w:t>
      </w:r>
    </w:p>
    <w:p>
      <w:pPr>
        <w:jc w:val="center"/>
        <w:rPr>
          <w:color w:val="171717" w:themeColor="background2" w:themeShade="1A"/>
        </w:rPr>
      </w:pPr>
    </w:p>
    <w:p>
      <w:pPr>
        <w:widowControl/>
        <w:spacing w:line="560" w:lineRule="exact"/>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2016年部门预算情况说明</w:t>
      </w:r>
    </w:p>
    <w:p>
      <w:pPr>
        <w:widowControl/>
        <w:spacing w:line="560" w:lineRule="exact"/>
        <w:jc w:val="center"/>
        <w:outlineLvl w:val="1"/>
        <w:rPr>
          <w:rFonts w:ascii="黑体" w:hAnsi="黑体" w:eastAsia="黑体"/>
          <w:color w:val="171717" w:themeColor="background2" w:themeShade="1A"/>
          <w:kern w:val="0"/>
          <w:sz w:val="32"/>
          <w:szCs w:val="32"/>
        </w:rPr>
      </w:pP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一、关于中国人民解放军乌鲁木齐市水磨沟区武装部2016年收支预算情况的总体说明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按照全口径预算的原则，中国人民解放军乌鲁木齐市水磨沟区武装部2016年所有收入和支出均纳入部门预算管理。收支总预算761.54万元。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支出预算包括：一般公共服务支出、国防支出、公共安全支出、社会保障和就业支出。</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二、关于中国人民解放军乌鲁木齐市水磨沟区武装部2016年收入预算情况说明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中国人民解放军乌鲁木齐市水磨沟区武装部收入预算761.54万元，其中：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一般公共预算761.54万元，比上年增加301.84万元。</w:t>
      </w:r>
      <w:r>
        <w:rPr>
          <w:rFonts w:hint="eastAsia" w:cs="宋体" w:asciiTheme="minorEastAsia" w:hAnsiTheme="minorEastAsia" w:eastAsiaTheme="minorEastAsia"/>
          <w:color w:val="171717" w:themeColor="background2" w:themeShade="1A"/>
          <w:kern w:val="0"/>
          <w:sz w:val="28"/>
          <w:szCs w:val="28"/>
          <w:lang w:eastAsia="zh-CN"/>
        </w:rPr>
        <w:t>主要是人员工资晋级及养老保险、临时聘用人员经费等。</w:t>
      </w:r>
    </w:p>
    <w:p>
      <w:pPr>
        <w:pStyle w:val="3"/>
        <w:spacing w:before="0" w:line="560" w:lineRule="exact"/>
        <w:ind w:firstLine="640" w:firstLineChars="200"/>
        <w:rPr>
          <w:rFonts w:ascii="黑体" w:hAnsi="黑体" w:eastAsia="黑体" w:cs="黑体"/>
          <w:b w:val="0"/>
          <w:bCs w:val="0"/>
          <w:color w:val="171717" w:themeColor="background2" w:themeShade="1A"/>
          <w:sz w:val="32"/>
        </w:rPr>
      </w:pPr>
      <w:bookmarkStart w:id="0" w:name="_GoBack"/>
      <w:bookmarkEnd w:id="0"/>
      <w:r>
        <w:rPr>
          <w:rFonts w:hint="eastAsia" w:ascii="黑体" w:hAnsi="黑体" w:eastAsia="黑体" w:cs="黑体"/>
          <w:b w:val="0"/>
          <w:bCs w:val="0"/>
          <w:color w:val="171717" w:themeColor="background2" w:themeShade="1A"/>
          <w:sz w:val="32"/>
        </w:rPr>
        <w:t>三、关于中国人民解放军乌鲁木齐市水磨沟区武装部单位2016年支出预算情况说明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中国人民解放军乌鲁木齐市水磨沟区武装部单位2016年支出预算761.54万元，其中：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基本支出188.29万元，比上年增加57.72万元。</w:t>
      </w:r>
      <w:r>
        <w:rPr>
          <w:rFonts w:hint="eastAsia" w:cs="宋体" w:asciiTheme="minorEastAsia" w:hAnsiTheme="minorEastAsia" w:eastAsiaTheme="minorEastAsia"/>
          <w:color w:val="171717" w:themeColor="background2" w:themeShade="1A"/>
          <w:kern w:val="0"/>
          <w:sz w:val="28"/>
          <w:szCs w:val="28"/>
          <w:lang w:eastAsia="zh-CN"/>
        </w:rPr>
        <w:t>主要是人员工资晋级及养老保险等。</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项目支出573.25万元，比上年增加244.12万元。</w:t>
      </w:r>
      <w:r>
        <w:rPr>
          <w:rFonts w:hint="eastAsia" w:cs="宋体" w:asciiTheme="minorEastAsia" w:hAnsiTheme="minorEastAsia" w:eastAsiaTheme="minorEastAsia"/>
          <w:color w:val="171717" w:themeColor="background2" w:themeShade="1A"/>
          <w:kern w:val="0"/>
          <w:sz w:val="28"/>
          <w:szCs w:val="28"/>
          <w:lang w:eastAsia="zh-CN"/>
        </w:rPr>
        <w:t>主要是临时聘用人员经费。</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四、关于中国人民解放军乌鲁木齐市水磨沟区武装部2016年财政拨款收支预算情况的总体说明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财政拨款收支总预算761.54万元。</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五、关于中国人民解放军乌鲁木齐市水磨沟区武装部2016年一般公共预算基本支出情况说明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中国人民解放军乌鲁木齐市水磨沟区武装部2016年一般公共预算基本支出188.29万元，其中：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人员经费152.44万元，主要包括：基本工资、津贴补贴、奖金、其他社会保障缴费、伙食补助费、绩效工资、机关事业单位基本养老保险缴费、住房公积金、其他工资福利支出。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35.85万元，主要包括：办公费、奖励金、其他对个人和家庭的补助支出、办公费、办公费、水费、电费、邮电费、公务用车运行维护费、差旅费、维修(护)费(含其他维修)、培训费、公务接待费、工会经费、福利费、其他商品服务支出。</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六、关于中国人民解放军乌鲁木齐市水磨沟区武装部2016年一般公共预算项目支出情况说明</w:t>
      </w:r>
    </w:p>
    <w:p>
      <w:pPr>
        <w:widowControl/>
        <w:spacing w:line="560" w:lineRule="exact"/>
        <w:ind w:firstLine="562" w:firstLineChars="200"/>
        <w:jc w:val="left"/>
        <w:rPr>
          <w:rFonts w:asciiTheme="minorEastAsia" w:hAnsiTheme="minorEastAsia" w:eastAsiaTheme="minorEastAsia" w:cstheme="minorEastAsia"/>
          <w:b/>
          <w:color w:val="171717" w:themeColor="background2" w:themeShade="1A"/>
          <w:sz w:val="28"/>
          <w:szCs w:val="28"/>
        </w:rPr>
      </w:pPr>
      <w:r>
        <w:rPr>
          <w:rFonts w:hint="eastAsia" w:asciiTheme="minorEastAsia" w:hAnsiTheme="minorEastAsia" w:eastAsiaTheme="minorEastAsia" w:cs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项目名称：民兵预备役武器集中管理维护费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设立的政策依据：维护费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预算安排规模：10万元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资金分配情况：10万元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300" w:lineRule="auto"/>
        <w:ind w:firstLine="640"/>
        <w:jc w:val="left"/>
        <w:rPr>
          <w:rFonts w:asciiTheme="minorEastAsia" w:hAnsiTheme="minorEastAsia" w:eastAsiaTheme="minorEastAsia"/>
          <w:color w:val="171717" w:themeColor="background2" w:themeShade="1A"/>
          <w:sz w:val="24"/>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项目名称：民兵预备役部队军事训练经费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设立的政策依据：军事训练经费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预算安排规模：15万元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资金分配情况：15万元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项目名称：车辆租赁经费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设立的政策依据：车辆租赁经费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预算安排规模：29.49万元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资金分配情况：29.49万元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项目名称：特勤分队应急值守经费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设立的政策依据：值守经费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预算安排规模：20万元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资金分配情况：20万元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项目名称：民兵特勤分队装备更新经费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设立的政策依据：装备更新经费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预算安排规模：5万元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资金分配情况：5万元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300" w:lineRule="auto"/>
        <w:jc w:val="left"/>
        <w:rPr>
          <w:rFonts w:asciiTheme="minorEastAsia" w:hAnsiTheme="minorEastAsia" w:eastAsiaTheme="minorEastAsia"/>
          <w:color w:val="171717" w:themeColor="background2" w:themeShade="1A"/>
          <w:sz w:val="24"/>
        </w:rPr>
      </w:pPr>
    </w:p>
    <w:p>
      <w:pPr>
        <w:widowControl/>
        <w:spacing w:line="560" w:lineRule="exact"/>
        <w:ind w:firstLine="562" w:firstLineChars="200"/>
        <w:jc w:val="left"/>
        <w:rPr>
          <w:rFonts w:asciiTheme="minorEastAsia" w:hAnsiTheme="minorEastAsia" w:eastAsiaTheme="minorEastAsia" w:cstheme="minorEastAsia"/>
          <w:b/>
          <w:color w:val="171717" w:themeColor="background2" w:themeShade="1A"/>
          <w:sz w:val="28"/>
          <w:szCs w:val="28"/>
        </w:rPr>
      </w:pPr>
      <w:r>
        <w:rPr>
          <w:rFonts w:hint="eastAsia" w:asciiTheme="minorEastAsia" w:hAnsiTheme="minorEastAsia" w:eastAsiaTheme="minorEastAsia" w:cstheme="minorEastAsia"/>
          <w:b/>
          <w:color w:val="171717" w:themeColor="background2" w:themeShade="1A"/>
          <w:sz w:val="28"/>
          <w:szCs w:val="28"/>
        </w:rPr>
        <w:t>情况二：（属于对个人补贴的项目支出按下列内容说明）</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项目名称：民兵特勤分队伙食费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设立的政策依据：民兵伙食费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预算安排规模：48万元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资金分配情况：48万元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资金来源：财政拨款</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补贴人数：80人</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补贴标准：800元/月/人</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补贴范围：民兵特勤分队</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补贴方式：打卡</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发放程序：考勤发放</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受益人群和社会效益：</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项目名称：2016年临时聘用人员经费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设立的政策依据：临时聘用人员经费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预算安排规模：445.76万元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项目承担单位：中国人民解放军乌鲁木齐市水磨沟区武装部</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资金分配情况：445.76万元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资金来源：财政拨款</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补贴人数：80人</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补贴标准：4643.33元/月/人</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补贴范围：临时聘用人员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补贴方式：打卡</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发放程序：考勤发放</w:t>
      </w:r>
    </w:p>
    <w:p>
      <w:pPr>
        <w:widowControl/>
        <w:tabs>
          <w:tab w:val="left" w:pos="5637"/>
        </w:tabs>
        <w:spacing w:line="560" w:lineRule="exact"/>
        <w:ind w:firstLine="560" w:firstLineChars="200"/>
        <w:jc w:val="left"/>
        <w:rPr>
          <w:rFonts w:asciiTheme="minorEastAsia" w:hAnsiTheme="minorEastAsia" w:eastAsiaTheme="minorEastAsia" w:cstheme="minorEastAsia"/>
          <w:color w:val="171717" w:themeColor="background2" w:themeShade="1A"/>
          <w:kern w:val="0"/>
          <w:sz w:val="28"/>
          <w:szCs w:val="28"/>
        </w:rPr>
      </w:pPr>
      <w:r>
        <w:rPr>
          <w:rFonts w:hint="eastAsia" w:asciiTheme="minorEastAsia" w:hAnsiTheme="minorEastAsia" w:eastAsiaTheme="minorEastAsia" w:cstheme="minorEastAsia"/>
          <w:color w:val="171717" w:themeColor="background2" w:themeShade="1A"/>
          <w:kern w:val="0"/>
          <w:sz w:val="28"/>
          <w:szCs w:val="28"/>
        </w:rPr>
        <w:t>受益人群和社会效益：</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七、关于中国人民解放军乌鲁木齐市水磨沟区武装部2016年一般公共预算“三公”经费预算情况说明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中国人民解放军乌鲁木齐市水磨沟区武装部2016年“三公”经费财政拨款预算数为4.96万元，其中：因公出国（境）费0万元，公务用车购置0万元，公务用车运行费4.94万元，公务接待费0.02万元。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2016年“三公”经费财政拨款预算比上年增加0万元，其中：因公出国（境）费增和公务用车购置费未安排预算。公务用车运行费与上年持平；公务接待费增加0万元。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八、关于中国人民解放军乌鲁木齐市水磨沟区武装部2016年政府性基金预算拨款情况说明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中国人民解放军乌鲁木齐市水磨沟区武装部2016年没有使用政府性基金预算拨款安排的支出，政府性基金预算支出情况表为空表。</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spacing w:line="560" w:lineRule="exact"/>
        <w:ind w:firstLine="643"/>
        <w:rPr>
          <w:rFonts w:ascii="楷体" w:hAnsi="楷体" w:eastAsia="楷体" w:cs="楷体"/>
          <w:color w:val="171717" w:themeColor="background2" w:themeShade="1A"/>
          <w:sz w:val="32"/>
        </w:rPr>
      </w:pPr>
      <w:r>
        <w:rPr>
          <w:rFonts w:hint="eastAsia" w:ascii="楷体" w:hAnsi="楷体" w:eastAsia="楷体" w:cs="楷体"/>
          <w:color w:val="17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2016年度本部门面向中小企业预留政府采购项目预算金额0万元，其中：面向小微企业预留政府采购项目预算金额0万元。</w:t>
      </w:r>
    </w:p>
    <w:p>
      <w:pPr>
        <w:pStyle w:val="4"/>
        <w:spacing w:line="560" w:lineRule="exact"/>
        <w:ind w:firstLine="643"/>
        <w:rPr>
          <w:rFonts w:ascii="楷体" w:hAnsi="楷体" w:eastAsia="楷体" w:cs="楷体"/>
          <w:color w:val="171717" w:themeColor="background2" w:themeShade="1A"/>
          <w:sz w:val="32"/>
        </w:rPr>
      </w:pPr>
      <w:r>
        <w:rPr>
          <w:rFonts w:hint="eastAsia" w:ascii="楷体" w:hAnsi="楷体" w:eastAsia="楷体" w:cs="楷体"/>
          <w:color w:val="17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截至2015年底，中国人民解放军乌鲁木齐市水磨沟区武装部及下属各预算单位占用使用国有资产总体情况为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1.房屋1,039.43平方米，价值165.17万元。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2.车辆3辆，价值59.32万元；其中：一般公务用车0辆，价值0万元；执法执勤用车1辆，价值18.98万元；其他执法执勤车辆2辆，价值40.34万元。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3.其他资产价值（含办公家具）18.98万元。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2016年部门预算未安排购置车辆经费（或安排购置车辆经费0万元），安排购置50万元以上大型设备0台（套），单位价值100万元以上大型设备0台（套）。</w:t>
      </w:r>
    </w:p>
    <w:p>
      <w:pPr>
        <w:pStyle w:val="4"/>
        <w:ind w:firstLine="562"/>
        <w:rPr>
          <w:color w:val="171717" w:themeColor="background2" w:themeShade="1A"/>
        </w:rPr>
      </w:pPr>
      <w:r>
        <w:rPr>
          <w:rFonts w:hint="eastAsia"/>
          <w:color w:val="171717" w:themeColor="background2" w:themeShade="1A"/>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2016年度，本年度实行绩效管理的项目0个，涉及预算金额0万元。具体情况见下表（按项目分别填报）：</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spacing w:line="300" w:lineRule="auto"/>
        <w:jc w:val="center"/>
        <w:rPr>
          <w:rFonts w:ascii="仿宋_GB2312" w:eastAsia="仿宋_GB2312" w:cs="宋体" w:hAnsiTheme="minorEastAsia"/>
          <w:b/>
          <w:color w:val="171717" w:themeColor="background2" w:themeShade="1A"/>
          <w:kern w:val="0"/>
          <w:sz w:val="36"/>
          <w:szCs w:val="36"/>
        </w:rPr>
      </w:pPr>
      <w:r>
        <w:rPr>
          <w:rFonts w:hint="eastAsia" w:ascii="仿宋_GB2312" w:eastAsia="仿宋_GB2312" w:cs="宋体" w:hAnsiTheme="min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478"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397"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bl>
    <w:p>
      <w:pPr>
        <w:widowControl/>
        <w:spacing w:line="560" w:lineRule="exact"/>
        <w:ind w:firstLine="630" w:firstLineChars="196"/>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480" w:firstLineChars="200"/>
        <w:jc w:val="left"/>
        <w:rPr>
          <w:rFonts w:cs="宋体" w:asciiTheme="minorEastAsia" w:hAnsiTheme="minorEastAsia" w:eastAsiaTheme="minorEastAsia"/>
          <w:color w:val="171717" w:themeColor="background2" w:themeShade="1A"/>
          <w:kern w:val="0"/>
          <w:sz w:val="24"/>
        </w:rPr>
      </w:pPr>
      <w:r>
        <w:rPr>
          <w:rFonts w:hint="eastAsia" w:cs="宋体" w:asciiTheme="minorEastAsia" w:hAnsiTheme="minorEastAsia" w:eastAsiaTheme="minorEastAsia"/>
          <w:color w:val="171717" w:themeColor="background2" w:themeShade="1A"/>
          <w:kern w:val="0"/>
          <w:sz w:val="24"/>
        </w:rPr>
        <w:t>……</w:t>
      </w:r>
    </w:p>
    <w:p>
      <w:pPr>
        <w:widowControl/>
        <w:spacing w:line="560" w:lineRule="exact"/>
        <w:ind w:firstLine="480" w:firstLineChars="200"/>
        <w:jc w:val="left"/>
        <w:rPr>
          <w:rFonts w:cs="宋体" w:asciiTheme="minorEastAsia" w:hAnsiTheme="minorEastAsia" w:eastAsiaTheme="minorEastAsia"/>
          <w:color w:val="171717" w:themeColor="background2" w:themeShade="1A"/>
          <w:kern w:val="0"/>
          <w:sz w:val="24"/>
        </w:rPr>
      </w:pPr>
    </w:p>
    <w:p>
      <w:pPr>
        <w:pStyle w:val="2"/>
        <w:spacing w:before="435"/>
        <w:rPr>
          <w:rFonts w:ascii="黑体" w:hAnsi="黑体" w:eastAsia="黑体"/>
          <w:b w:val="0"/>
          <w:color w:val="171717" w:themeColor="background2" w:themeShade="1A"/>
        </w:rPr>
      </w:pPr>
      <w:r>
        <w:rPr>
          <w:rFonts w:hint="eastAsia" w:ascii="黑体" w:hAnsi="黑体" w:eastAsia="黑体"/>
          <w:b w:val="0"/>
          <w:color w:val="171717" w:themeColor="background2" w:themeShade="1A"/>
        </w:rPr>
        <w:t>第四部分  名词解释</w:t>
      </w:r>
    </w:p>
    <w:p>
      <w:pPr>
        <w:widowControl/>
        <w:spacing w:line="300" w:lineRule="auto"/>
        <w:ind w:firstLine="64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中国人民解放军乌鲁木齐市水磨沟区武装部</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w:t>
      </w:r>
      <w:r>
        <w:rPr>
          <w:rFonts w:hint="eastAsia" w:ascii="仿宋_GB2312" w:eastAsia="仿宋_GB2312" w:hAnsiTheme="minorEastAsia"/>
          <w:color w:val="171717" w:themeColor="background2" w:themeShade="1A"/>
          <w:sz w:val="32"/>
          <w:szCs w:val="32"/>
          <w:lang w:val="en-US" w:eastAsia="zh-CN"/>
        </w:rPr>
        <w:t>8</w:t>
      </w:r>
      <w:r>
        <w:rPr>
          <w:rFonts w:hint="eastAsia" w:ascii="仿宋_GB2312" w:eastAsia="仿宋_GB2312" w:hAnsiTheme="minorEastAsia"/>
          <w:color w:val="171717" w:themeColor="background2" w:themeShade="1A"/>
          <w:sz w:val="32"/>
          <w:szCs w:val="32"/>
        </w:rPr>
        <w:t>年</w:t>
      </w:r>
      <w:r>
        <w:rPr>
          <w:rFonts w:hint="eastAsia" w:ascii="仿宋_GB2312" w:eastAsia="仿宋_GB2312" w:hAnsiTheme="minorEastAsia"/>
          <w:color w:val="171717" w:themeColor="background2" w:themeShade="1A"/>
          <w:sz w:val="32"/>
          <w:szCs w:val="32"/>
          <w:lang w:val="en-US" w:eastAsia="zh-CN"/>
        </w:rPr>
        <w:t>1</w:t>
      </w:r>
      <w:r>
        <w:rPr>
          <w:rFonts w:hint="eastAsia" w:ascii="仿宋_GB2312" w:eastAsia="仿宋_GB2312" w:hAnsiTheme="minorEastAsia"/>
          <w:color w:val="171717" w:themeColor="background2" w:themeShade="1A"/>
          <w:sz w:val="32"/>
          <w:szCs w:val="32"/>
        </w:rPr>
        <w:t>2月</w:t>
      </w:r>
      <w:r>
        <w:rPr>
          <w:rFonts w:hint="eastAsia" w:ascii="仿宋_GB2312" w:eastAsia="仿宋_GB2312" w:hAnsiTheme="minorEastAsia"/>
          <w:color w:val="171717" w:themeColor="background2" w:themeShade="1A"/>
          <w:sz w:val="32"/>
          <w:szCs w:val="32"/>
          <w:lang w:val="en-US" w:eastAsia="zh-CN"/>
        </w:rPr>
        <w:t>16</w:t>
      </w:r>
      <w:r>
        <w:rPr>
          <w:rFonts w:hint="eastAsia" w:ascii="仿宋_GB2312" w:eastAsia="仿宋_GB2312" w:hAnsiTheme="minorEastAsia"/>
          <w:color w:val="171717" w:themeColor="background2" w:themeShade="1A"/>
          <w:sz w:val="32"/>
          <w:szCs w:val="32"/>
        </w:rPr>
        <w:t>日</w:t>
      </w:r>
    </w:p>
    <w:p>
      <w:pPr>
        <w:widowControl/>
        <w:spacing w:line="300" w:lineRule="auto"/>
        <w:jc w:val="left"/>
        <w:rPr>
          <w:rFonts w:asciiTheme="minorEastAsia" w:hAnsiTheme="minorEastAsia" w:eastAsiaTheme="minorEastAsia"/>
          <w:color w:val="171717" w:themeColor="background2" w:themeShade="1A"/>
          <w:sz w:val="24"/>
        </w:rPr>
      </w:pP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23</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08B7"/>
    <w:rsid w:val="00015A9E"/>
    <w:rsid w:val="000308E1"/>
    <w:rsid w:val="000362CF"/>
    <w:rsid w:val="0007710D"/>
    <w:rsid w:val="00077521"/>
    <w:rsid w:val="000E05C6"/>
    <w:rsid w:val="0017426B"/>
    <w:rsid w:val="00174E2E"/>
    <w:rsid w:val="001B55E3"/>
    <w:rsid w:val="001C0EAC"/>
    <w:rsid w:val="001D6963"/>
    <w:rsid w:val="002126FB"/>
    <w:rsid w:val="002268A6"/>
    <w:rsid w:val="00256FD0"/>
    <w:rsid w:val="002657BA"/>
    <w:rsid w:val="00282398"/>
    <w:rsid w:val="002C0DA7"/>
    <w:rsid w:val="002D108E"/>
    <w:rsid w:val="002E727D"/>
    <w:rsid w:val="003152CE"/>
    <w:rsid w:val="00322422"/>
    <w:rsid w:val="003E3C50"/>
    <w:rsid w:val="003F6C48"/>
    <w:rsid w:val="00426977"/>
    <w:rsid w:val="004279DB"/>
    <w:rsid w:val="00447FC8"/>
    <w:rsid w:val="00452484"/>
    <w:rsid w:val="0047254E"/>
    <w:rsid w:val="00472D3C"/>
    <w:rsid w:val="004A51A5"/>
    <w:rsid w:val="004B622C"/>
    <w:rsid w:val="004C2FB3"/>
    <w:rsid w:val="005057E6"/>
    <w:rsid w:val="00515C4A"/>
    <w:rsid w:val="005849A3"/>
    <w:rsid w:val="005860CB"/>
    <w:rsid w:val="005F3E37"/>
    <w:rsid w:val="0064433B"/>
    <w:rsid w:val="00693733"/>
    <w:rsid w:val="006A758D"/>
    <w:rsid w:val="007105F3"/>
    <w:rsid w:val="00721972"/>
    <w:rsid w:val="00753FCD"/>
    <w:rsid w:val="00773CD6"/>
    <w:rsid w:val="007B6889"/>
    <w:rsid w:val="007D0047"/>
    <w:rsid w:val="007E0480"/>
    <w:rsid w:val="007E1E68"/>
    <w:rsid w:val="008152E0"/>
    <w:rsid w:val="0085368D"/>
    <w:rsid w:val="008A3863"/>
    <w:rsid w:val="008B39E1"/>
    <w:rsid w:val="008E3EE0"/>
    <w:rsid w:val="00925C2E"/>
    <w:rsid w:val="00931660"/>
    <w:rsid w:val="00943708"/>
    <w:rsid w:val="0095347F"/>
    <w:rsid w:val="00963F41"/>
    <w:rsid w:val="009B3890"/>
    <w:rsid w:val="009B55F7"/>
    <w:rsid w:val="009B748C"/>
    <w:rsid w:val="00A124B2"/>
    <w:rsid w:val="00A34ADB"/>
    <w:rsid w:val="00A541F8"/>
    <w:rsid w:val="00A83DB8"/>
    <w:rsid w:val="00AC7A86"/>
    <w:rsid w:val="00AD081D"/>
    <w:rsid w:val="00AE323D"/>
    <w:rsid w:val="00B359ED"/>
    <w:rsid w:val="00B3604A"/>
    <w:rsid w:val="00B5013E"/>
    <w:rsid w:val="00B5483B"/>
    <w:rsid w:val="00BA09B1"/>
    <w:rsid w:val="00BB15C1"/>
    <w:rsid w:val="00BD5383"/>
    <w:rsid w:val="00C00BF0"/>
    <w:rsid w:val="00C06D27"/>
    <w:rsid w:val="00C30940"/>
    <w:rsid w:val="00C62507"/>
    <w:rsid w:val="00C73331"/>
    <w:rsid w:val="00C82B8D"/>
    <w:rsid w:val="00D113E3"/>
    <w:rsid w:val="00D231BC"/>
    <w:rsid w:val="00DA3881"/>
    <w:rsid w:val="00DD27A7"/>
    <w:rsid w:val="00DD7A23"/>
    <w:rsid w:val="00E11CB6"/>
    <w:rsid w:val="00E50607"/>
    <w:rsid w:val="00F874A1"/>
    <w:rsid w:val="00FA6D5B"/>
    <w:rsid w:val="00FB2E24"/>
    <w:rsid w:val="00FB7693"/>
    <w:rsid w:val="00FC40B0"/>
    <w:rsid w:val="012356B1"/>
    <w:rsid w:val="02BF6F1C"/>
    <w:rsid w:val="034A1D45"/>
    <w:rsid w:val="0416512A"/>
    <w:rsid w:val="04970E0D"/>
    <w:rsid w:val="06543235"/>
    <w:rsid w:val="088256E9"/>
    <w:rsid w:val="0BF41D94"/>
    <w:rsid w:val="0BFB538C"/>
    <w:rsid w:val="0C1D4994"/>
    <w:rsid w:val="0C42025F"/>
    <w:rsid w:val="0D8C22DC"/>
    <w:rsid w:val="0E2B0A42"/>
    <w:rsid w:val="0EF05E7E"/>
    <w:rsid w:val="0F1403BF"/>
    <w:rsid w:val="10103DE8"/>
    <w:rsid w:val="124229D8"/>
    <w:rsid w:val="152776C7"/>
    <w:rsid w:val="167B5F60"/>
    <w:rsid w:val="169C75D1"/>
    <w:rsid w:val="18B711B7"/>
    <w:rsid w:val="19D10EEC"/>
    <w:rsid w:val="1CEA3F33"/>
    <w:rsid w:val="1DEB5A0C"/>
    <w:rsid w:val="20725FC9"/>
    <w:rsid w:val="20AD1022"/>
    <w:rsid w:val="226D181E"/>
    <w:rsid w:val="251F62BC"/>
    <w:rsid w:val="26A64C28"/>
    <w:rsid w:val="26F63BF4"/>
    <w:rsid w:val="27585322"/>
    <w:rsid w:val="287D22E2"/>
    <w:rsid w:val="28A70237"/>
    <w:rsid w:val="28AA7E09"/>
    <w:rsid w:val="29A316C7"/>
    <w:rsid w:val="2A4B3E0F"/>
    <w:rsid w:val="2AAF3517"/>
    <w:rsid w:val="2B15376C"/>
    <w:rsid w:val="2B467AC5"/>
    <w:rsid w:val="2CE220AB"/>
    <w:rsid w:val="2D1122A6"/>
    <w:rsid w:val="2F244D23"/>
    <w:rsid w:val="31D36718"/>
    <w:rsid w:val="3242018E"/>
    <w:rsid w:val="32531588"/>
    <w:rsid w:val="34197690"/>
    <w:rsid w:val="34A64077"/>
    <w:rsid w:val="34B80457"/>
    <w:rsid w:val="37A43A03"/>
    <w:rsid w:val="383D2CD1"/>
    <w:rsid w:val="39FC0716"/>
    <w:rsid w:val="3A706927"/>
    <w:rsid w:val="3E311438"/>
    <w:rsid w:val="3E6503B7"/>
    <w:rsid w:val="3F5F5C7B"/>
    <w:rsid w:val="3FD555FA"/>
    <w:rsid w:val="40945236"/>
    <w:rsid w:val="422539A6"/>
    <w:rsid w:val="42D46A95"/>
    <w:rsid w:val="4304027B"/>
    <w:rsid w:val="4359544F"/>
    <w:rsid w:val="45B40FCD"/>
    <w:rsid w:val="45EF4BA7"/>
    <w:rsid w:val="463552D7"/>
    <w:rsid w:val="475F05CE"/>
    <w:rsid w:val="47BE39CD"/>
    <w:rsid w:val="50475B4E"/>
    <w:rsid w:val="514450A6"/>
    <w:rsid w:val="51E03FE7"/>
    <w:rsid w:val="536D52CA"/>
    <w:rsid w:val="59EA5096"/>
    <w:rsid w:val="5D6A0C2E"/>
    <w:rsid w:val="600A1C3C"/>
    <w:rsid w:val="60656EF7"/>
    <w:rsid w:val="650A0E75"/>
    <w:rsid w:val="675E19B7"/>
    <w:rsid w:val="67950D20"/>
    <w:rsid w:val="684E649C"/>
    <w:rsid w:val="68EC755D"/>
    <w:rsid w:val="6B8973FC"/>
    <w:rsid w:val="6D98754C"/>
    <w:rsid w:val="6DE36D56"/>
    <w:rsid w:val="6EAB1CC5"/>
    <w:rsid w:val="6ED223ED"/>
    <w:rsid w:val="70386559"/>
    <w:rsid w:val="71454F10"/>
    <w:rsid w:val="7369294B"/>
    <w:rsid w:val="73725862"/>
    <w:rsid w:val="73E65949"/>
    <w:rsid w:val="743A3ADD"/>
    <w:rsid w:val="75EC7C0A"/>
    <w:rsid w:val="79C64A7A"/>
    <w:rsid w:val="7A3C70CD"/>
    <w:rsid w:val="7CCE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1341</Words>
  <Characters>7646</Characters>
  <Lines>63</Lines>
  <Paragraphs>17</Paragraphs>
  <TotalTime>0</TotalTime>
  <ScaleCrop>false</ScaleCrop>
  <LinksUpToDate>false</LinksUpToDate>
  <CharactersWithSpaces>8970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2018-12-14T06:16:00Z</dcterms:created>
  <dc:creator>Administrator</dc:creator>
  <cp:lastModifiedBy>zx</cp:lastModifiedBy>
  <cp:lastPrinted>2018-12-14T06:16:00Z</cp:lastPrinted>
  <dcterms:modified xsi:type="dcterms:W3CDTF">2018-12-16T19:13:53Z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