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黑体" w:hAnsi="黑体" w:eastAsia="黑体"/>
          <w:color w:val="171717" w:themeColor="background2" w:themeShade="1A"/>
          <w:sz w:val="32"/>
          <w:szCs w:val="32"/>
        </w:rPr>
      </w:pPr>
      <w:r>
        <w:rPr>
          <w:rFonts w:hint="eastAsia" w:ascii="黑体" w:hAnsi="黑体" w:eastAsia="黑体"/>
          <w:color w:val="171717" w:themeColor="background2" w:themeShade="1A"/>
          <w:sz w:val="32"/>
          <w:szCs w:val="32"/>
        </w:rPr>
        <w:t>附件：</w:t>
      </w: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p>
    <w:p>
      <w:pPr>
        <w:widowControl/>
        <w:spacing w:before="100" w:beforeAutospacing="1" w:after="100" w:afterAutospacing="1"/>
        <w:ind w:firstLine="64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乌鲁木齐市水磨沟区文化体育旅游局(乌鲁木齐市水磨沟区新闻出版和版权局)2016年预算公开</w:t>
      </w:r>
    </w:p>
    <w:p>
      <w:pPr>
        <w:widowControl/>
        <w:spacing w:line="460" w:lineRule="exact"/>
        <w:ind w:firstLine="0" w:firstLineChars="0"/>
        <w:outlineLvl w:val="1"/>
        <w:rPr>
          <w:rFonts w:ascii="宋体" w:hAnsi="宋体"/>
          <w:color w:val="171717" w:themeColor="background2" w:themeShade="1A"/>
          <w:kern w:val="0"/>
          <w:sz w:val="44"/>
          <w:szCs w:val="44"/>
        </w:rPr>
      </w:pPr>
    </w:p>
    <w:p>
      <w:pPr>
        <w:widowControl/>
        <w:spacing w:line="460" w:lineRule="exact"/>
        <w:ind w:firstLine="0" w:firstLineChars="0"/>
        <w:outlineLvl w:val="1"/>
        <w:rPr>
          <w:rFonts w:ascii="宋体" w:hAnsi="宋体"/>
          <w:color w:val="171717" w:themeColor="background2" w:themeShade="1A"/>
          <w:kern w:val="0"/>
          <w:sz w:val="44"/>
          <w:szCs w:val="44"/>
        </w:rPr>
      </w:pPr>
    </w:p>
    <w:p>
      <w:pPr>
        <w:widowControl/>
        <w:spacing w:line="460" w:lineRule="exact"/>
        <w:ind w:firstLine="0" w:firstLineChars="0"/>
        <w:outlineLvl w:val="1"/>
        <w:rPr>
          <w:rFonts w:ascii="宋体" w:hAnsi="宋体"/>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宋体" w:hAnsi="宋体"/>
          <w:b/>
          <w:color w:val="171717" w:themeColor="background2" w:themeShade="1A"/>
          <w:kern w:val="0"/>
          <w:sz w:val="44"/>
          <w:szCs w:val="44"/>
        </w:rPr>
      </w:pPr>
    </w:p>
    <w:p>
      <w:pPr>
        <w:widowControl/>
        <w:spacing w:line="460" w:lineRule="exact"/>
        <w:ind w:firstLine="0" w:firstLineChars="0"/>
        <w:outlineLvl w:val="1"/>
        <w:rPr>
          <w:rFonts w:ascii="仿宋_GB2312" w:hAnsi="宋体" w:eastAsia="仿宋_GB2312"/>
          <w:color w:val="171717" w:themeColor="background2" w:themeShade="1A"/>
          <w:kern w:val="0"/>
          <w:sz w:val="32"/>
          <w:szCs w:val="32"/>
        </w:rPr>
      </w:pPr>
    </w:p>
    <w:p>
      <w:pPr>
        <w:widowControl/>
        <w:spacing w:line="460" w:lineRule="exact"/>
        <w:ind w:firstLine="0" w:firstLineChars="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ind w:firstLine="0" w:firstLineChars="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ind w:firstLine="0" w:firstLineChars="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ind w:firstLine="0" w:firstLineChars="0"/>
        <w:outlineLvl w:val="1"/>
        <w:rPr>
          <w:rFonts w:ascii="宋体" w:hAnsi="宋体"/>
          <w:b/>
          <w:color w:val="171717" w:themeColor="background2" w:themeShade="1A"/>
          <w:kern w:val="0"/>
          <w:sz w:val="44"/>
          <w:szCs w:val="44"/>
        </w:rPr>
      </w:pPr>
    </w:p>
    <w:p>
      <w:pPr>
        <w:widowControl/>
        <w:spacing w:before="100" w:beforeAutospacing="1" w:after="100" w:afterAutospacing="1"/>
        <w:ind w:firstLine="0" w:firstLineChars="0"/>
        <w:outlineLvl w:val="1"/>
        <w:rPr>
          <w:rFonts w:ascii="宋体" w:hAnsi="宋体"/>
          <w:b/>
          <w:color w:val="171717" w:themeColor="background2" w:themeShade="1A"/>
          <w:kern w:val="0"/>
          <w:sz w:val="44"/>
          <w:szCs w:val="44"/>
        </w:rPr>
      </w:pPr>
    </w:p>
    <w:p>
      <w:pPr>
        <w:widowControl/>
        <w:spacing w:before="100" w:beforeAutospacing="1" w:after="100" w:afterAutospacing="1"/>
        <w:ind w:firstLine="0" w:firstLineChars="0"/>
        <w:outlineLvl w:val="1"/>
        <w:rPr>
          <w:rFonts w:ascii="宋体" w:hAnsi="宋体"/>
          <w:b/>
          <w:color w:val="171717" w:themeColor="background2" w:themeShade="1A"/>
          <w:kern w:val="0"/>
          <w:sz w:val="44"/>
          <w:szCs w:val="44"/>
        </w:rPr>
      </w:pPr>
    </w:p>
    <w:p>
      <w:pPr>
        <w:widowControl/>
        <w:spacing w:line="500" w:lineRule="exact"/>
        <w:ind w:firstLine="64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目录</w:t>
      </w:r>
    </w:p>
    <w:p>
      <w:pPr>
        <w:widowControl/>
        <w:spacing w:line="500" w:lineRule="exact"/>
        <w:ind w:firstLine="640"/>
        <w:jc w:val="center"/>
        <w:outlineLvl w:val="1"/>
        <w:rPr>
          <w:rFonts w:ascii="黑体" w:hAnsi="黑体" w:eastAsia="黑体"/>
          <w:color w:val="171717" w:themeColor="background2" w:themeShade="1A"/>
          <w:kern w:val="0"/>
          <w:sz w:val="32"/>
          <w:szCs w:val="32"/>
        </w:rPr>
      </w:pP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乌鲁木齐市水磨沟区文化体育旅游局(乌鲁木齐市水磨沟区新闻出版和版权局)部门单位概况</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乌鲁木齐市水磨沟区文化体育旅游局(乌鲁木齐市水磨沟区新闻出版和版权局)2016年部门预算公开表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乌鲁木齐市水磨沟区文化体育旅游局(乌鲁木齐市水磨沟区新闻出版和版权局)2016年部门预算情况说明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一、关于乌鲁木齐市水磨沟区文化体育旅游局(乌鲁木齐市水磨沟区新闻出版和版权局)2016年收支预算情况的总体说明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二、关于乌鲁木齐市水磨沟区文化体育旅游局(乌鲁木齐市水磨沟区新闻出版和版权局)2016年收入预算情况说明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三、关于乌鲁木齐市水磨沟区文化体育旅游局(乌鲁木齐市水磨沟区新闻出版和版权局)2016年支出预算情况说明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四、关于乌鲁木齐市水磨沟区文化体育旅游局(乌鲁木齐市水磨沟区新闻出版和版权局)2016年财政拨款收支预算情况的总体说明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五、关于乌鲁木齐市水磨沟区文化体育旅游局(乌鲁木齐市水磨沟区新闻出版和版权局)2016年一般公共预算当年拨款情况说明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六、关于乌鲁木齐市水磨沟区文化体育旅游局(乌鲁木齐市水磨沟区新闻出版和版权局)2016年一般公共预算基本支出情况说明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七、关于乌鲁木齐市水磨沟区文化体育旅游局(乌鲁木齐市水磨沟区新闻出版和版权局)2016年项目支出情况说明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八、关于乌鲁木齐市水磨沟区文化体育旅游局(乌鲁木齐市水磨沟区新闻出版和版权局)2016年一般公共预算“三公”经费预算情况说明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九、关于乌鲁木齐市水磨沟区文化体育旅游局(乌鲁木齐市水磨沟区新闻出版和版权局)2016年政府性基金预算拨款情况说明</w:t>
      </w:r>
    </w:p>
    <w:p>
      <w:pPr>
        <w:widowControl/>
        <w:spacing w:line="240" w:lineRule="auto"/>
        <w:ind w:firstLine="0" w:firstLineChars="0"/>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spacing w:line="240" w:lineRule="auto"/>
        <w:ind w:firstLine="0" w:firstLineChars="0"/>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widowControl/>
        <w:ind w:firstLine="0" w:firstLineChars="0"/>
        <w:rPr>
          <w:rFonts w:asciiTheme="minorEastAsia" w:hAnsiTheme="minorEastAsia"/>
          <w:b/>
          <w:color w:val="171717" w:themeColor="background2" w:themeShade="1A"/>
          <w:kern w:val="0"/>
          <w:sz w:val="22"/>
          <w:szCs w:val="22"/>
        </w:rPr>
      </w:pPr>
    </w:p>
    <w:p>
      <w:pPr>
        <w:pStyle w:val="2"/>
        <w:spacing w:before="240"/>
        <w:ind w:firstLine="640"/>
        <w:rPr>
          <w:rFonts w:ascii="黑体" w:hAnsi="黑体" w:eastAsia="黑体"/>
          <w:b w:val="0"/>
          <w:color w:val="171717" w:themeColor="background2" w:themeShade="1A"/>
        </w:rPr>
      </w:pPr>
      <w:r>
        <w:rPr>
          <w:rFonts w:hint="eastAsia" w:ascii="黑体" w:hAnsi="黑体" w:eastAsia="黑体"/>
          <w:b w:val="0"/>
          <w:color w:val="171717" w:themeColor="background2" w:themeShade="1A"/>
        </w:rPr>
        <w:t>第一部分  乌鲁木齐市水磨沟区文化体育旅游局(乌鲁木齐市水磨沟区新闻出版和版权局)部门单位概况</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一）贯彻执行国家、自治区和乌鲁木齐市有关文化事业、文化产业、新闻出版和版权、广播电视、体育、旅游工作的方针、政策和法律、法规；组织编制有关文化事业、文化产业、新闻出版和版权、广播电视、体育、旅游工作发展中长期规划和年度计划，并组织实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（二）推进文化体制改革；指导、管理全区文化事业发展；规划相关公共文化产品生产和公共文化服务体系建设；指导基层文化建设，协调各类公益性文化活动。</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（三）拟订全区文化遗产保护规划，组织实施文化遗产的管理、保护、抢救、发掘、研究、宣传以及开发利用等工作；组织实施全区非物质文化遗产保护和优秀民族文化的传承普及工作。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四）指导、管理全区文艺作品的创作、生产与演出，重点扶持优秀文艺作品；保护、挖掘、弘扬各民族传统优秀文化艺术，推动各门类艺术发展；组织、管理全区重大文化活动和艺术演出活动；组织开展文化交流与合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（五）推动相关文化产业建设与发展，推进文化产业项目实施。</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六）承担全区文化市场管理的主体责任，对文化市场经营活动进行行业监管；负责网络文化经营的许可、举办营业性演出的许可、娱乐场所经营的审核、设立文艺表演团体的行政审批、个体演员、个体演出经纪人的备案、演出场所经营单位的备案。</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（七）负责权限内文化类民办非企业的行业监管。</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（八）负责对出版物市场和印刷行业的经营活动进行监督管理；负责著作权管理、保护工作；负责权限内出版物、从事出版物零售业务、印刷、音像制品经营的许可。</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（九）组织实施文化市场稽查工作。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（十）推进体育公共服务和体育体制改革，推动体育服务体系建设。</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（十一）组织实施全民健身计划，监督实施国家体育锻炼标准，开展国民体质监测；负责组织开展和指导全区群众体育活动，推动体育社会化；负责社会体育指导队伍建设工作。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（十二）拟订全区竞技体育发展规划和运动项目的布局规划，指导协调体育训练和体育竞赛；负责组织参加和承办体育竞赛活动；指导体育运动队伍建设，协调运动员社会保障工作;         负责经营高危险性体育项目许可（含“权限内从事涉及人身安全和社会公共安全的特殊体育项目经营活动的审批”）。</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（十三）培育和发展体育市场，规范体育经营活动；参与拟订体育设施布局规划，负责全区体育产业发展和公共体育设施建设管理工作；负责临时占用为市民提供无偿服务的体育公共设施的审批。</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（十四）指导和推进青少年体育工作；开展对外体育合作与交流，指导民间体育交流活动；指导体育科技研究及其成果的推广应用。</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（十五）拟订全区旅游市场开发战略，组织旅游整体形象的对外宣传活动，指导重要旅游产品的开发及推广工作；引导旅游产业的社会投资工作。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六）组织全区旅游资源的普查、规划、开发和相关保护工作，负责旅游景区开发建设和保护规划的相关审核工作；指导旅游基础设施建设；承担特种旅游、红色旅游、特色旅游等旅游项目的规划及相关管理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（十七）负责权限内旅游星级饭店、A级景区（点）、S级滑雪场和星级农家乐等级评定工作。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（十八）承担规范旅游市场秩序、监督管理服务质量、维护旅游消费者和经营者合法权益的责任；规范旅游企业和从业人员的经营和服务行为；负责旅游企业的日常管理。</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（十九）综合协调全区旅游安全和应急救援工作。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（二十）负责全区旅游统计及行业信息发布，推进旅游信息化建设工作；指导旅游对外交流与合作。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（二十一）组织实施全区广播电视事业发展和改革；把握正确的舆论导向和创作导向，做好广播电视宣传管理工作。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（二十二）负责城乡广播电视公共服务体系建设；组织实施广播电视基础设施建设工作；负责广播电视“村村通”覆盖、维护、管理工作；组织、指导社区和农村公益电影放映工作。</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（二十三）负责指导、协调全区广播电视产业发展；管理重大广播电视活动。</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十四）负责行政区域内广播电视行业监管工作；负责对从事广播影视节目制作的民办机构进行监管；负责广播电视传输覆盖网的工程竣工的验收；负责对信息网络视听节目（包括影视类音像制品的网上播放）服务和公共视听载体播放节目的业务监管；负责乡镇有线广播电视站的审核和日常监管；负责电影放映单位设立、变更业务范围或者兼并、合并、分立审批和日常监管；负责建立城市社区有线电视系统审批和规范播放的日常监管。</w:t>
      </w:r>
    </w:p>
    <w:p>
      <w:pPr>
        <w:spacing w:line="560" w:lineRule="atLeas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（二十五）负责广播电视技术和卫星地面接收设施管理，监督管理广播电视的安全播出。</w:t>
      </w:r>
    </w:p>
    <w:p>
      <w:pPr>
        <w:spacing w:line="560" w:lineRule="atLeast"/>
        <w:ind w:firstLine="560"/>
        <w:rPr>
          <w:rFonts w:ascii="仿宋_GB2312" w:hAnsi="宋体" w:eastAsia="仿宋_GB2312" w:cs="宋体"/>
          <w:bCs/>
          <w:color w:val="171717" w:themeColor="background2" w:themeShade="1A"/>
          <w:kern w:val="0"/>
          <w:sz w:val="28"/>
          <w:szCs w:val="28"/>
        </w:rPr>
      </w:pPr>
      <w:r>
        <w:rPr>
          <w:rFonts w:hint="eastAsia" w:asciiTheme="minorEastAsia" w:hAnsiTheme="minorEastAsia"/>
          <w:color w:val="171717" w:themeColor="background2" w:themeShade="1A"/>
          <w:sz w:val="28"/>
          <w:szCs w:val="28"/>
        </w:rPr>
        <w:t>（二十六）承办区委、区人民政府交办的其他事项。</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根据职责，纳入新疆乌鲁木齐市水磨沟区文化体育旅游局(乌鲁木齐市水磨沟区新闻出版和版权局)单位2015年部门决算编制范围的有关机关内设的1个机构，1个行政单位，0个参照公务员管理的事业单位，0个全额拨款事业单位。新疆乌鲁木齐市水磨沟区文化体育旅游局(乌鲁木齐市水磨沟区新闻出版和版权局)单位编制人数45人，其中：行政人员编制5人，参照公务员管理的事业单位人员编制15人，全额拨款事业单位人员编制25人。新疆乌鲁木齐市水磨沟区文化体育旅游局(乌鲁木齐市水磨沟区新闻出版和版权局)单位实有在职人数40人，其中：行政在职人员6人，参照公务员管理的事业单位在职人员14人，全额拨款事业单位在职人员20人。离退休人员0人，其中：离休人员0人，退休人员0人。</w:t>
      </w:r>
    </w:p>
    <w:p>
      <w:pPr>
        <w:pStyle w:val="2"/>
        <w:spacing w:before="240"/>
        <w:ind w:firstLine="640"/>
        <w:rPr>
          <w:rFonts w:ascii="黑体" w:hAnsi="黑体" w:eastAsia="黑体"/>
          <w:b w:val="0"/>
          <w:color w:val="171717" w:themeColor="background2" w:themeShade="1A"/>
          <w:kern w:val="0"/>
          <w:szCs w:val="32"/>
        </w:rPr>
      </w:pPr>
      <w:r>
        <w:rPr>
          <w:rFonts w:hint="eastAsia" w:ascii="黑体" w:hAnsi="黑体" w:eastAsia="黑体"/>
          <w:b w:val="0"/>
          <w:color w:val="171717" w:themeColor="background2" w:themeShade="1A"/>
          <w:kern w:val="0"/>
          <w:szCs w:val="32"/>
        </w:rPr>
        <w:t xml:space="preserve">第二部分  </w:t>
      </w:r>
      <w:r>
        <w:rPr>
          <w:rFonts w:hint="eastAsia" w:ascii="黑体" w:hAnsi="黑体" w:eastAsia="黑体"/>
          <w:b w:val="0"/>
          <w:color w:val="171717" w:themeColor="background2" w:themeShade="1A"/>
        </w:rPr>
        <w:t>乌鲁木齐市水磨沟区文化体育旅游局(乌鲁木齐市水磨沟区新闻出版和版权局)2016年</w:t>
      </w:r>
      <w:r>
        <w:rPr>
          <w:rFonts w:hint="eastAsia" w:ascii="黑体" w:hAnsi="黑体" w:eastAsia="黑体"/>
          <w:b w:val="0"/>
          <w:color w:val="171717" w:themeColor="background2" w:themeShade="1A"/>
          <w:kern w:val="0"/>
          <w:szCs w:val="32"/>
        </w:rPr>
        <w:t>部门预算公开表</w:t>
      </w:r>
    </w:p>
    <w:p>
      <w:pPr>
        <w:widowControl/>
        <w:spacing w:beforeLines="50"/>
        <w:ind w:firstLine="643"/>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ind w:firstLine="643"/>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ind w:firstLine="199" w:firstLineChars="83"/>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 xml:space="preserve">乌鲁木齐市水磨沟区文化体育旅游局(乌鲁木齐市水磨沟区新闻出版和版权局)  </w:t>
      </w:r>
      <w:r>
        <w:rPr>
          <w:rFonts w:hint="eastAsia" w:ascii="仿宋_GB2312" w:eastAsia="仿宋_GB2312" w:hAnsiTheme="minorEastAsia"/>
          <w:color w:val="171717" w:themeColor="background2" w:themeShade="1A"/>
          <w:kern w:val="0"/>
        </w:rPr>
        <w:t xml:space="preserve">             单位：万元</w:t>
      </w:r>
    </w:p>
    <w:tbl>
      <w:tblPr>
        <w:tblStyle w:val="13"/>
        <w:tblW w:w="8662" w:type="dxa"/>
        <w:jc w:val="center"/>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jc w:val="center"/>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1,768.72</w:t>
            </w: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1,768.72</w:t>
            </w: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1481.79</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286.93</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1768.72</w:t>
            </w:r>
          </w:p>
        </w:tc>
        <w:tc>
          <w:tcPr>
            <w:tcW w:w="2693" w:type="dxa"/>
            <w:tcBorders>
              <w:top w:val="nil"/>
              <w:left w:val="nil"/>
              <w:bottom w:val="single" w:color="auto" w:sz="4" w:space="0"/>
              <w:right w:val="nil"/>
            </w:tcBorders>
            <w:shd w:val="clear" w:color="auto" w:fill="auto"/>
            <w:noWrap/>
            <w:vAlign w:val="center"/>
          </w:tcPr>
          <w:p>
            <w:pPr>
              <w:widowControl/>
              <w:spacing w:line="300" w:lineRule="exact"/>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1768.72</w:t>
            </w:r>
          </w:p>
        </w:tc>
      </w:tr>
    </w:tbl>
    <w:p>
      <w:pPr>
        <w:widowControl/>
        <w:ind w:firstLine="0" w:firstLineChars="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ind w:firstLine="643"/>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部门收入总体情况表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bl>
      <w:tblPr>
        <w:tblStyle w:val="13"/>
        <w:tblW w:w="8976" w:type="dxa"/>
        <w:jc w:val="center"/>
        <w:tblInd w:w="0" w:type="dxa"/>
        <w:tblLayout w:type="fixed"/>
        <w:tblCellMar>
          <w:top w:w="0" w:type="dxa"/>
          <w:left w:w="108" w:type="dxa"/>
          <w:bottom w:w="0" w:type="dxa"/>
          <w:right w:w="108" w:type="dxa"/>
        </w:tblCellMar>
      </w:tblPr>
      <w:tblGrid>
        <w:gridCol w:w="534"/>
        <w:gridCol w:w="429"/>
        <w:gridCol w:w="429"/>
        <w:gridCol w:w="1632"/>
        <w:gridCol w:w="936"/>
        <w:gridCol w:w="93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6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总计</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632"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ind w:firstLine="0" w:firstLineChars="0"/>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行政运行（文化）</w:t>
            </w:r>
          </w:p>
        </w:tc>
        <w:tc>
          <w:tcPr>
            <w:tcW w:w="936"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191.74</w:t>
            </w:r>
          </w:p>
        </w:tc>
        <w:tc>
          <w:tcPr>
            <w:tcW w:w="936"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191.74</w:t>
            </w: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493.38</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493.38</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其他文化体育与传媒支出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510</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510</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05</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其他旅游业管理与服务支出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200</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200</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07</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01</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w:t>
            </w:r>
            <w:r>
              <w:rPr>
                <w:rFonts w:ascii="仿宋_GB2312" w:eastAsia="仿宋_GB2312" w:cs="宋体" w:hAnsiTheme="minorEastAsia"/>
                <w:color w:val="171717" w:themeColor="background2" w:themeShade="1A"/>
                <w:sz w:val="18"/>
                <w:szCs w:val="18"/>
              </w:rPr>
              <w:t>9</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群众文化</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286.67</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286.67</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16</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05</w:t>
            </w: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01</w:t>
            </w: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行政运行（旅游业管理与服务支出）出）</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86.93</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86.93</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429"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1632"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1,768.72</w:t>
            </w:r>
          </w:p>
        </w:tc>
        <w:tc>
          <w:tcPr>
            <w:tcW w:w="936"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1,768.72</w:t>
            </w: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r>
    </w:tbl>
    <w:p>
      <w:pPr>
        <w:widowControl/>
        <w:ind w:firstLine="0" w:firstLineChars="0"/>
        <w:outlineLvl w:val="1"/>
        <w:rPr>
          <w:rFonts w:ascii="仿宋_GB2312" w:hAnsi="宋体" w:eastAsia="仿宋_GB2312"/>
          <w:color w:val="171717" w:themeColor="background2" w:themeShade="1A"/>
          <w:kern w:val="0"/>
          <w:sz w:val="28"/>
          <w:szCs w:val="28"/>
        </w:rPr>
      </w:pPr>
    </w:p>
    <w:p>
      <w:pPr>
        <w:widowControl/>
        <w:ind w:firstLine="643"/>
        <w:outlineLvl w:val="1"/>
        <w:rPr>
          <w:rFonts w:ascii="仿宋_GB2312" w:eastAsia="仿宋_GB2312" w:hAnsiTheme="minorEastAsia"/>
          <w:b/>
          <w:color w:val="171717" w:themeColor="background2" w:themeShade="1A"/>
          <w:kern w:val="0"/>
          <w:sz w:val="32"/>
          <w:szCs w:val="32"/>
        </w:rPr>
      </w:pPr>
    </w:p>
    <w:p>
      <w:pPr>
        <w:widowControl/>
        <w:ind w:firstLine="643"/>
        <w:outlineLvl w:val="1"/>
        <w:rPr>
          <w:rFonts w:ascii="仿宋_GB2312" w:eastAsia="仿宋_GB2312" w:hAnsiTheme="minorEastAsia"/>
          <w:b/>
          <w:color w:val="171717" w:themeColor="background2" w:themeShade="1A"/>
          <w:kern w:val="0"/>
          <w:sz w:val="32"/>
          <w:szCs w:val="32"/>
        </w:rPr>
      </w:pPr>
    </w:p>
    <w:p>
      <w:pPr>
        <w:widowControl/>
        <w:ind w:firstLine="643"/>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ind w:firstLine="643"/>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bl>
      <w:tblPr>
        <w:tblStyle w:val="13"/>
        <w:tblW w:w="9229" w:type="dxa"/>
        <w:jc w:val="center"/>
        <w:tblInd w:w="0" w:type="dxa"/>
        <w:tblLayout w:type="fixed"/>
        <w:tblCellMar>
          <w:top w:w="0" w:type="dxa"/>
          <w:left w:w="108" w:type="dxa"/>
          <w:bottom w:w="0" w:type="dxa"/>
          <w:right w:w="108" w:type="dxa"/>
        </w:tblCellMar>
      </w:tblPr>
      <w:tblGrid>
        <w:gridCol w:w="531"/>
        <w:gridCol w:w="427"/>
        <w:gridCol w:w="427"/>
        <w:gridCol w:w="2544"/>
        <w:gridCol w:w="1812"/>
        <w:gridCol w:w="1813"/>
        <w:gridCol w:w="1675"/>
      </w:tblGrid>
      <w:tr>
        <w:tblPrEx>
          <w:tblLayout w:type="fixed"/>
          <w:tblCellMar>
            <w:top w:w="0" w:type="dxa"/>
            <w:left w:w="108" w:type="dxa"/>
            <w:bottom w:w="0" w:type="dxa"/>
            <w:right w:w="108" w:type="dxa"/>
          </w:tblCellMar>
        </w:tblPrEx>
        <w:trPr>
          <w:trHeight w:val="345" w:hRule="atLeast"/>
          <w:jc w:val="center"/>
        </w:trPr>
        <w:tc>
          <w:tcPr>
            <w:tcW w:w="3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300"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812"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813"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2"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3"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675"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2544"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行政运行（文化）</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191.74</w:t>
            </w:r>
          </w:p>
        </w:tc>
        <w:tc>
          <w:tcPr>
            <w:tcW w:w="1813"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191.74</w:t>
            </w:r>
          </w:p>
        </w:tc>
        <w:tc>
          <w:tcPr>
            <w:tcW w:w="1675"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44"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493.38</w:t>
            </w: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hAnsiTheme="minorEastAsia"/>
                <w:color w:val="171717" w:themeColor="background2" w:themeShade="1A"/>
                <w:sz w:val="18"/>
                <w:szCs w:val="18"/>
              </w:rPr>
              <w:t>493.38</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44"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其他文化体育与传媒支出</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510.</w:t>
            </w: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0</w:t>
            </w: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hAnsiTheme="minorEastAsia"/>
                <w:color w:val="171717" w:themeColor="background2" w:themeShade="1A"/>
                <w:sz w:val="18"/>
                <w:szCs w:val="18"/>
              </w:rPr>
              <w:t>510.00</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05</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44"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其他旅游业管理与服务支出</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200.00</w:t>
            </w: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hAnsiTheme="minorEastAsia"/>
                <w:color w:val="171717" w:themeColor="background2" w:themeShade="1A"/>
                <w:sz w:val="18"/>
                <w:szCs w:val="18"/>
              </w:rPr>
              <w:t>200.00</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07</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01</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w:t>
            </w:r>
            <w:r>
              <w:rPr>
                <w:rFonts w:ascii="仿宋_GB2312" w:eastAsia="仿宋_GB2312" w:cs="宋体" w:hAnsiTheme="minorEastAsia"/>
                <w:color w:val="171717" w:themeColor="background2" w:themeShade="1A"/>
                <w:sz w:val="18"/>
                <w:szCs w:val="18"/>
              </w:rPr>
              <w:t>9</w:t>
            </w:r>
          </w:p>
        </w:tc>
        <w:tc>
          <w:tcPr>
            <w:tcW w:w="2544"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群众文化</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286.67</w:t>
            </w: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286.67</w:t>
            </w: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16</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05</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01</w:t>
            </w:r>
          </w:p>
        </w:tc>
        <w:tc>
          <w:tcPr>
            <w:tcW w:w="2544"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行政运行（旅游业管理与服务支出）出）</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86.93</w:t>
            </w: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86.93</w:t>
            </w: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4"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4"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4"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2544"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Cs/>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44"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81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13"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75"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4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81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1,768.72</w:t>
            </w:r>
          </w:p>
        </w:tc>
        <w:tc>
          <w:tcPr>
            <w:tcW w:w="1813"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565.34</w:t>
            </w:r>
          </w:p>
        </w:tc>
        <w:tc>
          <w:tcPr>
            <w:tcW w:w="1675"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1,203.38</w:t>
            </w:r>
          </w:p>
        </w:tc>
      </w:tr>
    </w:tbl>
    <w:p>
      <w:pPr>
        <w:widowControl/>
        <w:tabs>
          <w:tab w:val="left" w:pos="7183"/>
        </w:tabs>
        <w:spacing w:beforeLines="50"/>
        <w:ind w:firstLine="643"/>
        <w:outlineLvl w:val="1"/>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tab/>
      </w:r>
    </w:p>
    <w:p>
      <w:pPr>
        <w:widowControl/>
        <w:spacing w:beforeLines="50"/>
        <w:ind w:firstLine="643"/>
        <w:outlineLvl w:val="1"/>
        <w:rPr>
          <w:rFonts w:ascii="仿宋_GB2312" w:hAnsi="宋体" w:eastAsia="仿宋_GB2312"/>
          <w:b/>
          <w:color w:val="171717" w:themeColor="background2" w:themeShade="1A"/>
          <w:kern w:val="0"/>
          <w:sz w:val="32"/>
          <w:szCs w:val="32"/>
        </w:rPr>
      </w:pPr>
    </w:p>
    <w:p>
      <w:pPr>
        <w:widowControl/>
        <w:spacing w:beforeLines="50"/>
        <w:ind w:firstLine="643"/>
        <w:outlineLvl w:val="1"/>
        <w:rPr>
          <w:rFonts w:ascii="仿宋_GB2312" w:hAnsi="宋体" w:eastAsia="仿宋_GB2312"/>
          <w:b/>
          <w:color w:val="171717" w:themeColor="background2" w:themeShade="1A"/>
          <w:kern w:val="0"/>
          <w:sz w:val="32"/>
          <w:szCs w:val="32"/>
        </w:rPr>
      </w:pPr>
    </w:p>
    <w:p>
      <w:pPr>
        <w:widowControl/>
        <w:spacing w:beforeLines="50"/>
        <w:ind w:firstLine="643"/>
        <w:outlineLvl w:val="1"/>
        <w:rPr>
          <w:rFonts w:ascii="仿宋_GB2312" w:hAnsi="宋体" w:eastAsia="仿宋_GB2312"/>
          <w:b/>
          <w:color w:val="171717" w:themeColor="background2" w:themeShade="1A"/>
          <w:kern w:val="0"/>
          <w:sz w:val="32"/>
          <w:szCs w:val="32"/>
        </w:rPr>
      </w:pPr>
    </w:p>
    <w:p>
      <w:pPr>
        <w:widowControl/>
        <w:spacing w:beforeLines="50"/>
        <w:ind w:firstLine="643"/>
        <w:outlineLvl w:val="1"/>
        <w:rPr>
          <w:rFonts w:ascii="仿宋_GB2312" w:hAnsi="宋体" w:eastAsia="仿宋_GB2312"/>
          <w:b/>
          <w:color w:val="171717" w:themeColor="background2" w:themeShade="1A"/>
          <w:kern w:val="0"/>
          <w:sz w:val="32"/>
          <w:szCs w:val="32"/>
        </w:rPr>
      </w:pPr>
    </w:p>
    <w:p>
      <w:pPr>
        <w:widowControl/>
        <w:spacing w:beforeLines="50"/>
        <w:ind w:firstLine="643"/>
        <w:outlineLvl w:val="1"/>
        <w:rPr>
          <w:rFonts w:ascii="仿宋_GB2312" w:hAnsi="宋体" w:eastAsia="仿宋_GB2312"/>
          <w:b/>
          <w:color w:val="171717" w:themeColor="background2" w:themeShade="1A"/>
          <w:kern w:val="0"/>
          <w:sz w:val="32"/>
          <w:szCs w:val="32"/>
        </w:rPr>
      </w:pPr>
    </w:p>
    <w:p>
      <w:pPr>
        <w:widowControl/>
        <w:spacing w:beforeLines="50"/>
        <w:ind w:firstLine="643"/>
        <w:outlineLvl w:val="1"/>
        <w:rPr>
          <w:rFonts w:ascii="仿宋_GB2312" w:hAnsi="宋体" w:eastAsia="仿宋_GB2312"/>
          <w:b/>
          <w:color w:val="171717" w:themeColor="background2" w:themeShade="1A"/>
          <w:kern w:val="0"/>
          <w:sz w:val="32"/>
          <w:szCs w:val="32"/>
        </w:rPr>
      </w:pPr>
    </w:p>
    <w:p>
      <w:pPr>
        <w:widowControl/>
        <w:spacing w:beforeLines="50"/>
        <w:ind w:firstLine="0" w:firstLineChars="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Lines="50"/>
        <w:ind w:firstLine="643"/>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财政拨款收支预算总体情况表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w:t>
      </w:r>
      <w:r>
        <w:rPr>
          <w:rFonts w:ascii="仿宋_GB2312" w:eastAsia="仿宋_GB2312" w:hAnsiTheme="minorEastAsia"/>
          <w:color w:val="171717" w:themeColor="background2" w:themeShade="1A"/>
          <w:kern w:val="0"/>
        </w:rPr>
        <w:t xml:space="preserve">                               </w:t>
      </w:r>
      <w:r>
        <w:rPr>
          <w:rFonts w:hint="eastAsia" w:ascii="仿宋_GB2312" w:eastAsia="仿宋_GB2312" w:hAnsiTheme="minorEastAsia"/>
          <w:color w:val="171717" w:themeColor="background2" w:themeShade="1A"/>
          <w:kern w:val="0"/>
        </w:rPr>
        <w:t xml:space="preserve">  单位：万元</w:t>
      </w:r>
    </w:p>
    <w:tbl>
      <w:tblPr>
        <w:tblStyle w:val="13"/>
        <w:tblW w:w="9229" w:type="dxa"/>
        <w:jc w:val="center"/>
        <w:tblInd w:w="0" w:type="dxa"/>
        <w:tblLayout w:type="fixed"/>
        <w:tblCellMar>
          <w:top w:w="0" w:type="dxa"/>
          <w:left w:w="108" w:type="dxa"/>
          <w:bottom w:w="0" w:type="dxa"/>
          <w:right w:w="108" w:type="dxa"/>
        </w:tblCellMar>
      </w:tblPr>
      <w:tblGrid>
        <w:gridCol w:w="1858"/>
        <w:gridCol w:w="992"/>
        <w:gridCol w:w="2410"/>
        <w:gridCol w:w="113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992"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41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1,768.72</w:t>
            </w: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hAnsiTheme="minorEastAsia"/>
                <w:color w:val="171717" w:themeColor="background2" w:themeShade="1A"/>
                <w:sz w:val="18"/>
                <w:szCs w:val="18"/>
              </w:rPr>
              <w:t>1,768.72</w:t>
            </w: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9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1481.79</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1481.79</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286.93</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286.93</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bottom"/>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992"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9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1,768.72</w:t>
            </w:r>
          </w:p>
        </w:tc>
        <w:tc>
          <w:tcPr>
            <w:tcW w:w="2410"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13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1,768.72</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ascii="仿宋_GB2312" w:eastAsia="仿宋_GB2312" w:cs="宋体" w:hAnsiTheme="minorEastAsia"/>
                <w:color w:val="171717" w:themeColor="background2" w:themeShade="1A"/>
                <w:kern w:val="0"/>
                <w:sz w:val="18"/>
                <w:szCs w:val="18"/>
              </w:rPr>
              <w:t>1,768.72</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bl>
    <w:p>
      <w:pPr>
        <w:widowControl/>
        <w:ind w:firstLine="640"/>
        <w:outlineLvl w:val="1"/>
        <w:rPr>
          <w:rFonts w:ascii="仿宋_GB2312" w:hAnsi="宋体" w:eastAsia="仿宋_GB2312"/>
          <w:color w:val="171717" w:themeColor="background2" w:themeShade="1A"/>
          <w:kern w:val="0"/>
          <w:sz w:val="32"/>
          <w:szCs w:val="32"/>
        </w:rPr>
      </w:pPr>
    </w:p>
    <w:p>
      <w:pPr>
        <w:widowControl/>
        <w:ind w:firstLine="643"/>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089" w:type="dxa"/>
        <w:jc w:val="center"/>
        <w:tblInd w:w="0" w:type="dxa"/>
        <w:tblLayout w:type="fixed"/>
        <w:tblCellMar>
          <w:top w:w="0" w:type="dxa"/>
          <w:left w:w="108" w:type="dxa"/>
          <w:bottom w:w="0" w:type="dxa"/>
          <w:right w:w="108" w:type="dxa"/>
        </w:tblCellMar>
      </w:tblPr>
      <w:tblGrid>
        <w:gridCol w:w="531"/>
        <w:gridCol w:w="492"/>
        <w:gridCol w:w="427"/>
        <w:gridCol w:w="2503"/>
        <w:gridCol w:w="1684"/>
        <w:gridCol w:w="1828"/>
        <w:gridCol w:w="1624"/>
      </w:tblGrid>
      <w:tr>
        <w:tblPrEx>
          <w:tblLayout w:type="fixed"/>
          <w:tblCellMar>
            <w:top w:w="0" w:type="dxa"/>
            <w:left w:w="108" w:type="dxa"/>
            <w:bottom w:w="0" w:type="dxa"/>
            <w:right w:w="108" w:type="dxa"/>
          </w:tblCellMar>
        </w:tblPrEx>
        <w:trPr>
          <w:trHeight w:val="450" w:hRule="atLeast"/>
          <w:jc w:val="center"/>
        </w:trPr>
        <w:tc>
          <w:tcPr>
            <w:tcW w:w="9089" w:type="dxa"/>
            <w:gridSpan w:val="7"/>
            <w:tcBorders>
              <w:top w:val="nil"/>
              <w:left w:val="nil"/>
              <w:bottom w:val="nil"/>
              <w:right w:val="nil"/>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ind w:firstLine="0" w:firstLineChars="0"/>
              <w:outlineLvl w:val="1"/>
              <w:rPr>
                <w:rFonts w:ascii="仿宋_GB2312" w:eastAsia="仿宋_GB2312" w:hAnsiTheme="minorEastAsia"/>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c>
      </w:tr>
      <w:tr>
        <w:tblPrEx>
          <w:tblLayout w:type="fixed"/>
          <w:tblCellMar>
            <w:top w:w="0" w:type="dxa"/>
            <w:left w:w="108" w:type="dxa"/>
            <w:bottom w:w="0" w:type="dxa"/>
            <w:right w:w="108" w:type="dxa"/>
          </w:tblCellMar>
        </w:tblPrEx>
        <w:trPr>
          <w:trHeight w:val="405" w:hRule="atLeast"/>
          <w:jc w:val="center"/>
        </w:trPr>
        <w:tc>
          <w:tcPr>
            <w:tcW w:w="395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36"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03"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24"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03"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624"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行政运行（文化）</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191.74</w:t>
            </w:r>
          </w:p>
        </w:tc>
        <w:tc>
          <w:tcPr>
            <w:tcW w:w="1828"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191.74</w:t>
            </w:r>
          </w:p>
        </w:tc>
        <w:tc>
          <w:tcPr>
            <w:tcW w:w="162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493.38</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hAnsiTheme="minorEastAsia"/>
                <w:color w:val="171717" w:themeColor="background2" w:themeShade="1A"/>
                <w:sz w:val="18"/>
                <w:szCs w:val="18"/>
              </w:rPr>
              <w:t>493.38</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其他文化体育与传媒支出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510.</w:t>
            </w: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0</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hAnsiTheme="minorEastAsia"/>
                <w:color w:val="171717" w:themeColor="background2" w:themeShade="1A"/>
                <w:sz w:val="18"/>
                <w:szCs w:val="18"/>
              </w:rPr>
              <w:t>510.00</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216</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05</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其他旅游业管理与服务支出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200.00</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hAnsiTheme="minorEastAsia"/>
                <w:color w:val="171717" w:themeColor="background2" w:themeShade="1A"/>
                <w:sz w:val="18"/>
                <w:szCs w:val="18"/>
              </w:rPr>
              <w:t>200.00</w:t>
            </w:r>
          </w:p>
        </w:tc>
      </w:tr>
      <w:tr>
        <w:tblPrEx>
          <w:tblLayout w:type="fixed"/>
          <w:tblCellMar>
            <w:top w:w="0" w:type="dxa"/>
            <w:left w:w="108" w:type="dxa"/>
            <w:bottom w:w="0" w:type="dxa"/>
            <w:right w:w="108" w:type="dxa"/>
          </w:tblCellMar>
        </w:tblPrEx>
        <w:trPr>
          <w:trHeight w:val="651"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07</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01</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0</w:t>
            </w:r>
            <w:r>
              <w:rPr>
                <w:rFonts w:ascii="仿宋_GB2312" w:eastAsia="仿宋_GB2312" w:cs="宋体" w:hAnsiTheme="minorEastAsia"/>
                <w:color w:val="171717" w:themeColor="background2" w:themeShade="1A"/>
                <w:sz w:val="18"/>
                <w:szCs w:val="18"/>
              </w:rPr>
              <w:t>9</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群众文化</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286.67</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286.67</w:t>
            </w: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w:t>
            </w:r>
            <w:r>
              <w:rPr>
                <w:rFonts w:ascii="仿宋_GB2312" w:eastAsia="仿宋_GB2312" w:cs="宋体" w:hAnsiTheme="minorEastAsia"/>
                <w:color w:val="171717" w:themeColor="background2" w:themeShade="1A"/>
                <w:sz w:val="18"/>
                <w:szCs w:val="18"/>
              </w:rPr>
              <w:t>16</w:t>
            </w:r>
          </w:p>
        </w:tc>
        <w:tc>
          <w:tcPr>
            <w:tcW w:w="492"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05</w:t>
            </w:r>
          </w:p>
        </w:tc>
        <w:tc>
          <w:tcPr>
            <w:tcW w:w="427"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01</w:t>
            </w:r>
          </w:p>
        </w:tc>
        <w:tc>
          <w:tcPr>
            <w:tcW w:w="2503" w:type="dxa"/>
            <w:tcBorders>
              <w:top w:val="nil"/>
              <w:left w:val="nil"/>
              <w:bottom w:val="single" w:color="auto" w:sz="4" w:space="0"/>
              <w:right w:val="single" w:color="auto" w:sz="4" w:space="0"/>
            </w:tcBorders>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行政运行（旅游业管理与服务支出）出）</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86.93</w:t>
            </w: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r>
              <w:rPr>
                <w:rFonts w:ascii="仿宋_GB2312" w:eastAsia="仿宋_GB2312" w:cs="宋体" w:hAnsiTheme="minorEastAsia"/>
                <w:color w:val="171717" w:themeColor="background2" w:themeShade="1A"/>
                <w:sz w:val="18"/>
                <w:szCs w:val="18"/>
              </w:rPr>
              <w:t>86.93</w:t>
            </w: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82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624"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50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cs="宋体" w:hAnsiTheme="minorEastAsia"/>
                <w:color w:val="171717" w:themeColor="background2" w:themeShade="1A"/>
                <w:sz w:val="18"/>
                <w:szCs w:val="18"/>
              </w:rPr>
              <w:t>1,768.72</w:t>
            </w:r>
          </w:p>
        </w:tc>
        <w:tc>
          <w:tcPr>
            <w:tcW w:w="1828"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565.34</w:t>
            </w:r>
          </w:p>
        </w:tc>
        <w:tc>
          <w:tcPr>
            <w:tcW w:w="1624"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1,203.38</w:t>
            </w:r>
          </w:p>
        </w:tc>
      </w:tr>
    </w:tbl>
    <w:p>
      <w:pPr>
        <w:widowControl/>
        <w:ind w:firstLine="643"/>
        <w:outlineLvl w:val="1"/>
        <w:rPr>
          <w:rFonts w:ascii="仿宋_GB2312" w:hAnsi="宋体" w:eastAsia="仿宋_GB2312"/>
          <w:b/>
          <w:color w:val="171717" w:themeColor="background2" w:themeShade="1A"/>
          <w:kern w:val="0"/>
          <w:sz w:val="32"/>
          <w:szCs w:val="32"/>
        </w:rPr>
      </w:pPr>
    </w:p>
    <w:p>
      <w:pPr>
        <w:widowControl/>
        <w:ind w:firstLine="643"/>
        <w:outlineLvl w:val="1"/>
        <w:rPr>
          <w:rFonts w:ascii="仿宋_GB2312" w:hAnsi="宋体" w:eastAsia="仿宋_GB2312"/>
          <w:b/>
          <w:color w:val="171717" w:themeColor="background2" w:themeShade="1A"/>
          <w:kern w:val="0"/>
          <w:sz w:val="32"/>
          <w:szCs w:val="32"/>
        </w:rPr>
      </w:pPr>
    </w:p>
    <w:p>
      <w:pPr>
        <w:widowControl/>
        <w:ind w:firstLine="643"/>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p>
    <w:tbl>
      <w:tblPr>
        <w:tblStyle w:val="13"/>
        <w:tblW w:w="9087" w:type="dxa"/>
        <w:jc w:val="center"/>
        <w:tblInd w:w="0" w:type="dxa"/>
        <w:tblLayout w:type="fixed"/>
        <w:tblCellMar>
          <w:top w:w="0" w:type="dxa"/>
          <w:left w:w="108" w:type="dxa"/>
          <w:bottom w:w="0" w:type="dxa"/>
          <w:right w:w="108" w:type="dxa"/>
        </w:tblCellMar>
      </w:tblPr>
      <w:tblGrid>
        <w:gridCol w:w="516"/>
        <w:gridCol w:w="577"/>
        <w:gridCol w:w="2891"/>
        <w:gridCol w:w="1701"/>
        <w:gridCol w:w="1701"/>
        <w:gridCol w:w="170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ind w:firstLine="0" w:firstLineChars="0"/>
              <w:jc w:val="center"/>
              <w:rPr>
                <w:rFonts w:ascii="仿宋_GB2312" w:eastAsia="仿宋_GB2312" w:cs="宋体" w:hAnsiTheme="minorEastAsia"/>
                <w:b/>
                <w:bCs/>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c>
      </w:tr>
      <w:tr>
        <w:tblPrEx>
          <w:tblLayout w:type="fixed"/>
          <w:tblCellMar>
            <w:top w:w="0" w:type="dxa"/>
            <w:left w:w="108" w:type="dxa"/>
            <w:bottom w:w="0" w:type="dxa"/>
            <w:right w:w="108" w:type="dxa"/>
          </w:tblCellMar>
        </w:tblPrEx>
        <w:trPr>
          <w:trHeight w:val="390" w:hRule="atLeast"/>
          <w:jc w:val="center"/>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99.42</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99.42</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津贴补助</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78.83</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78.83</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8.29</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8.29</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r>
              <w:rPr>
                <w:rFonts w:ascii="仿宋_GB2312" w:eastAsia="仿宋_GB2312" w:cs="宋体" w:hAnsiTheme="minorEastAsia"/>
                <w:color w:val="171717" w:themeColor="background2" w:themeShade="1A"/>
                <w:kern w:val="0"/>
                <w:sz w:val="18"/>
                <w:szCs w:val="18"/>
              </w:rPr>
              <w:t>6</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54.21</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54.21</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57.81</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57.81</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48.15</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48.15</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37.1</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37.1</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1.15</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1.15</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136.8</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136.8</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w:t>
            </w:r>
            <w:r>
              <w:rPr>
                <w:rFonts w:ascii="仿宋_GB2312" w:eastAsia="仿宋_GB2312" w:cs="宋体" w:hAnsiTheme="minorEastAsia"/>
                <w:color w:val="171717" w:themeColor="background2" w:themeShade="1A"/>
                <w:kern w:val="0"/>
                <w:sz w:val="18"/>
                <w:szCs w:val="18"/>
              </w:rPr>
              <w:t>4</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采暖补贴</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3.49</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3.49</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0.34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0.34</w:t>
            </w: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3.07</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3.07</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1.77</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1.77</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公务用车运行维护费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15.01</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15.01</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w:t>
            </w:r>
            <w:r>
              <w:rPr>
                <w:rFonts w:ascii="仿宋_GB2312" w:eastAsia="仿宋_GB2312" w:cs="宋体" w:hAnsiTheme="minorEastAsia"/>
                <w:color w:val="171717" w:themeColor="background2" w:themeShade="1A"/>
                <w:kern w:val="0"/>
                <w:sz w:val="18"/>
                <w:szCs w:val="18"/>
              </w:rPr>
              <w:t>2</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其他交通费</w:t>
            </w:r>
            <w:r>
              <w:rPr>
                <w:rFonts w:hint="eastAsia" w:ascii="仿宋_GB2312" w:eastAsia="仿宋_GB2312" w:cs="宋体" w:hAnsiTheme="minorEastAsia"/>
                <w:color w:val="171717" w:themeColor="background2" w:themeShade="1A"/>
                <w:kern w:val="0"/>
                <w:sz w:val="18"/>
                <w:szCs w:val="18"/>
              </w:rPr>
              <w:tab/>
            </w:r>
            <w:r>
              <w:rPr>
                <w:rFonts w:hint="eastAsia" w:ascii="仿宋_GB2312" w:eastAsia="仿宋_GB2312" w:cs="宋体" w:hAnsiTheme="minorEastAsia"/>
                <w:color w:val="171717" w:themeColor="background2" w:themeShade="1A"/>
                <w:kern w:val="0"/>
                <w:sz w:val="18"/>
                <w:szCs w:val="18"/>
              </w:rPr>
              <w:tab/>
            </w:r>
            <w:r>
              <w:rPr>
                <w:rFonts w:hint="eastAsia" w:ascii="仿宋_GB2312" w:eastAsia="仿宋_GB2312" w:cs="宋体" w:hAnsiTheme="minorEastAsia"/>
                <w:color w:val="171717" w:themeColor="background2" w:themeShade="1A"/>
                <w:kern w:val="0"/>
                <w:sz w:val="18"/>
                <w:szCs w:val="18"/>
              </w:rPr>
              <w:tab/>
            </w:r>
            <w:r>
              <w:rPr>
                <w:rFonts w:hint="eastAsia" w:ascii="仿宋_GB2312" w:eastAsia="仿宋_GB2312" w:cs="宋体" w:hAnsiTheme="minorEastAsia"/>
                <w:color w:val="171717" w:themeColor="background2" w:themeShade="1A"/>
                <w:kern w:val="0"/>
                <w:sz w:val="18"/>
                <w:szCs w:val="18"/>
              </w:rPr>
              <w:tab/>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3.8</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3.8</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0.8</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0.8</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2.04</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10</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10</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1.36</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1.36</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5.72</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5.72</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6.08</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6.08</w:t>
            </w:r>
          </w:p>
        </w:tc>
      </w:tr>
      <w:tr>
        <w:tblPrEx>
          <w:tblLayout w:type="fixed"/>
          <w:tblCellMar>
            <w:top w:w="0" w:type="dxa"/>
            <w:left w:w="108" w:type="dxa"/>
            <w:bottom w:w="0" w:type="dxa"/>
            <w:right w:w="108" w:type="dxa"/>
          </w:tblCellMar>
        </w:tblPrEx>
        <w:trPr>
          <w:trHeight w:val="402" w:hRule="atLeast"/>
          <w:jc w:val="center"/>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565.34</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525.59</w:t>
            </w:r>
          </w:p>
        </w:tc>
        <w:tc>
          <w:tcPr>
            <w:tcW w:w="1701"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39.75</w:t>
            </w:r>
          </w:p>
        </w:tc>
      </w:tr>
    </w:tbl>
    <w:p>
      <w:pPr>
        <w:widowControl/>
        <w:ind w:firstLine="643"/>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3"/>
        <w:tblW w:w="11354" w:type="dxa"/>
        <w:jc w:val="center"/>
        <w:tblInd w:w="0" w:type="dxa"/>
        <w:tblLayout w:type="fixed"/>
        <w:tblCellMar>
          <w:top w:w="0" w:type="dxa"/>
          <w:left w:w="108" w:type="dxa"/>
          <w:bottom w:w="0" w:type="dxa"/>
          <w:right w:w="108" w:type="dxa"/>
        </w:tblCellMar>
      </w:tblPr>
      <w:tblGrid>
        <w:gridCol w:w="11"/>
        <w:gridCol w:w="535"/>
        <w:gridCol w:w="397"/>
        <w:gridCol w:w="475"/>
        <w:gridCol w:w="1134"/>
        <w:gridCol w:w="1417"/>
        <w:gridCol w:w="993"/>
        <w:gridCol w:w="717"/>
        <w:gridCol w:w="936"/>
        <w:gridCol w:w="741"/>
        <w:gridCol w:w="652"/>
        <w:gridCol w:w="638"/>
        <w:gridCol w:w="427"/>
        <w:gridCol w:w="632"/>
        <w:gridCol w:w="427"/>
        <w:gridCol w:w="427"/>
        <w:gridCol w:w="398"/>
        <w:gridCol w:w="397"/>
      </w:tblGrid>
      <w:tr>
        <w:tblPrEx>
          <w:tblLayout w:type="fixed"/>
          <w:tblCellMar>
            <w:top w:w="0" w:type="dxa"/>
            <w:left w:w="108" w:type="dxa"/>
            <w:bottom w:w="0" w:type="dxa"/>
            <w:right w:w="108" w:type="dxa"/>
          </w:tblCellMar>
        </w:tblPrEx>
        <w:trPr>
          <w:gridBefore w:val="1"/>
          <w:gridAfter w:val="1"/>
          <w:wBefore w:w="11" w:type="dxa"/>
          <w:wAfter w:w="397" w:type="dxa"/>
          <w:trHeight w:val="375" w:hRule="atLeast"/>
          <w:jc w:val="center"/>
        </w:trPr>
        <w:tc>
          <w:tcPr>
            <w:tcW w:w="10946" w:type="dxa"/>
            <w:gridSpan w:val="16"/>
            <w:tcBorders>
              <w:top w:val="nil"/>
              <w:left w:val="nil"/>
              <w:bottom w:val="nil"/>
              <w:right w:val="nil"/>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ind w:firstLine="0" w:firstLineChars="0"/>
              <w:jc w:val="center"/>
              <w:rPr>
                <w:rFonts w:ascii="仿宋_GB2312" w:eastAsia="仿宋_GB2312" w:cs="宋体" w:hAnsiTheme="minorEastAsia"/>
                <w:b/>
                <w:bCs/>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18" w:type="dxa"/>
            <w:gridSpan w:val="4"/>
            <w:shd w:val="clear" w:color="auto" w:fill="auto"/>
            <w:noWrap/>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1134" w:type="dxa"/>
            <w:vMerge w:val="restart"/>
            <w:shd w:val="clear" w:color="auto" w:fill="auto"/>
            <w:noWrap/>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17" w:type="dxa"/>
            <w:vMerge w:val="restart"/>
            <w:shd w:val="clear" w:color="auto" w:fill="auto"/>
            <w:noWrap/>
            <w:vAlign w:val="center"/>
          </w:tcPr>
          <w:p>
            <w:pPr>
              <w:ind w:firstLine="0" w:firstLineChars="0"/>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993"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71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936"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741"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38"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2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32"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2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825" w:type="dxa"/>
            <w:gridSpan w:val="2"/>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397" w:type="dxa"/>
            <w:vMerge w:val="restart"/>
            <w:shd w:val="clear" w:color="auto" w:fill="auto"/>
            <w:vAlign w:val="center"/>
          </w:tcPr>
          <w:p>
            <w:pPr>
              <w:widowControl/>
              <w:ind w:firstLine="0" w:firstLineChars="0"/>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noWrap/>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397" w:type="dxa"/>
            <w:tcBorders>
              <w:bottom w:val="single" w:color="auto" w:sz="4" w:space="0"/>
            </w:tcBorders>
            <w:shd w:val="clear" w:color="auto" w:fill="auto"/>
            <w:noWrap/>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75" w:type="dxa"/>
            <w:tcBorders>
              <w:bottom w:val="single" w:color="auto" w:sz="4" w:space="0"/>
            </w:tcBorders>
            <w:shd w:val="clear" w:color="auto" w:fill="auto"/>
            <w:noWrap/>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1134" w:type="dxa"/>
            <w:vMerge w:val="continue"/>
            <w:tcBorders>
              <w:bottom w:val="single" w:color="auto" w:sz="4" w:space="0"/>
            </w:tcBorders>
            <w:shd w:val="clear" w:color="auto" w:fill="auto"/>
            <w:vAlign w:val="center"/>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141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993"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71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936"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741"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638"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42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632"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42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825" w:type="dxa"/>
            <w:gridSpan w:val="2"/>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c>
          <w:tcPr>
            <w:tcW w:w="397" w:type="dxa"/>
            <w:vMerge w:val="continue"/>
            <w:tcBorders>
              <w:bottom w:val="single" w:color="auto" w:sz="4" w:space="0"/>
            </w:tcBorders>
            <w:shd w:val="clear" w:color="auto" w:fill="auto"/>
          </w:tcPr>
          <w:p>
            <w:pPr>
              <w:widowControl/>
              <w:ind w:firstLine="0" w:firstLineChars="0"/>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冬季旅游项目推广及冰雪节经费</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150.00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150.00</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临时聘用司机、安保等人员维稳补助</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4.80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4.80</w:t>
            </w: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图书购置经费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10.00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10.00</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 w:type="dxa"/>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国家登山健身步道建设及运营管理经费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200.00</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200.00</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 w:type="dxa"/>
          <w:trHeight w:val="585" w:hRule="atLeast"/>
          <w:jc w:val="center"/>
        </w:trPr>
        <w:tc>
          <w:tcPr>
            <w:tcW w:w="546" w:type="dxa"/>
            <w:gridSpan w:val="2"/>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475"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99</w:t>
            </w:r>
          </w:p>
        </w:tc>
        <w:tc>
          <w:tcPr>
            <w:tcW w:w="1134"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其他文化支出</w:t>
            </w:r>
          </w:p>
        </w:tc>
        <w:tc>
          <w:tcPr>
            <w:tcW w:w="1417" w:type="dxa"/>
            <w:shd w:val="clear" w:color="auto" w:fill="auto"/>
            <w:vAlign w:val="center"/>
          </w:tcPr>
          <w:p>
            <w:pPr>
              <w:ind w:firstLine="0" w:firstLineChars="0"/>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2016年临时聘用人员经费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128.58</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128.58</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 w:type="dxa"/>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其他文化体育与传媒支出</w:t>
            </w: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文化创意</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500.00</w:t>
            </w:r>
          </w:p>
        </w:tc>
        <w:tc>
          <w:tcPr>
            <w:tcW w:w="717"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500.00</w:t>
            </w:r>
          </w:p>
        </w:tc>
        <w:tc>
          <w:tcPr>
            <w:tcW w:w="741"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20</w:t>
            </w:r>
            <w:r>
              <w:rPr>
                <w:rFonts w:ascii="仿宋_GB2312" w:eastAsia="仿宋_GB2312" w:hAnsiTheme="minorEastAsia"/>
                <w:color w:val="171717" w:themeColor="background2" w:themeShade="1A"/>
                <w:sz w:val="18"/>
                <w:szCs w:val="18"/>
              </w:rPr>
              <w:t>7</w:t>
            </w: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其他文化体育与传媒支出</w:t>
            </w: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各类行政审批监管、行政执法专项经费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10.00</w:t>
            </w:r>
          </w:p>
        </w:tc>
        <w:tc>
          <w:tcPr>
            <w:tcW w:w="717"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10.00</w:t>
            </w:r>
          </w:p>
        </w:tc>
        <w:tc>
          <w:tcPr>
            <w:tcW w:w="741"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2</w:t>
            </w:r>
            <w:r>
              <w:rPr>
                <w:rFonts w:ascii="仿宋_GB2312" w:eastAsia="仿宋_GB2312" w:hAnsiTheme="minorEastAsia"/>
                <w:color w:val="171717" w:themeColor="background2" w:themeShade="1A"/>
                <w:kern w:val="0"/>
                <w:sz w:val="18"/>
                <w:szCs w:val="18"/>
              </w:rPr>
              <w:t>16</w:t>
            </w: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0</w:t>
            </w:r>
            <w:r>
              <w:rPr>
                <w:rFonts w:ascii="仿宋_GB2312" w:eastAsia="仿宋_GB2312" w:hAnsiTheme="minorEastAsia"/>
                <w:color w:val="171717" w:themeColor="background2" w:themeShade="1A"/>
                <w:kern w:val="0"/>
                <w:sz w:val="18"/>
                <w:szCs w:val="18"/>
              </w:rPr>
              <w:t>5</w:t>
            </w: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9</w:t>
            </w:r>
            <w:r>
              <w:rPr>
                <w:rFonts w:ascii="仿宋_GB2312" w:eastAsia="仿宋_GB2312" w:hAnsiTheme="minorEastAsia"/>
                <w:color w:val="171717" w:themeColor="background2" w:themeShade="1A"/>
                <w:kern w:val="0"/>
                <w:sz w:val="18"/>
                <w:szCs w:val="18"/>
              </w:rPr>
              <w:t>9</w:t>
            </w: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其他旅游业管理与服务支出</w:t>
            </w: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旅游发展专项</w:t>
            </w:r>
          </w:p>
        </w:tc>
        <w:tc>
          <w:tcPr>
            <w:tcW w:w="993"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w:t>
            </w:r>
            <w:r>
              <w:rPr>
                <w:rFonts w:ascii="仿宋_GB2312" w:eastAsia="仿宋_GB2312" w:hAnsiTheme="minorEastAsia"/>
                <w:color w:val="171717" w:themeColor="background2" w:themeShade="1A"/>
                <w:sz w:val="18"/>
                <w:szCs w:val="18"/>
              </w:rPr>
              <w:t>00</w:t>
            </w:r>
          </w:p>
        </w:tc>
        <w:tc>
          <w:tcPr>
            <w:tcW w:w="717"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936"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w:t>
            </w:r>
            <w:r>
              <w:rPr>
                <w:rFonts w:ascii="仿宋_GB2312" w:eastAsia="仿宋_GB2312" w:hAnsiTheme="minorEastAsia"/>
                <w:color w:val="171717" w:themeColor="background2" w:themeShade="1A"/>
                <w:sz w:val="18"/>
                <w:szCs w:val="18"/>
              </w:rPr>
              <w:t>00</w:t>
            </w:r>
          </w:p>
        </w:tc>
        <w:tc>
          <w:tcPr>
            <w:tcW w:w="741" w:type="dxa"/>
            <w:shd w:val="clear" w:color="auto" w:fill="auto"/>
            <w:vAlign w:val="center"/>
          </w:tcPr>
          <w:p>
            <w:pPr>
              <w:ind w:firstLine="0" w:firstLineChars="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75"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1134"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p>
        </w:tc>
        <w:tc>
          <w:tcPr>
            <w:tcW w:w="1417" w:type="dxa"/>
            <w:shd w:val="clear" w:color="auto" w:fill="auto"/>
            <w:vAlign w:val="center"/>
          </w:tcPr>
          <w:p>
            <w:pPr>
              <w:widowControl/>
              <w:ind w:firstLine="0" w:firstLineChars="0"/>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993"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1,203.38</w:t>
            </w:r>
          </w:p>
        </w:tc>
        <w:tc>
          <w:tcPr>
            <w:tcW w:w="717"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c>
          <w:tcPr>
            <w:tcW w:w="936"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1,198.58</w:t>
            </w:r>
          </w:p>
        </w:tc>
        <w:tc>
          <w:tcPr>
            <w:tcW w:w="741" w:type="dxa"/>
            <w:shd w:val="clear" w:color="auto" w:fill="auto"/>
            <w:vAlign w:val="center"/>
          </w:tcPr>
          <w:p>
            <w:pPr>
              <w:ind w:firstLine="0" w:firstLineChars="0"/>
              <w:jc w:val="right"/>
              <w:rPr>
                <w:rFonts w:ascii="仿宋_GB2312" w:eastAsia="仿宋_GB2312" w:cs="宋体"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4.80</w:t>
            </w:r>
          </w:p>
        </w:tc>
        <w:tc>
          <w:tcPr>
            <w:tcW w:w="65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825" w:type="dxa"/>
            <w:gridSpan w:val="2"/>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pPr>
              <w:widowControl/>
              <w:ind w:firstLine="0" w:firstLineChars="0"/>
              <w:jc w:val="right"/>
              <w:outlineLvl w:val="1"/>
              <w:rPr>
                <w:rFonts w:ascii="仿宋_GB2312" w:eastAsia="仿宋_GB2312" w:hAnsiTheme="minorEastAsia"/>
                <w:color w:val="171717" w:themeColor="background2" w:themeShade="1A"/>
                <w:kern w:val="0"/>
                <w:sz w:val="18"/>
                <w:szCs w:val="18"/>
              </w:rPr>
            </w:pPr>
          </w:p>
        </w:tc>
      </w:tr>
    </w:tbl>
    <w:p>
      <w:pPr>
        <w:widowControl/>
        <w:ind w:firstLine="360"/>
        <w:outlineLvl w:val="1"/>
        <w:rPr>
          <w:rFonts w:ascii="仿宋_GB2312" w:hAnsi="宋体" w:eastAsia="仿宋_GB2312"/>
          <w:color w:val="171717" w:themeColor="background2" w:themeShade="1A"/>
          <w:kern w:val="0"/>
          <w:sz w:val="18"/>
          <w:szCs w:val="18"/>
        </w:rPr>
      </w:pPr>
    </w:p>
    <w:p>
      <w:pPr>
        <w:widowControl/>
        <w:ind w:firstLine="643"/>
        <w:outlineLvl w:val="1"/>
        <w:rPr>
          <w:rFonts w:ascii="仿宋_GB2312" w:hAnsi="宋体" w:eastAsia="仿宋_GB2312"/>
          <w:b/>
          <w:color w:val="171717" w:themeColor="background2" w:themeShade="1A"/>
          <w:kern w:val="0"/>
          <w:sz w:val="32"/>
          <w:szCs w:val="32"/>
        </w:rPr>
      </w:pPr>
    </w:p>
    <w:p>
      <w:pPr>
        <w:widowControl/>
        <w:ind w:firstLine="643"/>
        <w:outlineLvl w:val="1"/>
        <w:rPr>
          <w:rFonts w:ascii="仿宋_GB2312" w:hAnsi="宋体" w:eastAsia="仿宋_GB2312"/>
          <w:b/>
          <w:color w:val="171717" w:themeColor="background2" w:themeShade="1A"/>
          <w:kern w:val="0"/>
          <w:sz w:val="32"/>
          <w:szCs w:val="32"/>
        </w:rPr>
      </w:pPr>
    </w:p>
    <w:p>
      <w:pPr>
        <w:widowControl/>
        <w:ind w:firstLine="643"/>
        <w:outlineLvl w:val="1"/>
        <w:rPr>
          <w:rFonts w:ascii="仿宋_GB2312" w:hAnsi="宋体" w:eastAsia="仿宋_GB2312"/>
          <w:b/>
          <w:color w:val="171717" w:themeColor="background2" w:themeShade="1A"/>
          <w:kern w:val="0"/>
          <w:sz w:val="32"/>
          <w:szCs w:val="32"/>
        </w:rPr>
      </w:pPr>
    </w:p>
    <w:p>
      <w:pPr>
        <w:widowControl/>
        <w:ind w:firstLine="643"/>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ind w:firstLine="643"/>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一般公共预算“三公”经费支出情况表</w:t>
      </w:r>
    </w:p>
    <w:p>
      <w:pPr>
        <w:widowControl/>
        <w:ind w:firstLine="0" w:firstLineChars="0"/>
        <w:outlineLvl w:val="1"/>
        <w:rPr>
          <w:rFonts w:ascii="仿宋_GB2312" w:hAnsi="宋体" w:eastAsia="仿宋_GB2312"/>
          <w:color w:val="171717" w:themeColor="background2" w:themeShade="1A"/>
          <w:kern w:val="0"/>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bl>
      <w:tblPr>
        <w:tblStyle w:val="13"/>
        <w:tblW w:w="9087"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15.11</w:t>
            </w: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15.01</w:t>
            </w: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15.01</w:t>
            </w:r>
          </w:p>
        </w:tc>
        <w:tc>
          <w:tcPr>
            <w:tcW w:w="1559" w:type="dxa"/>
            <w:tcBorders>
              <w:top w:val="nil"/>
              <w:left w:val="nil"/>
              <w:bottom w:val="single" w:color="auto" w:sz="4" w:space="0"/>
              <w:right w:val="single" w:color="auto" w:sz="4" w:space="0"/>
            </w:tcBorders>
            <w:shd w:val="clear" w:color="auto" w:fill="auto"/>
            <w:vAlign w:val="center"/>
          </w:tcPr>
          <w:p>
            <w:pPr>
              <w:ind w:firstLine="360"/>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w:t>
            </w:r>
            <w:r>
              <w:rPr>
                <w:rFonts w:ascii="仿宋_GB2312" w:eastAsia="仿宋_GB2312"/>
                <w:color w:val="171717" w:themeColor="background2" w:themeShade="1A"/>
                <w:sz w:val="18"/>
                <w:szCs w:val="18"/>
              </w:rPr>
              <w:t>10</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hAnsi="宋体" w:eastAsia="仿宋_GB2312" w:cs="宋体"/>
                <w:color w:val="171717" w:themeColor="background2" w:themeShade="1A"/>
                <w:kern w:val="0"/>
                <w:sz w:val="18"/>
                <w:szCs w:val="18"/>
              </w:rPr>
            </w:pPr>
          </w:p>
        </w:tc>
      </w:tr>
    </w:tbl>
    <w:p>
      <w:pPr>
        <w:widowControl/>
        <w:ind w:firstLine="360"/>
        <w:outlineLvl w:val="1"/>
        <w:rPr>
          <w:rFonts w:ascii="仿宋_GB2312" w:hAnsi="宋体" w:eastAsia="仿宋_GB2312"/>
          <w:color w:val="171717" w:themeColor="background2" w:themeShade="1A"/>
          <w:kern w:val="0"/>
          <w:sz w:val="18"/>
          <w:szCs w:val="18"/>
        </w:rPr>
      </w:pPr>
    </w:p>
    <w:p>
      <w:pPr>
        <w:widowControl/>
        <w:ind w:firstLine="360"/>
        <w:outlineLvl w:val="1"/>
        <w:rPr>
          <w:rFonts w:ascii="仿宋_GB2312" w:hAnsi="宋体" w:eastAsia="仿宋_GB2312"/>
          <w:color w:val="171717" w:themeColor="background2" w:themeShade="1A"/>
          <w:kern w:val="0"/>
          <w:sz w:val="18"/>
          <w:szCs w:val="18"/>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640"/>
        <w:outlineLvl w:val="1"/>
        <w:rPr>
          <w:rFonts w:ascii="仿宋_GB2312" w:hAnsi="宋体" w:eastAsia="仿宋_GB2312"/>
          <w:color w:val="171717" w:themeColor="background2" w:themeShade="1A"/>
          <w:kern w:val="0"/>
          <w:sz w:val="32"/>
          <w:szCs w:val="32"/>
        </w:rPr>
      </w:pPr>
    </w:p>
    <w:p>
      <w:pPr>
        <w:widowControl/>
        <w:ind w:firstLine="0" w:firstLineChars="0"/>
        <w:outlineLvl w:val="1"/>
        <w:rPr>
          <w:rFonts w:ascii="仿宋_GB2312" w:hAnsi="宋体" w:eastAsia="仿宋_GB2312"/>
          <w:color w:val="171717" w:themeColor="background2" w:themeShade="1A"/>
          <w:kern w:val="0"/>
          <w:sz w:val="32"/>
          <w:szCs w:val="32"/>
        </w:rPr>
      </w:pPr>
    </w:p>
    <w:p>
      <w:pPr>
        <w:widowControl/>
        <w:ind w:firstLine="0" w:firstLineChars="0"/>
        <w:outlineLvl w:val="1"/>
        <w:rPr>
          <w:rFonts w:ascii="仿宋_GB2312" w:hAnsi="宋体" w:eastAsia="仿宋_GB2312"/>
          <w:color w:val="171717" w:themeColor="background2" w:themeShade="1A"/>
          <w:kern w:val="0"/>
          <w:sz w:val="32"/>
          <w:szCs w:val="32"/>
        </w:rPr>
      </w:pPr>
    </w:p>
    <w:p>
      <w:pPr>
        <w:widowControl/>
        <w:ind w:firstLine="643"/>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ind w:firstLine="643"/>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政府性基金预算支出情况表</w:t>
      </w:r>
    </w:p>
    <w:p>
      <w:pPr>
        <w:widowControl/>
        <w:ind w:firstLine="0" w:firstLineChars="0"/>
        <w:outlineLvl w:val="1"/>
        <w:rPr>
          <w:rFonts w:ascii="仿宋_GB2312" w:hAnsi="宋体" w:eastAsia="仿宋_GB2312"/>
          <w:b/>
          <w:color w:val="171717" w:themeColor="background2" w:themeShade="1A"/>
          <w:kern w:val="0"/>
          <w:sz w:val="32"/>
          <w:szCs w:val="32"/>
        </w:rPr>
      </w:pPr>
      <w:r>
        <w:rPr>
          <w:rFonts w:hint="eastAsia" w:ascii="仿宋_GB2312" w:eastAsia="仿宋_GB2312" w:hAnsiTheme="minorEastAsia"/>
          <w:color w:val="171717" w:themeColor="background2" w:themeShade="1A"/>
          <w:kern w:val="0"/>
        </w:rPr>
        <w:t>编制部门：</w:t>
      </w:r>
      <w:r>
        <w:rPr>
          <w:rFonts w:hint="eastAsia" w:ascii="仿宋_GB2312" w:eastAsia="仿宋_GB2312" w:hAnsiTheme="minorEastAsia"/>
          <w:color w:val="171717" w:themeColor="background2" w:themeShade="1A"/>
        </w:rPr>
        <w:t>乌鲁木齐市水磨沟区文化体育旅游局(乌鲁木齐市水磨沟区新闻出版和版权局)</w:t>
      </w:r>
      <w:r>
        <w:rPr>
          <w:rFonts w:hint="eastAsia" w:ascii="仿宋_GB2312" w:eastAsia="仿宋_GB2312" w:hAnsiTheme="minorEastAsia"/>
          <w:color w:val="171717" w:themeColor="background2" w:themeShade="1A"/>
          <w:kern w:val="0"/>
        </w:rPr>
        <w:t xml:space="preserve">                   单位：万元</w:t>
      </w:r>
    </w:p>
    <w:tbl>
      <w:tblPr>
        <w:tblStyle w:val="13"/>
        <w:tblW w:w="9087" w:type="dxa"/>
        <w:jc w:val="center"/>
        <w:tblInd w:w="0"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ind w:firstLine="0" w:firstLineChars="0"/>
              <w:jc w:val="right"/>
              <w:rPr>
                <w:rFonts w:ascii="仿宋_GB2312" w:eastAsia="仿宋_GB2312" w:cs="宋体" w:hAnsiTheme="minorEastAsia"/>
                <w:color w:val="171717" w:themeColor="background2" w:themeShade="1A"/>
                <w:kern w:val="0"/>
                <w:sz w:val="18"/>
                <w:szCs w:val="18"/>
              </w:rPr>
            </w:pPr>
          </w:p>
        </w:tc>
      </w:tr>
    </w:tbl>
    <w:p>
      <w:pPr>
        <w:ind w:firstLine="0" w:firstLineChars="0"/>
        <w:rPr>
          <w:rFonts w:ascii="仿宋_GB2312" w:eastAsia="仿宋_GB2312"/>
          <w:color w:val="171717" w:themeColor="background2" w:themeShade="1A"/>
          <w:sz w:val="32"/>
          <w:szCs w:val="32"/>
        </w:rPr>
      </w:pPr>
      <w:r>
        <w:rPr>
          <w:rFonts w:hint="eastAsia" w:ascii="仿宋_GB2312" w:eastAsia="仿宋_GB2312"/>
          <w:color w:val="171717" w:themeColor="background2" w:themeShade="1A"/>
          <w:sz w:val="32"/>
          <w:szCs w:val="32"/>
        </w:rPr>
        <w:t>备注：无内容应公开空表并说明情况。</w:t>
      </w:r>
    </w:p>
    <w:p>
      <w:pPr>
        <w:ind w:firstLine="480"/>
        <w:rPr>
          <w:color w:val="171717" w:themeColor="background2" w:themeShade="1A"/>
        </w:rPr>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928" w:left="1588" w:header="851" w:footer="992" w:gutter="0"/>
          <w:pgNumType w:fmt="numberInDash"/>
          <w:cols w:space="720" w:num="1"/>
          <w:docGrid w:linePitch="312" w:charSpace="0"/>
        </w:sectPr>
      </w:pPr>
    </w:p>
    <w:p>
      <w:pPr>
        <w:pStyle w:val="2"/>
        <w:spacing w:beforeLines="0"/>
        <w:ind w:firstLine="6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  乌鲁木齐市水磨沟区文化体育旅游局(乌鲁木齐市水磨沟区新闻出版和版权局)2016年部门预算情况说明</w:t>
      </w:r>
    </w:p>
    <w:p>
      <w:pPr>
        <w:ind w:firstLine="480"/>
      </w:pPr>
    </w:p>
    <w:p>
      <w:pPr>
        <w:ind w:firstLine="640"/>
        <w:jc w:val="center"/>
        <w:rPr>
          <w:rFonts w:ascii="黑体" w:hAnsi="黑体" w:eastAsia="黑体"/>
          <w:color w:val="171717" w:themeColor="background2" w:themeShade="1A"/>
          <w:sz w:val="32"/>
          <w:szCs w:val="32"/>
        </w:rPr>
      </w:pPr>
      <w:r>
        <w:rPr>
          <w:rFonts w:hint="eastAsia" w:ascii="黑体" w:hAnsi="黑体" w:eastAsia="黑体"/>
          <w:color w:val="171717" w:themeColor="background2" w:themeShade="1A"/>
          <w:sz w:val="32"/>
          <w:szCs w:val="32"/>
        </w:rPr>
        <w:t>2016年部门预算情况说明</w:t>
      </w:r>
    </w:p>
    <w:p>
      <w:pPr>
        <w:ind w:firstLine="640"/>
        <w:jc w:val="center"/>
        <w:rPr>
          <w:rFonts w:ascii="黑体" w:hAnsi="黑体" w:eastAsia="黑体"/>
          <w:color w:val="171717" w:themeColor="background2" w:themeShade="1A"/>
          <w:sz w:val="32"/>
          <w:szCs w:val="32"/>
        </w:rPr>
      </w:pP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一、关于乌鲁木齐市水磨沟区文化体育旅游局(乌鲁木齐市水磨沟区新闻出版和版权局)2016年收支预算情况的总体说明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按照全口径预算的原则，乌鲁木齐市水磨沟区文化体育旅游局(乌鲁木齐市水磨沟区新闻出版和版权局)2016年所有收入和支出均纳入部门预算管理。收支总预算</w:t>
      </w:r>
      <w:r>
        <w:rPr>
          <w:rFonts w:asciiTheme="minorEastAsia" w:hAnsiTheme="minorEastAsia"/>
          <w:color w:val="171717" w:themeColor="background2" w:themeShade="1A"/>
          <w:sz w:val="28"/>
          <w:szCs w:val="28"/>
        </w:rPr>
        <w:t>1,768.72</w:t>
      </w:r>
      <w:r>
        <w:rPr>
          <w:rFonts w:hint="eastAsia" w:asciiTheme="minorEastAsia" w:hAnsiTheme="minorEastAsia"/>
          <w:color w:val="171717" w:themeColor="background2" w:themeShade="1A"/>
          <w:sz w:val="28"/>
          <w:szCs w:val="28"/>
        </w:rPr>
        <w:t>万元。</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收入预算包括：一般公共预算。</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支出预算包括：文化体育与传媒支出，商业服务业等支出</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二、关于乌鲁木齐市水磨沟区文化体育旅游局(乌鲁木齐市水磨沟区新闻出版和版权局)2016年收入预算情况说明</w:t>
      </w:r>
    </w:p>
    <w:p>
      <w:pPr>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乌鲁木齐市水磨沟区文化体育旅游局(乌鲁木齐市水磨沟区新闻出版和版权局)</w:t>
      </w:r>
      <w:r>
        <w:rPr>
          <w:rFonts w:hint="eastAsia" w:cs="宋体" w:asciiTheme="minorEastAsia" w:hAnsiTheme="minorEastAsia"/>
          <w:color w:val="171717" w:themeColor="background2" w:themeShade="1A"/>
          <w:kern w:val="0"/>
          <w:sz w:val="28"/>
          <w:szCs w:val="28"/>
        </w:rPr>
        <w:t>收入预算</w:t>
      </w:r>
      <w:r>
        <w:rPr>
          <w:rFonts w:asciiTheme="minorEastAsia" w:hAnsiTheme="minorEastAsia"/>
          <w:color w:val="171717" w:themeColor="background2" w:themeShade="1A"/>
          <w:sz w:val="28"/>
          <w:szCs w:val="28"/>
        </w:rPr>
        <w:t>1,768.72</w:t>
      </w:r>
      <w:r>
        <w:rPr>
          <w:rFonts w:hint="eastAsia" w:cs="宋体" w:asciiTheme="minorEastAsia" w:hAnsiTheme="minorEastAsia"/>
          <w:color w:val="171717" w:themeColor="background2" w:themeShade="1A"/>
          <w:kern w:val="0"/>
          <w:sz w:val="28"/>
          <w:szCs w:val="28"/>
        </w:rPr>
        <w:t>万元，其中：</w:t>
      </w:r>
    </w:p>
    <w:p>
      <w:pPr>
        <w:spacing w:line="560" w:lineRule="exact"/>
        <w:ind w:firstLine="560"/>
        <w:rPr>
          <w:rFonts w:hint="eastAsia" w:cs="宋体" w:asciiTheme="minorEastAsia" w:hAnsiTheme="minorEastAsia" w:eastAsiaTheme="minorEastAsia"/>
          <w:color w:val="171717" w:themeColor="background2" w:themeShade="1A"/>
          <w:kern w:val="0"/>
          <w:sz w:val="28"/>
          <w:szCs w:val="28"/>
          <w:highlight w:val="yellow"/>
          <w:lang w:eastAsia="zh-CN"/>
        </w:rPr>
      </w:pPr>
      <w:r>
        <w:rPr>
          <w:rFonts w:hint="eastAsia" w:cs="宋体" w:asciiTheme="minorEastAsia" w:hAnsiTheme="minorEastAsia"/>
          <w:color w:val="171717" w:themeColor="background2" w:themeShade="1A"/>
          <w:kern w:val="0"/>
          <w:sz w:val="28"/>
          <w:szCs w:val="28"/>
        </w:rPr>
        <w:t>一般公共预算</w:t>
      </w:r>
      <w:r>
        <w:rPr>
          <w:rFonts w:asciiTheme="minorEastAsia" w:hAnsiTheme="minorEastAsia"/>
          <w:color w:val="171717" w:themeColor="background2" w:themeShade="1A"/>
          <w:sz w:val="28"/>
          <w:szCs w:val="28"/>
        </w:rPr>
        <w:t>1,768.72</w:t>
      </w:r>
      <w:r>
        <w:rPr>
          <w:rFonts w:hint="eastAsia" w:cs="宋体" w:asciiTheme="minorEastAsia" w:hAnsiTheme="minorEastAsia"/>
          <w:color w:val="171717" w:themeColor="background2" w:themeShade="1A"/>
          <w:kern w:val="0"/>
          <w:sz w:val="28"/>
          <w:szCs w:val="28"/>
        </w:rPr>
        <w:t>万元，比上年减少</w:t>
      </w:r>
      <w:r>
        <w:rPr>
          <w:rFonts w:cs="宋体" w:asciiTheme="minorEastAsia" w:hAnsiTheme="minorEastAsia"/>
          <w:color w:val="171717" w:themeColor="background2" w:themeShade="1A"/>
          <w:kern w:val="0"/>
          <w:sz w:val="28"/>
          <w:szCs w:val="28"/>
        </w:rPr>
        <w:t>57.36</w:t>
      </w:r>
      <w:r>
        <w:rPr>
          <w:rFonts w:hint="eastAsia" w:cs="宋体" w:asciiTheme="minorEastAsia" w:hAnsiTheme="minorEastAsia"/>
          <w:color w:val="171717" w:themeColor="background2" w:themeShade="1A"/>
          <w:kern w:val="0"/>
          <w:sz w:val="28"/>
          <w:szCs w:val="28"/>
        </w:rPr>
        <w:t>万元；</w:t>
      </w:r>
      <w:r>
        <w:rPr>
          <w:rFonts w:hint="eastAsia" w:cs="宋体" w:asciiTheme="minorEastAsia" w:hAnsiTheme="minorEastAsia"/>
          <w:color w:val="171717" w:themeColor="background2" w:themeShade="1A"/>
          <w:kern w:val="0"/>
          <w:sz w:val="28"/>
          <w:szCs w:val="28"/>
          <w:highlight w:val="yellow"/>
          <w:lang w:eastAsia="zh-CN"/>
        </w:rPr>
        <w:t>减少原因？</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三、关于乌鲁木齐市水磨沟区人大常委会2016年支出预算情况说明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乌鲁木齐市水磨沟区人大常委会2016年支出预算</w:t>
      </w:r>
      <w:r>
        <w:rPr>
          <w:rFonts w:asciiTheme="minorEastAsia" w:hAnsiTheme="minorEastAsia"/>
          <w:color w:val="171717" w:themeColor="background2" w:themeShade="1A"/>
          <w:sz w:val="28"/>
          <w:szCs w:val="28"/>
        </w:rPr>
        <w:t>1,768.72</w:t>
      </w:r>
      <w:r>
        <w:rPr>
          <w:rFonts w:hint="eastAsia" w:asciiTheme="minorEastAsia" w:hAnsiTheme="minorEastAsia"/>
          <w:color w:val="171717" w:themeColor="background2" w:themeShade="1A"/>
          <w:sz w:val="28"/>
          <w:szCs w:val="28"/>
        </w:rPr>
        <w:t>万元，其中：</w:t>
      </w:r>
    </w:p>
    <w:p>
      <w:pPr>
        <w:spacing w:line="560" w:lineRule="exact"/>
        <w:ind w:firstLine="560"/>
        <w:rPr>
          <w:rFonts w:hint="eastAsia" w:cs="宋体" w:asciiTheme="minorEastAsia" w:hAnsiTheme="minorEastAsia" w:eastAsiaTheme="minorEastAsia"/>
          <w:color w:val="171717" w:themeColor="background2" w:themeShade="1A"/>
          <w:kern w:val="0"/>
          <w:sz w:val="28"/>
          <w:szCs w:val="28"/>
          <w:highlight w:val="yellow"/>
          <w:lang w:eastAsia="zh-CN"/>
        </w:rPr>
      </w:pPr>
      <w:r>
        <w:rPr>
          <w:rFonts w:hint="eastAsia" w:asciiTheme="minorEastAsia" w:hAnsiTheme="minorEastAsia"/>
          <w:color w:val="171717" w:themeColor="background2" w:themeShade="1A"/>
          <w:sz w:val="28"/>
          <w:szCs w:val="28"/>
        </w:rPr>
        <w:t>基本支出</w:t>
      </w:r>
      <w:bookmarkStart w:id="0" w:name="_Hlk532596314"/>
      <w:r>
        <w:rPr>
          <w:rFonts w:asciiTheme="minorEastAsia" w:hAnsiTheme="minorEastAsia"/>
          <w:color w:val="171717" w:themeColor="background2" w:themeShade="1A"/>
          <w:sz w:val="28"/>
          <w:szCs w:val="28"/>
        </w:rPr>
        <w:t>565.34</w:t>
      </w:r>
      <w:bookmarkEnd w:id="0"/>
      <w:r>
        <w:rPr>
          <w:rFonts w:hint="eastAsia" w:asciiTheme="minorEastAsia" w:hAnsiTheme="minorEastAsia"/>
          <w:color w:val="171717" w:themeColor="background2" w:themeShade="1A"/>
          <w:sz w:val="28"/>
          <w:szCs w:val="28"/>
        </w:rPr>
        <w:t>万元，比上年增加</w:t>
      </w:r>
      <w:r>
        <w:rPr>
          <w:rFonts w:asciiTheme="minorEastAsia" w:hAnsiTheme="minorEastAsia"/>
          <w:color w:val="171717" w:themeColor="background2" w:themeShade="1A"/>
          <w:sz w:val="28"/>
          <w:szCs w:val="28"/>
        </w:rPr>
        <w:t>171.</w:t>
      </w:r>
      <w:r>
        <w:rPr>
          <w:rFonts w:hint="eastAsia" w:asciiTheme="minorEastAsia" w:hAnsiTheme="minorEastAsia"/>
          <w:color w:val="171717" w:themeColor="background2" w:themeShade="1A"/>
          <w:sz w:val="28"/>
          <w:szCs w:val="28"/>
        </w:rPr>
        <w:t>3</w:t>
      </w:r>
      <w:r>
        <w:rPr>
          <w:rFonts w:asciiTheme="minorEastAsia" w:hAnsiTheme="minorEastAsia"/>
          <w:color w:val="171717" w:themeColor="background2" w:themeShade="1A"/>
          <w:sz w:val="28"/>
          <w:szCs w:val="28"/>
        </w:rPr>
        <w:t>6</w:t>
      </w:r>
      <w:r>
        <w:rPr>
          <w:rFonts w:hint="eastAsia" w:asciiTheme="minorEastAsia" w:hAnsiTheme="minorEastAsia"/>
          <w:color w:val="171717" w:themeColor="background2" w:themeShade="1A"/>
          <w:sz w:val="28"/>
          <w:szCs w:val="28"/>
        </w:rPr>
        <w:t>万元。</w:t>
      </w:r>
      <w:r>
        <w:rPr>
          <w:rFonts w:hint="eastAsia" w:asciiTheme="minorEastAsia" w:hAnsiTheme="minorEastAsia"/>
          <w:color w:val="171717" w:themeColor="background2" w:themeShade="1A"/>
          <w:sz w:val="28"/>
          <w:szCs w:val="28"/>
          <w:highlight w:val="yellow"/>
          <w:lang w:eastAsia="zh-CN"/>
        </w:rPr>
        <w:t>增</w:t>
      </w:r>
      <w:r>
        <w:rPr>
          <w:rFonts w:hint="eastAsia" w:cs="宋体" w:asciiTheme="minorEastAsia" w:hAnsiTheme="minorEastAsia"/>
          <w:color w:val="171717" w:themeColor="background2" w:themeShade="1A"/>
          <w:kern w:val="0"/>
          <w:sz w:val="28"/>
          <w:szCs w:val="28"/>
          <w:highlight w:val="yellow"/>
          <w:lang w:eastAsia="zh-CN"/>
        </w:rPr>
        <w:t>减原因？</w:t>
      </w:r>
    </w:p>
    <w:p>
      <w:pPr>
        <w:spacing w:line="560" w:lineRule="exact"/>
        <w:ind w:firstLine="560"/>
        <w:rPr>
          <w:rFonts w:asciiTheme="minorEastAsia" w:hAnsiTheme="minorEastAsia"/>
          <w:b/>
          <w:color w:val="171717" w:themeColor="background2" w:themeShade="1A"/>
          <w:sz w:val="28"/>
          <w:szCs w:val="28"/>
        </w:rPr>
      </w:pPr>
    </w:p>
    <w:p>
      <w:pPr>
        <w:spacing w:line="560" w:lineRule="exact"/>
        <w:ind w:firstLine="560"/>
        <w:rPr>
          <w:rFonts w:hint="eastAsia" w:cs="宋体" w:asciiTheme="minorEastAsia" w:hAnsiTheme="minorEastAsia" w:eastAsiaTheme="minorEastAsia"/>
          <w:color w:val="171717" w:themeColor="background2" w:themeShade="1A"/>
          <w:kern w:val="0"/>
          <w:sz w:val="28"/>
          <w:szCs w:val="28"/>
          <w:highlight w:val="yellow"/>
          <w:lang w:eastAsia="zh-CN"/>
        </w:rPr>
      </w:pPr>
      <w:r>
        <w:rPr>
          <w:rFonts w:hint="eastAsia" w:asciiTheme="minorEastAsia" w:hAnsiTheme="minorEastAsia"/>
          <w:color w:val="171717" w:themeColor="background2" w:themeShade="1A"/>
          <w:sz w:val="28"/>
          <w:szCs w:val="28"/>
        </w:rPr>
        <w:t>项目支出</w:t>
      </w:r>
      <w:r>
        <w:rPr>
          <w:rFonts w:asciiTheme="minorEastAsia" w:hAnsiTheme="minorEastAsia"/>
          <w:color w:val="171717" w:themeColor="background2" w:themeShade="1A"/>
          <w:sz w:val="28"/>
          <w:szCs w:val="28"/>
        </w:rPr>
        <w:t>1,203.38</w:t>
      </w:r>
      <w:r>
        <w:rPr>
          <w:rFonts w:hint="eastAsia" w:asciiTheme="minorEastAsia" w:hAnsiTheme="minorEastAsia"/>
          <w:color w:val="171717" w:themeColor="background2" w:themeShade="1A"/>
          <w:sz w:val="28"/>
          <w:szCs w:val="28"/>
        </w:rPr>
        <w:t>万元，比上年减少</w:t>
      </w:r>
      <w:r>
        <w:rPr>
          <w:rFonts w:asciiTheme="minorEastAsia" w:hAnsiTheme="minorEastAsia"/>
          <w:color w:val="171717" w:themeColor="background2" w:themeShade="1A"/>
          <w:sz w:val="28"/>
          <w:szCs w:val="28"/>
        </w:rPr>
        <w:t>228.72</w:t>
      </w:r>
      <w:r>
        <w:rPr>
          <w:rFonts w:hint="eastAsia" w:asciiTheme="minorEastAsia" w:hAnsiTheme="minorEastAsia"/>
          <w:color w:val="171717" w:themeColor="background2" w:themeShade="1A"/>
          <w:sz w:val="28"/>
          <w:szCs w:val="28"/>
        </w:rPr>
        <w:t>万元。</w:t>
      </w:r>
      <w:r>
        <w:rPr>
          <w:rFonts w:hint="eastAsia" w:cs="宋体" w:asciiTheme="minorEastAsia" w:hAnsiTheme="minorEastAsia"/>
          <w:color w:val="171717" w:themeColor="background2" w:themeShade="1A"/>
          <w:kern w:val="0"/>
          <w:sz w:val="28"/>
          <w:szCs w:val="28"/>
          <w:highlight w:val="yellow"/>
          <w:lang w:eastAsia="zh-CN"/>
        </w:rPr>
        <w:t>减少原因？</w:t>
      </w:r>
    </w:p>
    <w:p>
      <w:pPr>
        <w:spacing w:line="560" w:lineRule="exact"/>
        <w:ind w:firstLine="560"/>
        <w:rPr>
          <w:rFonts w:asciiTheme="minorEastAsia" w:hAnsiTheme="minorEastAsia"/>
          <w:color w:val="171717" w:themeColor="background2" w:themeShade="1A"/>
          <w:sz w:val="28"/>
          <w:szCs w:val="28"/>
        </w:rPr>
      </w:pP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四、关于乌鲁木齐市水磨沟区文化体育旅游局(乌鲁木齐市水磨沟区新闻出版和版权局)2016年财政拨款收支预算情况的总体说明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财政拨款收支总预算</w:t>
      </w:r>
      <w:r>
        <w:rPr>
          <w:rFonts w:asciiTheme="minorEastAsia" w:hAnsiTheme="minorEastAsia"/>
          <w:color w:val="171717" w:themeColor="background2" w:themeShade="1A"/>
          <w:sz w:val="28"/>
          <w:szCs w:val="28"/>
        </w:rPr>
        <w:t>1,768.72</w:t>
      </w:r>
      <w:r>
        <w:rPr>
          <w:rFonts w:hint="eastAsia" w:asciiTheme="minorEastAsia" w:hAnsiTheme="minorEastAsia"/>
          <w:color w:val="171717" w:themeColor="background2" w:themeShade="1A"/>
          <w:sz w:val="28"/>
          <w:szCs w:val="28"/>
        </w:rPr>
        <w:t>万元。</w:t>
      </w:r>
    </w:p>
    <w:p>
      <w:pPr>
        <w:spacing w:line="560" w:lineRule="exact"/>
        <w:ind w:firstLine="546"/>
        <w:rPr>
          <w:rFonts w:cs="宋体" w:asciiTheme="minorEastAsia" w:hAnsiTheme="minorEastAsia"/>
          <w:color w:val="171717" w:themeColor="background2" w:themeShade="1A"/>
          <w:spacing w:val="-4"/>
          <w:kern w:val="0"/>
          <w:sz w:val="28"/>
          <w:szCs w:val="28"/>
        </w:rPr>
      </w:pPr>
      <w:r>
        <w:rPr>
          <w:rFonts w:hint="eastAsia" w:cs="宋体" w:asciiTheme="minorEastAsia" w:hAnsiTheme="minorEastAsia"/>
          <w:b/>
          <w:color w:val="171717" w:themeColor="background2" w:themeShade="1A"/>
          <w:spacing w:val="-4"/>
          <w:kern w:val="0"/>
          <w:sz w:val="28"/>
          <w:szCs w:val="28"/>
        </w:rPr>
        <w:t>情况一：无政府性基金预算拨款的部门单位按以下格式填写。</w:t>
      </w:r>
    </w:p>
    <w:p>
      <w:pPr>
        <w:spacing w:line="560" w:lineRule="exact"/>
        <w:ind w:firstLine="560"/>
        <w:rPr>
          <w:rFonts w:asciiTheme="minorEastAsia" w:hAnsiTheme="minorEastAsia"/>
          <w:b/>
          <w:color w:val="171717" w:themeColor="background2" w:themeShade="1A"/>
          <w:sz w:val="28"/>
          <w:szCs w:val="28"/>
        </w:rPr>
      </w:pPr>
      <w:r>
        <w:rPr>
          <w:rFonts w:hint="eastAsia" w:asciiTheme="minorEastAsia" w:hAnsiTheme="minorEastAsia"/>
          <w:color w:val="171717" w:themeColor="background2" w:themeShade="1A"/>
          <w:sz w:val="28"/>
          <w:szCs w:val="28"/>
        </w:rPr>
        <w:t>收入全部为一般公共预算拨款，无政府性基金预算拨款。</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支出预算包括：文化体育与传媒支出</w:t>
      </w:r>
      <w:r>
        <w:rPr>
          <w:rFonts w:asciiTheme="minorEastAsia" w:hAnsiTheme="minorEastAsia"/>
          <w:color w:val="171717" w:themeColor="background2" w:themeShade="1A"/>
          <w:sz w:val="28"/>
          <w:szCs w:val="28"/>
        </w:rPr>
        <w:t>1481.79</w:t>
      </w:r>
      <w:r>
        <w:rPr>
          <w:rFonts w:hint="eastAsia" w:asciiTheme="minorEastAsia" w:hAnsiTheme="minorEastAsia"/>
          <w:color w:val="171717" w:themeColor="background2" w:themeShade="1A"/>
          <w:sz w:val="28"/>
          <w:szCs w:val="28"/>
        </w:rPr>
        <w:t>万元，商业服务业等支出</w:t>
      </w:r>
      <w:r>
        <w:rPr>
          <w:rFonts w:asciiTheme="minorEastAsia" w:hAnsiTheme="minorEastAsia"/>
          <w:color w:val="171717" w:themeColor="background2" w:themeShade="1A"/>
          <w:sz w:val="28"/>
          <w:szCs w:val="28"/>
        </w:rPr>
        <w:t>286.93</w:t>
      </w:r>
      <w:r>
        <w:rPr>
          <w:rFonts w:hint="eastAsia" w:asciiTheme="minorEastAsia" w:hAnsiTheme="minorEastAsia"/>
          <w:color w:val="171717" w:themeColor="background2" w:themeShade="1A"/>
          <w:sz w:val="28"/>
          <w:szCs w:val="28"/>
        </w:rPr>
        <w:t>万元。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五、关于乌鲁木齐市水磨沟区文化体育旅游局(乌鲁木齐市水磨沟区新闻出版和版权局)2016年一般公共预算基本支出情况说明</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乌鲁木齐市水磨沟区文化体育旅游局(乌鲁木齐市水磨沟区新闻出版和版权局)2016年一般公共预算基本支出</w:t>
      </w:r>
      <w:r>
        <w:rPr>
          <w:rFonts w:asciiTheme="minorEastAsia" w:hAnsiTheme="minorEastAsia"/>
          <w:color w:val="171717" w:themeColor="background2" w:themeShade="1A"/>
          <w:sz w:val="28"/>
          <w:szCs w:val="28"/>
        </w:rPr>
        <w:t>565.34</w:t>
      </w:r>
      <w:r>
        <w:rPr>
          <w:rFonts w:hint="eastAsia" w:asciiTheme="minorEastAsia" w:hAnsiTheme="minorEastAsia"/>
          <w:color w:val="171717" w:themeColor="background2" w:themeShade="1A"/>
          <w:sz w:val="28"/>
          <w:szCs w:val="28"/>
        </w:rPr>
        <w:t>万元，其中：</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人员经费</w:t>
      </w:r>
      <w:r>
        <w:rPr>
          <w:rFonts w:asciiTheme="minorEastAsia" w:hAnsiTheme="minorEastAsia"/>
          <w:color w:val="171717" w:themeColor="background2" w:themeShade="1A"/>
          <w:sz w:val="28"/>
          <w:szCs w:val="28"/>
        </w:rPr>
        <w:t>525.59</w:t>
      </w:r>
      <w:r>
        <w:rPr>
          <w:rFonts w:hint="eastAsia" w:asciiTheme="minorEastAsia" w:hAnsiTheme="minorEastAsia"/>
          <w:color w:val="171717" w:themeColor="background2" w:themeShade="1A"/>
          <w:sz w:val="28"/>
          <w:szCs w:val="28"/>
        </w:rPr>
        <w:t>万元，主要包括：基本工资、津贴补贴、奖金、绩效工资、其他社会保障缴费、机关事业单位基本养老保险缴费、住房公积金、其他工资福利支出、奖励金、采暖补贴、其他对个人和家庭的补助支出等</w:t>
      </w:r>
    </w:p>
    <w:p>
      <w:pPr>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公用经费</w:t>
      </w:r>
      <w:r>
        <w:rPr>
          <w:rFonts w:asciiTheme="minorEastAsia" w:hAnsiTheme="minorEastAsia"/>
          <w:color w:val="171717" w:themeColor="background2" w:themeShade="1A"/>
          <w:sz w:val="28"/>
          <w:szCs w:val="28"/>
        </w:rPr>
        <w:t>39.75</w:t>
      </w:r>
      <w:r>
        <w:rPr>
          <w:rFonts w:hint="eastAsia" w:asciiTheme="minorEastAsia" w:hAnsiTheme="minorEastAsia"/>
          <w:color w:val="171717" w:themeColor="background2" w:themeShade="1A"/>
          <w:sz w:val="28"/>
          <w:szCs w:val="28"/>
        </w:rPr>
        <w:t>万元，主要包括：办公费、邮电费、公务用车运行维护费、差旅费、维修(护)费(含其他维修)、培训费、公务接待费、工会经费、福利费、其他商品服务支出。</w:t>
      </w:r>
    </w:p>
    <w:p>
      <w:pPr>
        <w:widowControl/>
        <w:spacing w:line="560" w:lineRule="exact"/>
        <w:ind w:firstLine="640"/>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六、关于乌鲁木齐市水磨沟区文化体育旅游局(乌鲁木齐市水磨沟区新闻出版和版权局)2016年一般公共预算项目支出情况说明</w:t>
      </w:r>
    </w:p>
    <w:p>
      <w:pPr>
        <w:widowControl/>
        <w:spacing w:line="560" w:lineRule="exact"/>
        <w:ind w:firstLine="562"/>
        <w:rPr>
          <w:rFonts w:asciiTheme="minorEastAsia" w:hAnsiTheme="minorEastAsia"/>
          <w:b/>
          <w:color w:val="171717" w:themeColor="background2" w:themeShade="1A"/>
          <w:sz w:val="28"/>
          <w:szCs w:val="28"/>
        </w:rPr>
      </w:pPr>
      <w:r>
        <w:rPr>
          <w:rFonts w:hint="eastAsia" w:asciiTheme="minorEastAsia" w:hAnsiTheme="minorEastAsia"/>
          <w:b/>
          <w:color w:val="171717" w:themeColor="background2" w:themeShade="1A"/>
          <w:sz w:val="28"/>
          <w:szCs w:val="28"/>
        </w:rPr>
        <w:t>情况一：（项目支出、专项业务费按下列内容说明）</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图书购置经费</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图书购置</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10.00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资金分配情况：用于</w:t>
      </w:r>
      <w:r>
        <w:rPr>
          <w:rFonts w:hint="eastAsia" w:asciiTheme="minorEastAsia" w:hAnsiTheme="minorEastAsia"/>
          <w:color w:val="171717" w:themeColor="background2" w:themeShade="1A"/>
          <w:kern w:val="0"/>
          <w:sz w:val="28"/>
          <w:szCs w:val="28"/>
        </w:rPr>
        <w:t>图书购置</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2016年1</w:t>
      </w:r>
      <w:r>
        <w:rPr>
          <w:rFonts w:hint="eastAsia" w:asciiTheme="minorEastAsia" w:hAnsiTheme="minorEastAsia"/>
          <w:color w:val="171717" w:themeColor="background2" w:themeShade="1A"/>
          <w:sz w:val="28"/>
          <w:szCs w:val="28"/>
        </w:rPr>
        <w:t>月</w:t>
      </w:r>
      <w:r>
        <w:rPr>
          <w:rFonts w:asciiTheme="minorEastAsia" w:hAnsiTheme="minorEastAsia"/>
          <w:color w:val="171717" w:themeColor="background2" w:themeShade="1A"/>
          <w:sz w:val="28"/>
          <w:szCs w:val="28"/>
        </w:rPr>
        <w:t>1</w:t>
      </w:r>
      <w:r>
        <w:rPr>
          <w:rFonts w:hint="eastAsia" w:asciiTheme="minorEastAsia" w:hAnsiTheme="minorEastAsia"/>
          <w:color w:val="171717" w:themeColor="background2" w:themeShade="1A"/>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冬季旅游项目推广及冰雪节经费</w:t>
      </w:r>
    </w:p>
    <w:p>
      <w:pPr>
        <w:spacing w:line="480" w:lineRule="exact"/>
        <w:ind w:firstLine="560"/>
        <w:rPr>
          <w:rFonts w:ascii="宋体" w:hAnsi="宋体"/>
          <w:sz w:val="28"/>
          <w:szCs w:val="28"/>
        </w:rPr>
      </w:pPr>
      <w:r>
        <w:rPr>
          <w:rFonts w:hint="eastAsia" w:asciiTheme="minorEastAsia" w:hAnsiTheme="minorEastAsia"/>
          <w:color w:val="171717" w:themeColor="background2" w:themeShade="1A"/>
          <w:sz w:val="28"/>
          <w:szCs w:val="28"/>
        </w:rPr>
        <w:t>设立的政策依据：</w:t>
      </w:r>
      <w:r>
        <w:rPr>
          <w:rFonts w:hint="eastAsia" w:ascii="宋体" w:hAnsi="宋体"/>
          <w:sz w:val="28"/>
          <w:szCs w:val="28"/>
        </w:rPr>
        <w:t>水磨沟区冬季旅游整体宣传、推介、推广，举办冰雪风情节及民俗文化旅游节相关节庆活动，花灯、冰雕作品制作等。</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150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r>
        <w:rPr>
          <w:rFonts w:hint="eastAsia" w:ascii="宋体" w:hAnsi="宋体"/>
          <w:sz w:val="28"/>
          <w:szCs w:val="28"/>
        </w:rPr>
        <w:t>水磨沟区冬季旅游整体宣传、推介、推广，举办冰雪风情节及民俗文化旅游节相关节庆活动，花灯、冰雕作品制作等。</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国家登山健身步道建设及运营管理经费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国家登山健身步道建设及运营管理</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200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（1）步道项目宣传推介；</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（2）步道项目运营维护管理；</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（3）安全救护及配套服务设施；</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（4）配套服务设施建设。</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2016年临时聘用人员经费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2016年临时聘用人员经费</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128.58</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1、体育场技工2人，1620元/月/人；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2、体育场普工1人，1050元/月/人；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3、艺术团聘用专业演员22人，2620元/月/人；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4、聘用司机3人，1620元/月/人；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5、图书馆聘用馆员2人，2120元/月/人；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6、以上人员社保金缴纳，按社保局当年核定基数缴纳</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文化创意</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设立的政策依据：用于文化创意</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500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主要用于七坊街</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1、办公经费</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（1）房租费（A区、B区，逐年按10%递增。）；水、电、暖、办公用品等工作运行；</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（2）人员工资及社保、员工培训等相关支出。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3）7坊街自主品牌活动（包括新疆国际动漫展；迎新剪纸灯谜会民俗艺术节等活动）；艺术类活动（组织七坊街及疆内著名艺术家定期举办小型展览、茶话会、讲座、艺术交流放映会、作品介绍会、采风活动等非正式活动）等。</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（4）展会项目（疆内外文博会、文创会等）。</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（5）美术馆国际展、省际展、省内展；</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（6）印刷及出版及其他宣传广告费用。</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（7）非遗及艺术家保护。以专业角度再现、传承、保护、宣传艺术家及非遗的相关项目。</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（8）七坊街形象建设及项目开发。包括7坊街网站更新维护，二次开发（创客空间、在线教育、网络拍卖）等。</w:t>
      </w:r>
      <w:r>
        <w:rPr>
          <w:rFonts w:asciiTheme="minorEastAsia" w:hAnsiTheme="minorEastAsia"/>
          <w:color w:val="171717" w:themeColor="background2" w:themeShade="1A"/>
          <w:sz w:val="28"/>
          <w:szCs w:val="28"/>
        </w:rPr>
        <w:t xml:space="preserve"> </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2016年1</w:t>
      </w:r>
      <w:r>
        <w:rPr>
          <w:rFonts w:hint="eastAsia" w:asciiTheme="minorEastAsia" w:hAnsiTheme="minorEastAsia"/>
          <w:color w:val="171717" w:themeColor="background2" w:themeShade="1A"/>
          <w:sz w:val="28"/>
          <w:szCs w:val="28"/>
        </w:rPr>
        <w:t>月</w:t>
      </w:r>
      <w:r>
        <w:rPr>
          <w:rFonts w:asciiTheme="minorEastAsia" w:hAnsiTheme="minorEastAsia"/>
          <w:color w:val="171717" w:themeColor="background2" w:themeShade="1A"/>
          <w:sz w:val="28"/>
          <w:szCs w:val="28"/>
        </w:rPr>
        <w:t>1</w:t>
      </w:r>
      <w:r>
        <w:rPr>
          <w:rFonts w:hint="eastAsia" w:asciiTheme="minorEastAsia" w:hAnsiTheme="minorEastAsia"/>
          <w:color w:val="171717" w:themeColor="background2" w:themeShade="1A"/>
          <w:sz w:val="28"/>
          <w:szCs w:val="28"/>
        </w:rPr>
        <w:t>日</w:t>
      </w:r>
      <w:r>
        <w:rPr>
          <w:rFonts w:asciiTheme="minorEastAsia" w:hAnsiTheme="minorEastAsia"/>
          <w:color w:val="171717" w:themeColor="background2" w:themeShade="1A"/>
          <w:sz w:val="28"/>
          <w:szCs w:val="28"/>
        </w:rPr>
        <w:t>-12</w:t>
      </w:r>
      <w:r>
        <w:rPr>
          <w:rFonts w:hint="eastAsia" w:asciiTheme="minorEastAsia" w:hAnsiTheme="minorEastAsia"/>
          <w:color w:val="171717" w:themeColor="background2" w:themeShade="1A"/>
          <w:sz w:val="28"/>
          <w:szCs w:val="28"/>
        </w:rPr>
        <w:t>月</w:t>
      </w:r>
      <w:r>
        <w:rPr>
          <w:rFonts w:asciiTheme="minorEastAsia" w:hAnsiTheme="minorEastAsia"/>
          <w:color w:val="171717" w:themeColor="background2" w:themeShade="1A"/>
          <w:sz w:val="28"/>
          <w:szCs w:val="28"/>
        </w:rPr>
        <w:t>31</w:t>
      </w:r>
      <w:r>
        <w:rPr>
          <w:rFonts w:hint="eastAsia" w:asciiTheme="minorEastAsia" w:hAnsiTheme="minorEastAsia"/>
          <w:color w:val="171717" w:themeColor="background2" w:themeShade="1A"/>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各类行政审批监管、行政执法专项经费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设立的政策依据：用于各类行政审批监管、行政执法</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10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p>
    <w:p>
      <w:pPr>
        <w:widowControl/>
        <w:spacing w:line="560" w:lineRule="exact"/>
        <w:ind w:firstLine="560"/>
        <w:rPr>
          <w:rFonts w:hint="eastAsia"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w:t>
      </w:r>
      <w:r>
        <w:rPr>
          <w:rFonts w:asciiTheme="minorEastAsia" w:hAnsiTheme="minorEastAsia"/>
          <w:color w:val="171717" w:themeColor="background2" w:themeShade="1A"/>
          <w:sz w:val="28"/>
          <w:szCs w:val="28"/>
        </w:rPr>
        <w:t xml:space="preserve"> </w:t>
      </w:r>
      <w:r>
        <w:rPr>
          <w:rFonts w:hint="eastAsia" w:asciiTheme="minorEastAsia" w:hAnsiTheme="minorEastAsia"/>
          <w:color w:val="171717" w:themeColor="background2" w:themeShade="1A"/>
          <w:sz w:val="28"/>
          <w:szCs w:val="28"/>
        </w:rPr>
        <w:t>辖区内文化、体育、广电、旅游市场经营单位的相关行政审批、执法检查、日常监管、专项整治等。</w:t>
      </w:r>
    </w:p>
    <w:p>
      <w:pPr>
        <w:widowControl/>
        <w:spacing w:line="560" w:lineRule="exact"/>
        <w:ind w:firstLine="560"/>
        <w:rPr>
          <w:rFonts w:hint="eastAsia"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(2)文化、旅游从业人员培训费，包括开办讲座、召开例会、组织消防安全应急演练等；</w:t>
      </w:r>
    </w:p>
    <w:p>
      <w:pPr>
        <w:widowControl/>
        <w:spacing w:line="560" w:lineRule="exact"/>
        <w:ind w:firstLine="560"/>
        <w:rPr>
          <w:rFonts w:hint="eastAsia"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(3)行政执法人员业务培训等。</w:t>
      </w:r>
    </w:p>
    <w:p>
      <w:pPr>
        <w:widowControl/>
        <w:spacing w:line="560" w:lineRule="exact"/>
        <w:ind w:firstLine="420" w:firstLineChars="15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（4）行政许可（场地勘验、组织听证等）；</w:t>
      </w:r>
    </w:p>
    <w:p>
      <w:pPr>
        <w:widowControl/>
        <w:spacing w:line="560" w:lineRule="exact"/>
        <w:ind w:firstLine="420" w:firstLineChars="15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（5）鉴定费用（盗版出版物的鉴定、民语类音视频资料的翻译、相关音视频材料的鉴定等）；</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（6）旅游市场监管，质量监督管理与服务，受理处理旅游投诉等运行。</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旅游发展专项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设立的政策依据：用于旅游发展</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200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（1）各类宣传、促销活动及旅游纪念品开发150万元；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（2）行业规范管理及发展，旅游项目建设提升50万元。</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sz w:val="28"/>
          <w:szCs w:val="28"/>
        </w:rPr>
        <w:t>2016年</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562"/>
        <w:rPr>
          <w:rFonts w:asciiTheme="minorEastAsia" w:hAnsiTheme="minorEastAsia"/>
          <w:b/>
          <w:color w:val="171717" w:themeColor="background2" w:themeShade="1A"/>
          <w:sz w:val="28"/>
          <w:szCs w:val="28"/>
        </w:rPr>
      </w:pPr>
      <w:r>
        <w:rPr>
          <w:rFonts w:hint="eastAsia" w:asciiTheme="minorEastAsia" w:hAnsiTheme="minorEastAsia"/>
          <w:b/>
          <w:color w:val="171717" w:themeColor="background2" w:themeShade="1A"/>
          <w:sz w:val="28"/>
          <w:szCs w:val="28"/>
        </w:rPr>
        <w:t>情况二：（</w:t>
      </w:r>
      <w:r>
        <w:rPr>
          <w:rFonts w:asciiTheme="minorEastAsia" w:hAnsiTheme="minorEastAsia"/>
          <w:b/>
          <w:color w:val="171717" w:themeColor="background2" w:themeShade="1A"/>
          <w:sz w:val="28"/>
          <w:szCs w:val="28"/>
        </w:rPr>
        <w:t>属于</w:t>
      </w:r>
      <w:r>
        <w:rPr>
          <w:rFonts w:asciiTheme="minorEastAsia" w:hAnsiTheme="minorEastAsia"/>
          <w:b/>
          <w:color w:val="171717" w:themeColor="background2" w:themeShade="1A"/>
          <w:spacing w:val="-8"/>
          <w:sz w:val="28"/>
          <w:szCs w:val="28"/>
        </w:rPr>
        <w:t>对个人补贴的项目支出</w:t>
      </w:r>
      <w:r>
        <w:rPr>
          <w:rFonts w:hint="eastAsia" w:asciiTheme="minorEastAsia" w:hAnsiTheme="minorEastAsia"/>
          <w:b/>
          <w:color w:val="171717" w:themeColor="background2" w:themeShade="1A"/>
          <w:sz w:val="28"/>
          <w:szCs w:val="28"/>
        </w:rPr>
        <w:t>按下列内容说明）</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项目名称：</w:t>
      </w:r>
      <w:r>
        <w:rPr>
          <w:rFonts w:hint="eastAsia" w:asciiTheme="minorEastAsia" w:hAnsiTheme="minorEastAsia"/>
          <w:color w:val="171717" w:themeColor="background2" w:themeShade="1A"/>
          <w:kern w:val="0"/>
          <w:sz w:val="28"/>
          <w:szCs w:val="28"/>
        </w:rPr>
        <w:t>临时聘用司机、安保等人员维稳补助经费</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设立的政策依据：用于</w:t>
      </w:r>
      <w:r>
        <w:rPr>
          <w:rFonts w:hint="eastAsia" w:asciiTheme="minorEastAsia" w:hAnsiTheme="minorEastAsia"/>
          <w:color w:val="171717" w:themeColor="background2" w:themeShade="1A"/>
          <w:kern w:val="0"/>
          <w:sz w:val="28"/>
          <w:szCs w:val="28"/>
        </w:rPr>
        <w:t>临时聘用司机安保等人员维稳补助</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预算安排规模：</w:t>
      </w:r>
      <w:r>
        <w:rPr>
          <w:rFonts w:asciiTheme="minorEastAsia" w:hAnsiTheme="minorEastAsia"/>
          <w:color w:val="171717" w:themeColor="background2" w:themeShade="1A"/>
          <w:kern w:val="0"/>
          <w:sz w:val="28"/>
          <w:szCs w:val="28"/>
        </w:rPr>
        <w:t>4.80</w:t>
      </w:r>
      <w:r>
        <w:rPr>
          <w:rFonts w:hint="eastAsia" w:asciiTheme="minorEastAsia" w:hAnsiTheme="minorEastAsia"/>
          <w:color w:val="171717" w:themeColor="background2" w:themeShade="1A"/>
          <w:kern w:val="0"/>
          <w:sz w:val="28"/>
          <w:szCs w:val="28"/>
        </w:rPr>
        <w:t>万元</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项目承担单位：</w:t>
      </w:r>
      <w:r>
        <w:rPr>
          <w:rFonts w:hint="eastAsia" w:asciiTheme="minorEastAsia" w:hAnsiTheme="minorEastAsia"/>
          <w:color w:val="171717" w:themeColor="background2" w:themeShade="1A"/>
          <w:kern w:val="0"/>
          <w:sz w:val="28"/>
          <w:szCs w:val="28"/>
        </w:rPr>
        <w:t>乌鲁木齐市水磨沟区文化体育旅游局(乌鲁木齐市水磨沟区新闻出版和版权局)</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资金分配情况：</w:t>
      </w:r>
      <w:r>
        <w:rPr>
          <w:rFonts w:hint="eastAsia" w:asciiTheme="minorEastAsia" w:hAnsiTheme="minorEastAsia"/>
          <w:color w:val="171717" w:themeColor="background2" w:themeShade="1A"/>
          <w:kern w:val="0"/>
          <w:sz w:val="28"/>
          <w:szCs w:val="28"/>
        </w:rPr>
        <w:t>经人事部门核定长期聘用司机维稳费和本年长期聘用司机维稳费支出。</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资金执行时间：</w:t>
      </w:r>
      <w:r>
        <w:rPr>
          <w:rFonts w:asciiTheme="minorEastAsia" w:hAnsiTheme="minorEastAsia"/>
          <w:color w:val="171717" w:themeColor="background2" w:themeShade="1A"/>
          <w:kern w:val="0"/>
          <w:sz w:val="28"/>
          <w:szCs w:val="28"/>
        </w:rPr>
        <w:t>2016年1</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1</w:t>
      </w:r>
      <w:r>
        <w:rPr>
          <w:rFonts w:hint="eastAsia" w:asciiTheme="minorEastAsia" w:hAnsiTheme="minorEastAsia"/>
          <w:color w:val="171717" w:themeColor="background2" w:themeShade="1A"/>
          <w:kern w:val="0"/>
          <w:sz w:val="28"/>
          <w:szCs w:val="28"/>
        </w:rPr>
        <w:t>日</w:t>
      </w:r>
      <w:r>
        <w:rPr>
          <w:rFonts w:asciiTheme="minorEastAsia" w:hAnsiTheme="minorEastAsia"/>
          <w:color w:val="171717" w:themeColor="background2" w:themeShade="1A"/>
          <w:kern w:val="0"/>
          <w:sz w:val="28"/>
          <w:szCs w:val="28"/>
        </w:rPr>
        <w:t>-2016年12</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kern w:val="0"/>
          <w:sz w:val="28"/>
          <w:szCs w:val="28"/>
        </w:rPr>
        <w:t>31</w:t>
      </w:r>
      <w:r>
        <w:rPr>
          <w:rFonts w:hint="eastAsia" w:asciiTheme="minorEastAsia" w:hAnsiTheme="minorEastAsia"/>
          <w:color w:val="171717" w:themeColor="background2" w:themeShade="1A"/>
          <w:kern w:val="0"/>
          <w:sz w:val="28"/>
          <w:szCs w:val="28"/>
        </w:rPr>
        <w:t>日</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资金来源：</w:t>
      </w:r>
      <w:r>
        <w:rPr>
          <w:rFonts w:hint="eastAsia" w:asciiTheme="minorEastAsia" w:hAnsiTheme="minorEastAsia"/>
          <w:color w:val="171717" w:themeColor="background2" w:themeShade="1A"/>
          <w:kern w:val="0"/>
          <w:sz w:val="28"/>
          <w:szCs w:val="28"/>
        </w:rPr>
        <w:t>财政批复部门预算</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补贴人数：</w:t>
      </w:r>
      <w:r>
        <w:rPr>
          <w:rFonts w:asciiTheme="minorEastAsia" w:hAnsiTheme="minorEastAsia"/>
          <w:color w:val="171717" w:themeColor="background2" w:themeShade="1A"/>
          <w:kern w:val="0"/>
          <w:sz w:val="28"/>
          <w:szCs w:val="28"/>
        </w:rPr>
        <w:t>4</w:t>
      </w:r>
      <w:r>
        <w:rPr>
          <w:rFonts w:hint="eastAsia" w:asciiTheme="minorEastAsia" w:hAnsiTheme="minorEastAsia"/>
          <w:color w:val="171717" w:themeColor="background2" w:themeShade="1A"/>
          <w:kern w:val="0"/>
          <w:sz w:val="28"/>
          <w:szCs w:val="28"/>
        </w:rPr>
        <w:t>人</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补贴标准：临聘人员</w:t>
      </w:r>
      <w:r>
        <w:rPr>
          <w:rFonts w:asciiTheme="minorEastAsia" w:hAnsiTheme="minorEastAsia"/>
          <w:color w:val="171717" w:themeColor="background2" w:themeShade="1A"/>
          <w:sz w:val="28"/>
          <w:szCs w:val="28"/>
        </w:rPr>
        <w:t>4</w:t>
      </w:r>
      <w:r>
        <w:rPr>
          <w:rFonts w:hint="eastAsia" w:asciiTheme="minorEastAsia" w:hAnsiTheme="minorEastAsia"/>
          <w:color w:val="171717" w:themeColor="background2" w:themeShade="1A"/>
          <w:sz w:val="28"/>
          <w:szCs w:val="28"/>
        </w:rPr>
        <w:t>名</w:t>
      </w:r>
      <w:r>
        <w:rPr>
          <w:rFonts w:asciiTheme="minorEastAsia" w:hAnsiTheme="minorEastAsia"/>
          <w:color w:val="171717" w:themeColor="background2" w:themeShade="1A"/>
          <w:kern w:val="0"/>
          <w:sz w:val="28"/>
          <w:szCs w:val="28"/>
        </w:rPr>
        <w:t>1000</w:t>
      </w:r>
      <w:r>
        <w:rPr>
          <w:rFonts w:hint="eastAsia" w:asciiTheme="minorEastAsia" w:hAnsiTheme="minorEastAsia"/>
          <w:color w:val="171717" w:themeColor="background2" w:themeShade="1A"/>
          <w:kern w:val="0"/>
          <w:sz w:val="28"/>
          <w:szCs w:val="28"/>
        </w:rPr>
        <w:t>元</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人</w:t>
      </w:r>
      <w:r>
        <w:rPr>
          <w:rFonts w:asciiTheme="minorEastAsia" w:hAnsiTheme="minorEastAsia"/>
          <w:color w:val="171717" w:themeColor="background2" w:themeShade="1A"/>
          <w:kern w:val="0"/>
          <w:sz w:val="28"/>
          <w:szCs w:val="28"/>
        </w:rPr>
        <w:t>/</w:t>
      </w:r>
      <w:r>
        <w:rPr>
          <w:rFonts w:hint="eastAsia" w:asciiTheme="minorEastAsia" w:hAnsiTheme="minorEastAsia"/>
          <w:color w:val="171717" w:themeColor="background2" w:themeShade="1A"/>
          <w:kern w:val="0"/>
          <w:sz w:val="28"/>
          <w:szCs w:val="28"/>
        </w:rPr>
        <w:t>月，</w:t>
      </w:r>
      <w:r>
        <w:rPr>
          <w:rFonts w:asciiTheme="minorEastAsia" w:hAnsiTheme="minorEastAsia"/>
          <w:color w:val="171717" w:themeColor="background2" w:themeShade="1A"/>
          <w:sz w:val="28"/>
          <w:szCs w:val="28"/>
        </w:rPr>
        <w:t xml:space="preserve"> </w:t>
      </w:r>
    </w:p>
    <w:p>
      <w:pPr>
        <w:widowControl/>
        <w:spacing w:line="560" w:lineRule="exact"/>
        <w:ind w:firstLine="560"/>
        <w:rPr>
          <w:rFonts w:asciiTheme="minorEastAsia" w:hAnsiTheme="minorEastAsia"/>
          <w:color w:val="171717" w:themeColor="background2" w:themeShade="1A"/>
          <w:sz w:val="28"/>
          <w:szCs w:val="28"/>
        </w:rPr>
      </w:pPr>
      <w:r>
        <w:rPr>
          <w:rFonts w:hint="eastAsia" w:asciiTheme="minorEastAsia" w:hAnsiTheme="minorEastAsia"/>
          <w:color w:val="171717" w:themeColor="background2" w:themeShade="1A"/>
          <w:sz w:val="28"/>
          <w:szCs w:val="28"/>
        </w:rPr>
        <w:t>补贴范围：</w:t>
      </w:r>
      <w:r>
        <w:rPr>
          <w:rFonts w:hint="eastAsia" w:asciiTheme="minorEastAsia" w:hAnsiTheme="minorEastAsia"/>
          <w:color w:val="171717" w:themeColor="background2" w:themeShade="1A"/>
          <w:kern w:val="0"/>
          <w:sz w:val="28"/>
          <w:szCs w:val="28"/>
        </w:rPr>
        <w:t>临时聘用司机，安保人员</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补贴方式：</w:t>
      </w:r>
      <w:r>
        <w:rPr>
          <w:rFonts w:hint="eastAsia" w:asciiTheme="minorEastAsia" w:hAnsiTheme="minorEastAsia"/>
          <w:color w:val="171717" w:themeColor="background2" w:themeShade="1A"/>
          <w:kern w:val="0"/>
          <w:sz w:val="28"/>
          <w:szCs w:val="28"/>
        </w:rPr>
        <w:t>授权支付</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kern w:val="0"/>
          <w:sz w:val="28"/>
          <w:szCs w:val="28"/>
        </w:rPr>
        <w:t>发放程序：银行统一发放</w:t>
      </w:r>
    </w:p>
    <w:p>
      <w:pPr>
        <w:widowControl/>
        <w:spacing w:line="560" w:lineRule="exact"/>
        <w:ind w:firstLine="560"/>
        <w:rPr>
          <w:rFonts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受益人群和社会效益：</w:t>
      </w:r>
      <w:r>
        <w:rPr>
          <w:rFonts w:hint="eastAsia" w:asciiTheme="minorEastAsia" w:hAnsiTheme="minorEastAsia"/>
          <w:color w:val="171717" w:themeColor="background2" w:themeShade="1A"/>
          <w:kern w:val="0"/>
          <w:sz w:val="28"/>
          <w:szCs w:val="28"/>
        </w:rPr>
        <w:t>临时聘用司机，安保人员</w:t>
      </w:r>
    </w:p>
    <w:p>
      <w:pPr>
        <w:widowControl/>
        <w:spacing w:line="560" w:lineRule="exact"/>
        <w:ind w:firstLine="560"/>
        <w:rPr>
          <w:rFonts w:asciiTheme="minorEastAsia" w:hAnsiTheme="minorEastAsia"/>
          <w:color w:val="171717" w:themeColor="background2" w:themeShade="1A"/>
          <w:kern w:val="0"/>
          <w:sz w:val="28"/>
          <w:szCs w:val="28"/>
        </w:rPr>
      </w:pPr>
    </w:p>
    <w:p>
      <w:pPr>
        <w:widowControl/>
        <w:spacing w:line="560" w:lineRule="exact"/>
        <w:ind w:firstLine="640"/>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七、关于乌鲁木齐市水磨沟区文化体育旅游局(乌鲁木齐市水磨沟区新闻出版和版权局)2016年一般公共预算“三公”经费预算情况说明</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乌鲁木齐市水磨沟区文化体育旅游局(乌鲁木齐市水磨沟区新闻出版和版权局)2016年“三公”经费财政拨款预算数为</w:t>
      </w:r>
      <w:r>
        <w:rPr>
          <w:rFonts w:cs="宋体" w:asciiTheme="minorEastAsia" w:hAnsiTheme="minorEastAsia"/>
          <w:color w:val="171717" w:themeColor="background2" w:themeShade="1A"/>
          <w:kern w:val="0"/>
          <w:sz w:val="28"/>
          <w:szCs w:val="28"/>
        </w:rPr>
        <w:t>15.11</w:t>
      </w:r>
      <w:r>
        <w:rPr>
          <w:rFonts w:hint="eastAsia" w:cs="宋体" w:asciiTheme="minorEastAsia" w:hAnsiTheme="minorEastAsia"/>
          <w:color w:val="171717" w:themeColor="background2" w:themeShade="1A"/>
          <w:kern w:val="0"/>
          <w:sz w:val="28"/>
          <w:szCs w:val="28"/>
        </w:rPr>
        <w:t>万元，其中：因公出国（境）费0万元，公务用车购置0万元，公务用车运行费</w:t>
      </w:r>
      <w:r>
        <w:rPr>
          <w:rFonts w:cs="宋体" w:asciiTheme="minorEastAsia" w:hAnsiTheme="minorEastAsia"/>
          <w:color w:val="171717" w:themeColor="background2" w:themeShade="1A"/>
          <w:kern w:val="0"/>
          <w:sz w:val="28"/>
          <w:szCs w:val="28"/>
        </w:rPr>
        <w:t>15.01</w:t>
      </w:r>
      <w:r>
        <w:rPr>
          <w:rFonts w:hint="eastAsia" w:cs="宋体" w:asciiTheme="minorEastAsia" w:hAnsiTheme="minorEastAsia"/>
          <w:color w:val="171717" w:themeColor="background2" w:themeShade="1A"/>
          <w:kern w:val="0"/>
          <w:sz w:val="28"/>
          <w:szCs w:val="28"/>
        </w:rPr>
        <w:t>万元，公务接待费0.</w:t>
      </w:r>
      <w:r>
        <w:rPr>
          <w:rFonts w:cs="宋体" w:asciiTheme="minorEastAsia" w:hAnsiTheme="minorEastAsia"/>
          <w:color w:val="171717" w:themeColor="background2" w:themeShade="1A"/>
          <w:kern w:val="0"/>
          <w:sz w:val="28"/>
          <w:szCs w:val="28"/>
        </w:rPr>
        <w:t>10</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2016年“三公”经费财政拨款预算与上年持平，其中：因公出国境费未安排预算；公务用车购置费为</w:t>
      </w:r>
      <w:r>
        <w:rPr>
          <w:rFonts w:cs="宋体" w:asciiTheme="minorEastAsia" w:hAnsiTheme="minorEastAsia"/>
          <w:color w:val="171717" w:themeColor="background2" w:themeShade="1A"/>
          <w:kern w:val="0"/>
          <w:sz w:val="28"/>
          <w:szCs w:val="28"/>
        </w:rPr>
        <w:t>15.01</w:t>
      </w:r>
      <w:r>
        <w:rPr>
          <w:rFonts w:hint="eastAsia" w:cs="宋体" w:asciiTheme="minorEastAsia" w:hAnsiTheme="minorEastAsia"/>
          <w:color w:val="171717" w:themeColor="background2" w:themeShade="1A"/>
          <w:kern w:val="0"/>
          <w:sz w:val="28"/>
          <w:szCs w:val="28"/>
        </w:rPr>
        <w:t>万元，公务用车运行费预算与上年持平；公务接待费</w:t>
      </w:r>
      <w:r>
        <w:rPr>
          <w:rFonts w:cs="宋体" w:asciiTheme="minorEastAsia" w:hAnsiTheme="minorEastAsia"/>
          <w:color w:val="171717" w:themeColor="background2" w:themeShade="1A"/>
          <w:kern w:val="0"/>
          <w:sz w:val="28"/>
          <w:szCs w:val="28"/>
        </w:rPr>
        <w:t>0.10</w:t>
      </w:r>
      <w:r>
        <w:rPr>
          <w:rFonts w:hint="eastAsia" w:cs="宋体" w:asciiTheme="minorEastAsia" w:hAnsiTheme="minorEastAsia"/>
          <w:color w:val="171717" w:themeColor="background2" w:themeShade="1A"/>
          <w:kern w:val="0"/>
          <w:sz w:val="28"/>
          <w:szCs w:val="28"/>
        </w:rPr>
        <w:t>万元。公务接待费预算与上年持平。</w:t>
      </w:r>
    </w:p>
    <w:p>
      <w:pPr>
        <w:widowControl/>
        <w:spacing w:line="560" w:lineRule="exact"/>
        <w:ind w:firstLine="640"/>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八、关于乌鲁木齐市水磨沟区文化体育旅游局(乌鲁木齐市水磨沟区新闻出版和版权局)2016年政府性基金预算拨款情况说明</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在预算中未安排政府性基金预算的部门，必须公开空表。</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spacing w:line="560" w:lineRule="exact"/>
        <w:ind w:firstLine="643"/>
        <w:rPr>
          <w:rFonts w:ascii="楷体" w:hAnsi="楷体" w:eastAsia="楷体"/>
          <w:color w:val="171717" w:themeColor="background2" w:themeShade="1A"/>
        </w:rPr>
      </w:pPr>
      <w:r>
        <w:rPr>
          <w:rFonts w:hint="eastAsia" w:ascii="楷体" w:hAnsi="楷体" w:eastAsia="楷体"/>
          <w:color w:val="171717" w:themeColor="background2" w:themeShade="1A"/>
        </w:rPr>
        <w:t>（一）政府采购情况</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2016年，乌鲁木齐市水磨沟区文化体育旅游局(乌鲁木齐市水磨沟区新闻出版和版权局)及下属单</w:t>
      </w:r>
      <w:r>
        <w:rPr>
          <w:rFonts w:hint="eastAsia" w:cs="宋体" w:asciiTheme="minorEastAsia" w:hAnsiTheme="minorEastAsia"/>
          <w:color w:val="171717" w:themeColor="background2" w:themeShade="1A"/>
          <w:kern w:val="0"/>
          <w:sz w:val="28"/>
          <w:szCs w:val="28"/>
        </w:rPr>
        <w:t>位政府采购预算0万元，其中：政府采购货物预算0万元，政府采购工程预算0万元，政府采购服务预算0万元。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asciiTheme="minorEastAsia" w:hAnsiTheme="minorEastAsia"/>
          <w:color w:val="171717" w:themeColor="background2" w:themeShade="1A"/>
          <w:sz w:val="28"/>
          <w:szCs w:val="28"/>
        </w:rPr>
        <w:t>2016年度本部门面向中小企业预留政府采购项目预算金额0万元，其中：面向小微企业预留政府采购项目预算金额0万元。</w:t>
      </w:r>
    </w:p>
    <w:p>
      <w:pPr>
        <w:widowControl/>
        <w:spacing w:line="560" w:lineRule="exact"/>
        <w:ind w:firstLine="643"/>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（二）国有资产占用使用情况</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截至201</w:t>
      </w:r>
      <w:r>
        <w:rPr>
          <w:rFonts w:cs="宋体" w:asciiTheme="minorEastAsia" w:hAnsiTheme="minorEastAsia"/>
          <w:color w:val="171717" w:themeColor="background2" w:themeShade="1A"/>
          <w:kern w:val="0"/>
          <w:sz w:val="28"/>
          <w:szCs w:val="28"/>
        </w:rPr>
        <w:t>5</w:t>
      </w:r>
      <w:r>
        <w:rPr>
          <w:rFonts w:hint="eastAsia" w:cs="宋体" w:asciiTheme="minorEastAsia" w:hAnsiTheme="minorEastAsia"/>
          <w:color w:val="171717" w:themeColor="background2" w:themeShade="1A"/>
          <w:kern w:val="0"/>
          <w:sz w:val="28"/>
          <w:szCs w:val="28"/>
        </w:rPr>
        <w:t>年底，</w:t>
      </w:r>
      <w:r>
        <w:rPr>
          <w:rFonts w:hint="eastAsia" w:asciiTheme="minorEastAsia" w:hAnsiTheme="minorEastAsia"/>
          <w:color w:val="171717" w:themeColor="background2" w:themeShade="1A"/>
          <w:sz w:val="28"/>
          <w:szCs w:val="28"/>
        </w:rPr>
        <w:t>乌鲁木齐市水磨沟区文化体育旅游局(乌鲁木齐市水磨沟区新闻出版和版权局)</w:t>
      </w:r>
      <w:r>
        <w:rPr>
          <w:rFonts w:hint="eastAsia" w:cs="宋体" w:asciiTheme="minorEastAsia" w:hAnsiTheme="minorEastAsia"/>
          <w:color w:val="171717" w:themeColor="background2" w:themeShade="1A"/>
          <w:kern w:val="0"/>
          <w:sz w:val="28"/>
          <w:szCs w:val="28"/>
        </w:rPr>
        <w:t>部门及下属各预算单位占用使用国有资产总体情况为</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1.房屋</w:t>
      </w:r>
      <w:r>
        <w:rPr>
          <w:rFonts w:cs="宋体" w:asciiTheme="minorEastAsia" w:hAnsiTheme="minorEastAsia"/>
          <w:color w:val="171717" w:themeColor="background2" w:themeShade="1A"/>
          <w:kern w:val="0"/>
          <w:sz w:val="28"/>
          <w:szCs w:val="28"/>
        </w:rPr>
        <w:t>3,025.00</w:t>
      </w:r>
      <w:r>
        <w:rPr>
          <w:rFonts w:hint="eastAsia" w:cs="宋体" w:asciiTheme="minorEastAsia" w:hAnsiTheme="minorEastAsia"/>
          <w:color w:val="171717" w:themeColor="background2" w:themeShade="1A"/>
          <w:kern w:val="0"/>
          <w:sz w:val="28"/>
          <w:szCs w:val="28"/>
        </w:rPr>
        <w:t>平方米，价值</w:t>
      </w:r>
      <w:r>
        <w:rPr>
          <w:rFonts w:cs="宋体" w:asciiTheme="minorEastAsia" w:hAnsiTheme="minorEastAsia"/>
          <w:color w:val="171717" w:themeColor="background2" w:themeShade="1A"/>
          <w:kern w:val="0"/>
          <w:sz w:val="28"/>
          <w:szCs w:val="28"/>
        </w:rPr>
        <w:t>147.13</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2.车辆6辆，价值</w:t>
      </w:r>
      <w:r>
        <w:rPr>
          <w:rFonts w:cs="宋体" w:asciiTheme="minorEastAsia" w:hAnsiTheme="minorEastAsia"/>
          <w:color w:val="171717" w:themeColor="background2" w:themeShade="1A"/>
          <w:kern w:val="0"/>
          <w:sz w:val="28"/>
          <w:szCs w:val="28"/>
        </w:rPr>
        <w:t>52.92</w:t>
      </w:r>
      <w:r>
        <w:rPr>
          <w:rFonts w:hint="eastAsia" w:cs="宋体" w:asciiTheme="minorEastAsia" w:hAnsiTheme="minorEastAsia"/>
          <w:color w:val="171717" w:themeColor="background2" w:themeShade="1A"/>
          <w:kern w:val="0"/>
          <w:sz w:val="28"/>
          <w:szCs w:val="28"/>
        </w:rPr>
        <w:t>万元；其中：一般公务用车</w:t>
      </w:r>
      <w:r>
        <w:rPr>
          <w:rFonts w:cs="宋体" w:asciiTheme="minorEastAsia" w:hAnsiTheme="minorEastAsia"/>
          <w:color w:val="171717" w:themeColor="background2" w:themeShade="1A"/>
          <w:kern w:val="0"/>
          <w:sz w:val="28"/>
          <w:szCs w:val="28"/>
        </w:rPr>
        <w:t>4</w:t>
      </w:r>
      <w:r>
        <w:rPr>
          <w:rFonts w:hint="eastAsia" w:cs="宋体" w:asciiTheme="minorEastAsia" w:hAnsiTheme="minorEastAsia"/>
          <w:color w:val="171717" w:themeColor="background2" w:themeShade="1A"/>
          <w:kern w:val="0"/>
          <w:sz w:val="28"/>
          <w:szCs w:val="28"/>
        </w:rPr>
        <w:t>辆，价值2</w:t>
      </w:r>
      <w:r>
        <w:rPr>
          <w:rFonts w:cs="宋体" w:asciiTheme="minorEastAsia" w:hAnsiTheme="minorEastAsia"/>
          <w:color w:val="171717" w:themeColor="background2" w:themeShade="1A"/>
          <w:kern w:val="0"/>
          <w:sz w:val="28"/>
          <w:szCs w:val="28"/>
        </w:rPr>
        <w:t>3.89</w:t>
      </w:r>
      <w:r>
        <w:rPr>
          <w:rFonts w:hint="eastAsia" w:cs="宋体" w:asciiTheme="minorEastAsia" w:hAnsiTheme="minorEastAsia"/>
          <w:color w:val="171717" w:themeColor="background2" w:themeShade="1A"/>
          <w:kern w:val="0"/>
          <w:sz w:val="28"/>
          <w:szCs w:val="28"/>
        </w:rPr>
        <w:t>万元；执法执勤用2辆，价值</w:t>
      </w:r>
      <w:r>
        <w:rPr>
          <w:rFonts w:cs="宋体" w:asciiTheme="minorEastAsia" w:hAnsiTheme="minorEastAsia"/>
          <w:color w:val="171717" w:themeColor="background2" w:themeShade="1A"/>
          <w:kern w:val="0"/>
          <w:sz w:val="28"/>
          <w:szCs w:val="28"/>
        </w:rPr>
        <w:t>29.04</w:t>
      </w:r>
      <w:r>
        <w:rPr>
          <w:rFonts w:hint="eastAsia" w:cs="宋体" w:asciiTheme="minorEastAsia" w:hAnsiTheme="minorEastAsia"/>
          <w:color w:val="171717" w:themeColor="background2" w:themeShade="1A"/>
          <w:kern w:val="0"/>
          <w:sz w:val="28"/>
          <w:szCs w:val="28"/>
        </w:rPr>
        <w:t>万元；其他车辆0辆，价值0万元。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3.单价在20万元以上的设备</w:t>
      </w:r>
      <w:r>
        <w:rPr>
          <w:rFonts w:cs="宋体" w:asciiTheme="minorEastAsia" w:hAnsiTheme="minorEastAsia"/>
          <w:color w:val="171717" w:themeColor="background2" w:themeShade="1A"/>
          <w:kern w:val="0"/>
          <w:sz w:val="28"/>
          <w:szCs w:val="28"/>
        </w:rPr>
        <w:t>0</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cs="宋体" w:asciiTheme="minorEastAsia" w:hAnsiTheme="minorEastAsia"/>
          <w:color w:val="171717" w:themeColor="background2" w:themeShade="1A"/>
          <w:kern w:val="0"/>
          <w:sz w:val="28"/>
          <w:szCs w:val="28"/>
        </w:rPr>
        <w:t>4.</w:t>
      </w:r>
      <w:r>
        <w:rPr>
          <w:rFonts w:hint="eastAsia" w:cs="宋体" w:asciiTheme="minorEastAsia" w:hAnsiTheme="minorEastAsia"/>
          <w:color w:val="171717" w:themeColor="background2" w:themeShade="1A"/>
          <w:kern w:val="0"/>
          <w:sz w:val="28"/>
          <w:szCs w:val="28"/>
        </w:rPr>
        <w:t>其他资产价值（含办公家具价值）</w:t>
      </w:r>
      <w:r>
        <w:rPr>
          <w:rFonts w:cs="宋体" w:asciiTheme="minorEastAsia" w:hAnsiTheme="minorEastAsia"/>
          <w:color w:val="171717" w:themeColor="background2" w:themeShade="1A"/>
          <w:kern w:val="0"/>
          <w:sz w:val="28"/>
          <w:szCs w:val="28"/>
        </w:rPr>
        <w:t>436.99</w:t>
      </w:r>
      <w:r>
        <w:rPr>
          <w:rFonts w:hint="eastAsia" w:cs="宋体" w:asciiTheme="minorEastAsia" w:hAnsiTheme="minorEastAsia"/>
          <w:color w:val="171717" w:themeColor="background2" w:themeShade="1A"/>
          <w:kern w:val="0"/>
          <w:sz w:val="28"/>
          <w:szCs w:val="28"/>
        </w:rPr>
        <w:t>万元。</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2016年部门预算未安排购置车辆经费（或安排购置车辆经费0万元），安排购置50万元以上大型设备0台（套），单位价值100万元以上大型设备0台（套）。</w:t>
      </w:r>
    </w:p>
    <w:p>
      <w:pPr>
        <w:widowControl/>
        <w:spacing w:line="560" w:lineRule="exact"/>
        <w:ind w:firstLine="643"/>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（三）预算绩效情况</w:t>
      </w:r>
    </w:p>
    <w:p>
      <w:pPr>
        <w:widowControl/>
        <w:spacing w:line="560" w:lineRule="exact"/>
        <w:ind w:firstLine="560"/>
        <w:rPr>
          <w:rFonts w:cs="宋体" w:asciiTheme="minorEastAsia" w:hAnsiTheme="minorEastAsia"/>
          <w:color w:val="171717" w:themeColor="background2" w:themeShade="1A"/>
          <w:kern w:val="0"/>
          <w:sz w:val="28"/>
          <w:szCs w:val="28"/>
        </w:rPr>
      </w:pPr>
      <w:r>
        <w:rPr>
          <w:rFonts w:hint="eastAsia" w:cs="宋体" w:asciiTheme="minorEastAsia" w:hAnsiTheme="minorEastAsia"/>
          <w:color w:val="171717" w:themeColor="background2" w:themeShade="1A"/>
          <w:kern w:val="0"/>
          <w:sz w:val="28"/>
          <w:szCs w:val="28"/>
        </w:rPr>
        <w:t>2016年度，本年度实行绩效管理的项目0个，涉及预算金额0万元。具体情况见下表（按项目分别填报）：</w:t>
      </w: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p>
    <w:p>
      <w:pPr>
        <w:spacing w:line="500" w:lineRule="exact"/>
        <w:ind w:firstLine="723"/>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ind w:firstLine="720"/>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widowControl/>
        <w:ind w:firstLine="0" w:firstLineChars="0"/>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701"/>
        <w:gridCol w:w="850"/>
      </w:tblGrid>
      <w:tr>
        <w:tblPrEx>
          <w:tblLayout w:type="fixed"/>
          <w:tblCellMar>
            <w:top w:w="0" w:type="dxa"/>
            <w:left w:w="108" w:type="dxa"/>
            <w:bottom w:w="0" w:type="dxa"/>
            <w:right w:w="108" w:type="dxa"/>
          </w:tblCellMar>
        </w:tblPrEx>
        <w:trPr>
          <w:trHeight w:val="862"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99" w:firstLineChars="83"/>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199" w:firstLineChars="83"/>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ind w:firstLine="199" w:firstLineChars="83"/>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199" w:firstLineChars="83"/>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联系电话</w:t>
            </w:r>
          </w:p>
        </w:tc>
        <w:tc>
          <w:tcPr>
            <w:tcW w:w="850"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其他</w:t>
            </w:r>
          </w:p>
        </w:tc>
      </w:tr>
      <w:tr>
        <w:tblPrEx>
          <w:tblLayout w:type="fixed"/>
          <w:tblCellMar>
            <w:top w:w="0" w:type="dxa"/>
            <w:left w:w="108" w:type="dxa"/>
            <w:bottom w:w="0" w:type="dxa"/>
            <w:right w:w="108" w:type="dxa"/>
          </w:tblCellMar>
        </w:tblPrEx>
        <w:trPr>
          <w:trHeight w:val="625"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ind w:firstLine="0" w:firstLineChars="0"/>
              <w:jc w:val="center"/>
              <w:rPr>
                <w:rFonts w:ascii="仿宋_GB2312" w:eastAsia="仿宋_GB2312" w:cs="宋体" w:hAnsiTheme="minorEastAsia"/>
                <w:color w:val="171717" w:themeColor="background2" w:themeShade="1A"/>
              </w:rPr>
            </w:pPr>
          </w:p>
        </w:tc>
      </w:tr>
      <w:tr>
        <w:tblPrEx>
          <w:tblLayout w:type="fixed"/>
          <w:tblCellMar>
            <w:top w:w="0" w:type="dxa"/>
            <w:left w:w="108" w:type="dxa"/>
            <w:bottom w:w="0" w:type="dxa"/>
            <w:right w:w="108" w:type="dxa"/>
          </w:tblCellMar>
        </w:tblPrEx>
        <w:trPr>
          <w:trHeight w:val="56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ind w:firstLine="199" w:firstLineChars="83"/>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both"/>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685"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52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0" w:firstLineChars="0"/>
              <w:jc w:val="center"/>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199" w:firstLineChars="83"/>
              <w:jc w:val="both"/>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jc w:val="center"/>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ind w:firstLine="480"/>
              <w:rPr>
                <w:rFonts w:ascii="仿宋_GB2312" w:eastAsia="仿宋_GB2312" w:cs="宋体" w:hAnsiTheme="minorEastAsia"/>
                <w:color w:val="171717" w:themeColor="background2" w:themeShade="1A"/>
                <w:kern w:val="0"/>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r>
              <w:rPr>
                <w:rFonts w:hint="eastAsia" w:ascii="仿宋_GB2312" w:eastAsia="仿宋_GB2312" w:cs="宋体" w:hAnsiTheme="minorEastAsia"/>
                <w:color w:val="171717" w:themeColor="background2" w:themeShade="1A"/>
                <w:kern w:val="0"/>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480"/>
              <w:rPr>
                <w:rFonts w:ascii="仿宋_GB2312" w:eastAsia="仿宋_GB2312" w:cs="宋体" w:hAnsiTheme="minorEastAsia"/>
                <w:color w:val="171717" w:themeColor="background2" w:themeShade="1A"/>
                <w:kern w:val="0"/>
              </w:rPr>
            </w:pPr>
          </w:p>
        </w:tc>
      </w:tr>
    </w:tbl>
    <w:p>
      <w:pPr>
        <w:widowControl/>
        <w:spacing w:line="560" w:lineRule="exact"/>
        <w:ind w:firstLine="627" w:firstLineChars="196"/>
        <w:rPr>
          <w:rFonts w:ascii="黑体" w:hAnsi="黑体" w:eastAsia="黑体" w:cs="宋体"/>
          <w:color w:val="171717" w:themeColor="background2" w:themeShade="1A"/>
          <w:kern w:val="0"/>
          <w:sz w:val="32"/>
          <w:szCs w:val="32"/>
        </w:rPr>
      </w:pPr>
    </w:p>
    <w:p>
      <w:pPr>
        <w:widowControl/>
        <w:spacing w:line="560" w:lineRule="exact"/>
        <w:ind w:firstLine="630" w:firstLineChars="196"/>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480"/>
        <w:rPr>
          <w:rFonts w:ascii="仿宋_GB2312" w:hAnsi="宋体" w:eastAsia="仿宋_GB2312" w:cs="宋体"/>
          <w:color w:val="171717" w:themeColor="background2" w:themeShade="1A"/>
          <w:kern w:val="0"/>
          <w:sz w:val="32"/>
          <w:szCs w:val="32"/>
        </w:rPr>
      </w:pPr>
      <w:r>
        <w:rPr>
          <w:rFonts w:hint="eastAsia" w:ascii="仿宋_GB2312" w:eastAsia="仿宋_GB2312" w:cs="宋体" w:hAnsiTheme="minorEastAsia"/>
          <w:color w:val="171717" w:themeColor="background2" w:themeShade="1A"/>
          <w:kern w:val="0"/>
        </w:rPr>
        <w:t>……</w:t>
      </w:r>
    </w:p>
    <w:p>
      <w:pPr>
        <w:pStyle w:val="2"/>
        <w:spacing w:before="435"/>
        <w:ind w:firstLine="6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  名词解释</w:t>
      </w:r>
    </w:p>
    <w:p>
      <w:pPr>
        <w:ind w:firstLine="640"/>
        <w:rPr>
          <w:rFonts w:ascii="黑体" w:hAnsi="黑体" w:eastAsia="黑体"/>
          <w:color w:val="171717" w:themeColor="background2" w:themeShade="1A"/>
          <w:sz w:val="32"/>
          <w:szCs w:val="32"/>
        </w:rPr>
      </w:pPr>
      <w:r>
        <w:rPr>
          <w:rFonts w:hint="eastAsia" w:ascii="黑体" w:hAnsi="黑体" w:eastAsia="黑体"/>
          <w:color w:val="171717" w:themeColor="background2" w:themeShade="1A"/>
          <w:sz w:val="32"/>
          <w:szCs w:val="32"/>
        </w:rPr>
        <w:t>名词解释：</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color w:val="171717" w:themeColor="background2" w:themeShade="1A"/>
          <w:sz w:val="28"/>
          <w:szCs w:val="28"/>
        </w:rPr>
        <w:t>指由一般公共预算、政府性基金预算安排的财政拨款数。</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color w:val="171717" w:themeColor="background2" w:themeShade="1A"/>
          <w:sz w:val="28"/>
          <w:szCs w:val="28"/>
        </w:rPr>
        <w:t>包括公共财政拨款（补助）资金、专项收入。</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color w:val="171717" w:themeColor="background2" w:themeShade="1A"/>
          <w:sz w:val="28"/>
          <w:szCs w:val="28"/>
        </w:rPr>
        <w:t>包括罚没收入、国有资源（资产）有偿使用收入、行政事业性收费收入等。</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color w:val="171717" w:themeColor="background2" w:themeShade="1A"/>
          <w:sz w:val="28"/>
          <w:szCs w:val="28"/>
        </w:rPr>
        <w:t>包括事业收入、经营收入、其他收入等。</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color w:val="171717" w:themeColor="background2" w:themeShade="1A"/>
          <w:sz w:val="28"/>
          <w:szCs w:val="28"/>
        </w:rPr>
        <w:t>包括人员经费、商品和服务支出（定额）。其中，人员经费包括工资福利支出、对个人和家庭的补助。</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firstLine="640"/>
        <w:rPr>
          <w:rFonts w:asciiTheme="minorEastAsia" w:hAnsi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ind w:firstLine="0" w:firstLineChars="0"/>
        <w:jc w:val="right"/>
        <w:rPr>
          <w:rFonts w:asciiTheme="minorEastAsia" w:hAnsiTheme="minorEastAsia"/>
          <w:color w:val="171717" w:themeColor="background2" w:themeShade="1A"/>
          <w:sz w:val="28"/>
          <w:szCs w:val="28"/>
        </w:rPr>
      </w:pPr>
      <w:r>
        <w:rPr>
          <w:rFonts w:hint="eastAsia" w:ascii="仿宋_GB2312" w:eastAsia="仿宋_GB2312" w:hAnsiTheme="minorEastAsia"/>
          <w:color w:val="171717" w:themeColor="background2" w:themeShade="1A"/>
          <w:sz w:val="32"/>
          <w:szCs w:val="32"/>
        </w:rPr>
        <w:t>乌鲁木齐市水磨沟区</w:t>
      </w:r>
      <w:r>
        <w:rPr>
          <w:rFonts w:hint="eastAsia" w:ascii="仿宋_GB2312" w:eastAsia="仿宋_GB2312"/>
          <w:color w:val="171717" w:themeColor="background2" w:themeShade="1A"/>
          <w:sz w:val="32"/>
          <w:szCs w:val="32"/>
        </w:rPr>
        <w:t>乌鲁木齐市水磨沟区文化体育旅游局(乌鲁木齐市水磨沟区新闻出版和版权局)</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w:t>
      </w:r>
      <w:r>
        <w:rPr>
          <w:rFonts w:hint="eastAsia" w:ascii="仿宋_GB2312" w:eastAsia="仿宋_GB2312" w:hAnsiTheme="minorEastAsia"/>
          <w:color w:val="171717" w:themeColor="background2" w:themeShade="1A"/>
          <w:sz w:val="32"/>
          <w:szCs w:val="32"/>
          <w:lang w:val="en-US" w:eastAsia="zh-CN"/>
        </w:rPr>
        <w:t>8</w:t>
      </w:r>
      <w:r>
        <w:rPr>
          <w:rFonts w:hint="eastAsia" w:ascii="仿宋_GB2312" w:eastAsia="仿宋_GB2312" w:hAnsiTheme="minorEastAsia"/>
          <w:color w:val="171717" w:themeColor="background2" w:themeShade="1A"/>
          <w:sz w:val="32"/>
          <w:szCs w:val="32"/>
        </w:rPr>
        <w:t xml:space="preserve">年 </w:t>
      </w:r>
      <w:r>
        <w:rPr>
          <w:rFonts w:hint="eastAsia" w:ascii="仿宋_GB2312" w:eastAsia="仿宋_GB2312" w:hAnsiTheme="minorEastAsia"/>
          <w:color w:val="171717" w:themeColor="background2" w:themeShade="1A"/>
          <w:sz w:val="32"/>
          <w:szCs w:val="32"/>
          <w:lang w:val="en-US" w:eastAsia="zh-CN"/>
        </w:rPr>
        <w:t>1</w:t>
      </w:r>
      <w:r>
        <w:rPr>
          <w:rFonts w:hint="eastAsia" w:ascii="仿宋_GB2312" w:eastAsia="仿宋_GB2312" w:hAnsiTheme="minorEastAsia"/>
          <w:color w:val="171717" w:themeColor="background2" w:themeShade="1A"/>
          <w:sz w:val="32"/>
          <w:szCs w:val="32"/>
        </w:rPr>
        <w:t>2 月</w:t>
      </w:r>
      <w:r>
        <w:rPr>
          <w:rFonts w:hint="eastAsia" w:ascii="仿宋_GB2312" w:eastAsia="仿宋_GB2312" w:hAnsiTheme="minorEastAsia"/>
          <w:color w:val="171717" w:themeColor="background2" w:themeShade="1A"/>
          <w:sz w:val="32"/>
          <w:szCs w:val="32"/>
          <w:lang w:val="en-US" w:eastAsia="zh-CN"/>
        </w:rPr>
        <w:t>16</w:t>
      </w:r>
      <w:r>
        <w:rPr>
          <w:rFonts w:hint="eastAsia" w:ascii="仿宋_GB2312" w:eastAsia="仿宋_GB2312" w:hAnsiTheme="minorEastAsia"/>
          <w:color w:val="171717" w:themeColor="background2" w:themeShade="1A"/>
          <w:sz w:val="32"/>
          <w:szCs w:val="32"/>
        </w:rPr>
        <w:t xml:space="preserve"> 日</w:t>
      </w:r>
    </w:p>
    <w:p>
      <w:pPr>
        <w:widowControl/>
        <w:spacing w:line="560" w:lineRule="exact"/>
        <w:ind w:firstLine="600"/>
        <w:rPr>
          <w:rFonts w:ascii="仿宋_GB2312" w:eastAsia="仿宋_GB2312"/>
          <w:sz w:val="30"/>
          <w:szCs w:val="30"/>
        </w:rPr>
      </w:pPr>
      <w:bookmarkStart w:id="1" w:name="_GoBack"/>
      <w:bookmarkEnd w:id="1"/>
    </w:p>
    <w:sectPr>
      <w:footerReference r:id="rId9" w:type="default"/>
      <w:footerReference r:id="rId10"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Arial"/>
    <w:panose1 w:val="00000000000000000000"/>
    <w:charset w:val="00"/>
    <w:family w:val="swiss"/>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04BF1"/>
    <w:rsid w:val="00015A9E"/>
    <w:rsid w:val="0005492F"/>
    <w:rsid w:val="0005664E"/>
    <w:rsid w:val="00063C72"/>
    <w:rsid w:val="00077B32"/>
    <w:rsid w:val="0008062C"/>
    <w:rsid w:val="000D2058"/>
    <w:rsid w:val="00136C7E"/>
    <w:rsid w:val="00137C08"/>
    <w:rsid w:val="00150E64"/>
    <w:rsid w:val="00162716"/>
    <w:rsid w:val="001E7E3F"/>
    <w:rsid w:val="00200821"/>
    <w:rsid w:val="002225E6"/>
    <w:rsid w:val="00233F7E"/>
    <w:rsid w:val="0025010F"/>
    <w:rsid w:val="00267767"/>
    <w:rsid w:val="002B24A9"/>
    <w:rsid w:val="002D212B"/>
    <w:rsid w:val="002D4442"/>
    <w:rsid w:val="002E6709"/>
    <w:rsid w:val="0034574E"/>
    <w:rsid w:val="00356C77"/>
    <w:rsid w:val="003D5F3A"/>
    <w:rsid w:val="0044138E"/>
    <w:rsid w:val="00450995"/>
    <w:rsid w:val="00472D3C"/>
    <w:rsid w:val="004936A1"/>
    <w:rsid w:val="00513072"/>
    <w:rsid w:val="00526BFF"/>
    <w:rsid w:val="00530B2B"/>
    <w:rsid w:val="00550EB6"/>
    <w:rsid w:val="00564CC8"/>
    <w:rsid w:val="0059152D"/>
    <w:rsid w:val="005E08B6"/>
    <w:rsid w:val="00634734"/>
    <w:rsid w:val="00641EEA"/>
    <w:rsid w:val="00682DD0"/>
    <w:rsid w:val="006944E3"/>
    <w:rsid w:val="006A6DB2"/>
    <w:rsid w:val="006B0715"/>
    <w:rsid w:val="006B2AE2"/>
    <w:rsid w:val="006B2B8B"/>
    <w:rsid w:val="006D65F2"/>
    <w:rsid w:val="006E4071"/>
    <w:rsid w:val="006E75B4"/>
    <w:rsid w:val="007571DA"/>
    <w:rsid w:val="0076641F"/>
    <w:rsid w:val="007825E7"/>
    <w:rsid w:val="007C3CC4"/>
    <w:rsid w:val="007D6CEE"/>
    <w:rsid w:val="007D6FE0"/>
    <w:rsid w:val="007E568A"/>
    <w:rsid w:val="007F0174"/>
    <w:rsid w:val="00805D49"/>
    <w:rsid w:val="008B6604"/>
    <w:rsid w:val="008D6605"/>
    <w:rsid w:val="00900DB7"/>
    <w:rsid w:val="009165E6"/>
    <w:rsid w:val="00927C09"/>
    <w:rsid w:val="0093082C"/>
    <w:rsid w:val="009962C7"/>
    <w:rsid w:val="009D68A0"/>
    <w:rsid w:val="009E17E6"/>
    <w:rsid w:val="009E1C20"/>
    <w:rsid w:val="009E4D84"/>
    <w:rsid w:val="009F1416"/>
    <w:rsid w:val="00A039D9"/>
    <w:rsid w:val="00A27703"/>
    <w:rsid w:val="00A339FC"/>
    <w:rsid w:val="00A931BA"/>
    <w:rsid w:val="00AA7690"/>
    <w:rsid w:val="00AB223A"/>
    <w:rsid w:val="00AB74B6"/>
    <w:rsid w:val="00AF4984"/>
    <w:rsid w:val="00B35BA7"/>
    <w:rsid w:val="00B45603"/>
    <w:rsid w:val="00B50576"/>
    <w:rsid w:val="00B50845"/>
    <w:rsid w:val="00B50B23"/>
    <w:rsid w:val="00B52F97"/>
    <w:rsid w:val="00B70FF2"/>
    <w:rsid w:val="00B91C4B"/>
    <w:rsid w:val="00BB1ACF"/>
    <w:rsid w:val="00BD5383"/>
    <w:rsid w:val="00BD58B7"/>
    <w:rsid w:val="00BD7853"/>
    <w:rsid w:val="00BE1713"/>
    <w:rsid w:val="00C205A0"/>
    <w:rsid w:val="00C54E02"/>
    <w:rsid w:val="00C650C1"/>
    <w:rsid w:val="00CB4044"/>
    <w:rsid w:val="00CF2469"/>
    <w:rsid w:val="00D155B7"/>
    <w:rsid w:val="00D26B13"/>
    <w:rsid w:val="00DA54C6"/>
    <w:rsid w:val="00DA72E0"/>
    <w:rsid w:val="00DD4DF2"/>
    <w:rsid w:val="00E0317F"/>
    <w:rsid w:val="00E16364"/>
    <w:rsid w:val="00E27CF1"/>
    <w:rsid w:val="00E50607"/>
    <w:rsid w:val="00E638BE"/>
    <w:rsid w:val="00E656BC"/>
    <w:rsid w:val="00E90135"/>
    <w:rsid w:val="00E96657"/>
    <w:rsid w:val="00EA0DC1"/>
    <w:rsid w:val="00EA1F1A"/>
    <w:rsid w:val="00EE52DD"/>
    <w:rsid w:val="00EF75D7"/>
    <w:rsid w:val="00F418A1"/>
    <w:rsid w:val="00F45EDF"/>
    <w:rsid w:val="00F611DD"/>
    <w:rsid w:val="00FC21BA"/>
    <w:rsid w:val="00FC2371"/>
    <w:rsid w:val="00FD3FBA"/>
    <w:rsid w:val="00FD73C8"/>
    <w:rsid w:val="00FE47E8"/>
    <w:rsid w:val="00FF1024"/>
    <w:rsid w:val="39ED1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pPr>
    <w:rPr>
      <w:rFonts w:ascii="Times New Roman" w:hAnsi="Times New Roman" w:cs="Times New Roman" w:eastAsiaTheme="minorEastAsia"/>
      <w:kern w:val="2"/>
      <w:sz w:val="24"/>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outlineLvl w:val="2"/>
    </w:pPr>
    <w:rPr>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uiPriority w:val="0"/>
    <w:rPr>
      <w:sz w:val="18"/>
      <w:szCs w:val="18"/>
    </w:rPr>
  </w:style>
  <w:style w:type="paragraph" w:styleId="6">
    <w:name w:val="footer"/>
    <w:basedOn w:val="1"/>
    <w:link w:val="15"/>
    <w:uiPriority w:val="99"/>
    <w:pPr>
      <w:tabs>
        <w:tab w:val="center" w:pos="4153"/>
        <w:tab w:val="right" w:pos="8306"/>
      </w:tabs>
      <w:snapToGrid w:val="0"/>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uiPriority w:val="0"/>
    <w:pPr>
      <w:widowControl/>
      <w:spacing w:before="100" w:beforeAutospacing="1" w:after="100" w:afterAutospacing="1"/>
    </w:pPr>
    <w:rPr>
      <w:rFonts w:ascii="宋体" w:hAnsi="宋体" w:cs="宋体"/>
      <w:kern w:val="0"/>
    </w:rPr>
  </w:style>
  <w:style w:type="character" w:styleId="11">
    <w:name w:val="Strong"/>
    <w:qFormat/>
    <w:uiPriority w:val="0"/>
    <w:rPr>
      <w:rFonts w:cs="Times New Roman"/>
      <w:b/>
      <w:bCs/>
    </w:rPr>
  </w:style>
  <w:style w:type="character" w:styleId="12">
    <w:name w:val="page number"/>
    <w:basedOn w:val="10"/>
    <w:uiPriority w:val="0"/>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uiPriority w:val="99"/>
    <w:rPr>
      <w:rFonts w:ascii="Times New Roman" w:hAnsi="Times New Roman" w:eastAsia="黑体" w:cs="Times New Roman"/>
      <w:snapToGrid w:val="0"/>
      <w:kern w:val="0"/>
      <w:sz w:val="18"/>
      <w:szCs w:val="18"/>
    </w:rPr>
  </w:style>
  <w:style w:type="paragraph" w:customStyle="1" w:styleId="1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uiPriority w:val="0"/>
    <w:rPr>
      <w:rFonts w:ascii="Times New Roman" w:hAnsi="Times New Roman" w:eastAsia="宋体" w:cs="Times New Roman"/>
      <w:sz w:val="18"/>
      <w:szCs w:val="18"/>
    </w:rPr>
  </w:style>
  <w:style w:type="character" w:customStyle="1" w:styleId="19">
    <w:name w:val="正文文本缩进 3 Char"/>
    <w:basedOn w:val="10"/>
    <w:link w:val="8"/>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pPr>
    <w:rPr>
      <w:rFonts w:ascii="Calibri" w:hAnsi="Calibri"/>
      <w:szCs w:val="22"/>
    </w:rPr>
  </w:style>
  <w:style w:type="paragraph" w:customStyle="1" w:styleId="21">
    <w:name w:val="普通(网站)1"/>
    <w:basedOn w:val="1"/>
    <w:uiPriority w:val="0"/>
    <w:rPr>
      <w:rFonts w:ascii="Calibri" w:hAnsi="Calibri" w:cs="黑体"/>
    </w:rPr>
  </w:style>
  <w:style w:type="table" w:customStyle="1" w:styleId="22">
    <w:name w:val="网格型1"/>
    <w:basedOn w:val="1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uiPriority w:val="0"/>
    <w:rPr>
      <w:rFonts w:ascii="Calibri" w:hAnsi="Calibri" w:cs="黑体"/>
    </w:rPr>
  </w:style>
  <w:style w:type="paragraph" w:customStyle="1" w:styleId="24">
    <w:name w:val="普通(网站)3"/>
    <w:basedOn w:val="1"/>
    <w:uiPriority w:val="0"/>
    <w:rPr>
      <w:rFonts w:ascii="Calibri" w:hAnsi="Calibri" w:cs="黑体"/>
    </w:rPr>
  </w:style>
  <w:style w:type="character" w:customStyle="1" w:styleId="25">
    <w:name w:val="标题 1 Char"/>
    <w:basedOn w:val="10"/>
    <w:link w:val="2"/>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uiPriority w:val="9"/>
    <w:rPr>
      <w:rFonts w:asciiTheme="majorHAnsi" w:hAnsiTheme="majorHAnsi" w:eastAsiaTheme="majorEastAsia" w:cstheme="majorBidi"/>
      <w:b/>
      <w:bCs/>
      <w:sz w:val="30"/>
      <w:szCs w:val="32"/>
    </w:rPr>
  </w:style>
  <w:style w:type="character" w:customStyle="1" w:styleId="27">
    <w:name w:val="标题 3 Char"/>
    <w:basedOn w:val="10"/>
    <w:link w:val="4"/>
    <w:uiPriority w:val="9"/>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048C6-8D8A-45CB-9036-1A192BE74BEC}">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1940</Words>
  <Characters>11064</Characters>
  <Lines>92</Lines>
  <Paragraphs>25</Paragraphs>
  <TotalTime>2</TotalTime>
  <ScaleCrop>false</ScaleCrop>
  <LinksUpToDate>false</LinksUpToDate>
  <CharactersWithSpaces>12979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2018-12-14T12:31:00Z</dcterms:created>
  <dc:creator>Administrator</dc:creator>
  <cp:lastModifiedBy>zx</cp:lastModifiedBy>
  <dcterms:modified xsi:type="dcterms:W3CDTF">2018-12-16T15:05:57Z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