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C4" w:rsidRDefault="009C196D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285FC4" w:rsidRDefault="00285FC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85FC4" w:rsidRDefault="009C196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财政局</w:t>
      </w:r>
    </w:p>
    <w:p w:rsidR="00285FC4" w:rsidRDefault="009C196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2016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</w:t>
      </w:r>
    </w:p>
    <w:p w:rsidR="00285FC4" w:rsidRDefault="00285FC4">
      <w:pPr>
        <w:widowControl/>
        <w:spacing w:line="460" w:lineRule="exact"/>
        <w:ind w:firstLineChars="50" w:firstLine="22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Pr="00C54589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285FC4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="100" w:beforeAutospacing="1" w:after="100" w:afterAutospacing="1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="100" w:beforeAutospacing="1" w:after="100" w:afterAutospacing="1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="100" w:beforeAutospacing="1" w:after="100" w:afterAutospacing="1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285FC4" w:rsidRDefault="009C196D">
      <w:pPr>
        <w:widowControl/>
        <w:spacing w:line="500" w:lineRule="exact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lastRenderedPageBreak/>
        <w:t>目录</w:t>
      </w:r>
    </w:p>
    <w:p w:rsidR="00285FC4" w:rsidRDefault="00285FC4">
      <w:pPr>
        <w:widowControl/>
        <w:spacing w:line="500" w:lineRule="exact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单位概况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一、主要职能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2016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年乌鲁木齐市水磨沟区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预算公开表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一、部门总体情况表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二、部门收入总体情况表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三、部门支出总体情况表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四、财政拨款收支总体情况表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五、一般公共预算支出情况表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六、一般公共预算基本支出情况表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项目支出情况表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八、一般公共预算“三公”经费支出情况表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九、政府性基金预算支出情况表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年乌鲁木齐市水磨沟区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一、关于乌鲁木齐市水磨沟区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年收支预算情况的总体说明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二、关于乌鲁木齐市水磨沟区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年收入预算情况说明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三、关于乌鲁木齐市水磨沟区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年支出预算情况说明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四、关于乌鲁木齐市水磨沟区</w:t>
      </w:r>
      <w:r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bCs/>
          <w:color w:val="171717" w:themeColor="background2" w:themeShade="1A"/>
          <w:kern w:val="0"/>
          <w:sz w:val="32"/>
          <w:szCs w:val="32"/>
        </w:rPr>
        <w:t>年财政拨款收支预算情况的总体说明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五、关于乌鲁木齐市水磨沟区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年一般公共预算当年拨款情况说明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六、关于乌鲁木齐市水磨沟区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年一般公共预算基本支出情况说明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七、关于乌鲁木齐市水磨沟区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年项目支出情况说明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lastRenderedPageBreak/>
        <w:t>八、关于乌鲁木齐市水磨沟区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九、关于乌鲁木齐市水磨沟区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年政府性基金预算拨款情况说明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十、其他重要事项的情况说明</w:t>
      </w:r>
    </w:p>
    <w:p w:rsidR="00285FC4" w:rsidRDefault="009C196D">
      <w:pPr>
        <w:widowControl/>
        <w:spacing w:line="46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名词解释</w:t>
      </w:r>
    </w:p>
    <w:p w:rsidR="00285FC4" w:rsidRDefault="009C196D">
      <w:pPr>
        <w:widowControl/>
        <w:jc w:val="left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  <w:br w:type="page"/>
      </w:r>
    </w:p>
    <w:p w:rsidR="00285FC4" w:rsidRDefault="009C196D">
      <w:pPr>
        <w:widowControl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单位概况</w:t>
      </w:r>
    </w:p>
    <w:p w:rsidR="00285FC4" w:rsidRDefault="00285FC4">
      <w:pPr>
        <w:widowControl/>
        <w:jc w:val="center"/>
        <w:outlineLvl w:val="1"/>
        <w:rPr>
          <w:rFonts w:ascii="宋体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一、主要职能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（一）贯彻执行国家和自治区、乌鲁木齐市有关财政、税收、国有资产管理的方针、政策和法规、制度；组织拟订财政、财务、会计管理、国有资产管理等方面的制度、办法，并监督实施。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根据全区国民经济和社会发展战略，拟订财政发展战略、中长期规划和年度计划，并组织实施；参与制定宏观经济政策，提出运用财税政策实施区域经济调控和综合平衡社会财力的建议；负责对全区社会财力进行综合平衡。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承担全区各项财政收支管理责任；负责编制全区预决算草案并组织执行；受区人民政府委托向区人民代表大会报告全区预算及其执行情况，向区人大常委会报告决算；组织实施专项资金绩效考核工作；组织制定经费开支标准、定额，负责财政预决算工作。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（四）根据预算安排，拟订财政税收收入计划，并组织实施、管理和监督；负责政府非</w:t>
      </w:r>
      <w:r>
        <w:rPr>
          <w:rFonts w:ascii="仿宋" w:eastAsia="仿宋" w:hAnsi="仿宋" w:cs="仿宋" w:hint="eastAsia"/>
          <w:sz w:val="28"/>
          <w:szCs w:val="28"/>
        </w:rPr>
        <w:t>税收入和政府性基金管理；监管财政票据。</w:t>
      </w:r>
    </w:p>
    <w:p w:rsidR="00285FC4" w:rsidRDefault="009C196D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（五）组织实施国库管理和国库集中收付制度，按规定开展国库资金管理工作，管理监督国库资金缴拨使用；负责制定全区政府采购制度并监督管理；负责公用经费管理工作。</w:t>
      </w:r>
    </w:p>
    <w:p w:rsidR="00285FC4" w:rsidRDefault="009C196D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（六）负责政府外债资金管理工作。</w:t>
      </w:r>
    </w:p>
    <w:p w:rsidR="00285FC4" w:rsidRDefault="009C196D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（七）制定基本建设财务管理制度，负责政府性投资项目财政资金管理工作；承担有关政策性补贴和专项储备资金财政管理工作；管理各项财政专项资金。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（八）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负责国有资产管理工作。</w:t>
      </w:r>
    </w:p>
    <w:p w:rsidR="00285FC4" w:rsidRDefault="009C196D">
      <w:pPr>
        <w:pStyle w:val="12"/>
        <w:spacing w:line="560" w:lineRule="exact"/>
        <w:ind w:firstLine="640"/>
        <w:jc w:val="both"/>
        <w:rPr>
          <w:rFonts w:eastAsia="仿宋" w:cs="仿宋"/>
          <w:sz w:val="28"/>
          <w:szCs w:val="28"/>
          <w:lang w:eastAsia="zh-CN"/>
        </w:rPr>
      </w:pPr>
      <w:r>
        <w:rPr>
          <w:rFonts w:eastAsia="仿宋" w:cs="仿宋" w:hint="eastAsia"/>
          <w:sz w:val="28"/>
          <w:szCs w:val="28"/>
          <w:lang w:eastAsia="zh-CN"/>
        </w:rPr>
        <w:t>（九）管理和指导会计工作，规范会计行为；组织执行国家统一的会计制度和自治区、乌鲁木齐市相关补充规定；组织管理会计人员的业务培训和会计人员从业资格证书。</w:t>
      </w:r>
    </w:p>
    <w:p w:rsidR="00285FC4" w:rsidRDefault="009C196D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（十）监督检查财税法规、政策的执行情况，反映财政收支管理中的重大问题，提出加强财政管理的政策建议；负责全区财政系统信息化建设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财工程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，并组织实施。</w:t>
      </w:r>
    </w:p>
    <w:p w:rsidR="00285FC4" w:rsidRDefault="009C196D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（十一）承办区委、区人民政府交办的其他事项。</w:t>
      </w:r>
    </w:p>
    <w:p w:rsidR="00285FC4" w:rsidRDefault="009C196D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根据职责，纳入乌鲁木齐市水磨沟区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财政局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年部门决算编制范围的有机关内设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个行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政单位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水区财政局、水区财政国库收付中心。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水磨沟区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财政局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机关机构规格相当正科级，核定编制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人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，</w:t>
      </w:r>
      <w:proofErr w:type="gramStart"/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其中领导</w:t>
      </w:r>
      <w:proofErr w:type="gramEnd"/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指数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名。经费形式为全额预算。水磨沟区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财政国库收付中心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，核定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参照公务员的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事业编制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名，</w:t>
      </w:r>
      <w:proofErr w:type="gramStart"/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其中领导</w:t>
      </w:r>
      <w:proofErr w:type="gramEnd"/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职数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71717" w:themeColor="background2" w:themeShade="1A"/>
          <w:sz w:val="28"/>
          <w:szCs w:val="28"/>
          <w:shd w:val="clear" w:color="auto" w:fill="FFFFFF"/>
        </w:rPr>
        <w:t>名，经费形式为全额预算。</w:t>
      </w: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285FC4">
      <w:pPr>
        <w:widowControl/>
        <w:spacing w:line="560" w:lineRule="exact"/>
        <w:jc w:val="left"/>
        <w:rPr>
          <w:rFonts w:ascii="仿宋" w:eastAsia="仿宋" w:hAnsi="仿宋" w:cs="仿宋"/>
          <w:color w:val="171717" w:themeColor="background2" w:themeShade="1A"/>
          <w:kern w:val="0"/>
          <w:sz w:val="28"/>
          <w:szCs w:val="28"/>
        </w:rPr>
      </w:pPr>
    </w:p>
    <w:p w:rsidR="00285FC4" w:rsidRDefault="009C196D">
      <w:pPr>
        <w:widowControl/>
        <w:spacing w:beforeLines="50" w:before="12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2016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年乌鲁木齐市水磨沟区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285FC4" w:rsidRDefault="009C196D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285FC4" w:rsidRDefault="009C196D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收支总体情况表</w:t>
      </w:r>
    </w:p>
    <w:p w:rsidR="00285FC4" w:rsidRDefault="009C196D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8662" w:type="dxa"/>
        <w:tblLayout w:type="fixed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285FC4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  468.09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非税收入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结转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结余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</w:tr>
    </w:tbl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p w:rsidR="00285FC4" w:rsidRDefault="009C196D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收入总体情况表</w:t>
      </w: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填报单位：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897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16"/>
        <w:gridCol w:w="432"/>
        <w:gridCol w:w="432"/>
        <w:gridCol w:w="1679"/>
        <w:gridCol w:w="821"/>
        <w:gridCol w:w="816"/>
        <w:gridCol w:w="680"/>
        <w:gridCol w:w="680"/>
        <w:gridCol w:w="680"/>
        <w:gridCol w:w="680"/>
        <w:gridCol w:w="680"/>
        <w:gridCol w:w="680"/>
      </w:tblGrid>
      <w:tr w:rsidR="00285FC4">
        <w:trPr>
          <w:trHeight w:val="510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总</w:t>
            </w: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285FC4">
        <w:trPr>
          <w:trHeight w:val="18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285FC4">
        <w:trPr>
          <w:trHeight w:val="4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85FC4">
        <w:trPr>
          <w:trHeight w:val="4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行政运行（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85FC4">
        <w:trPr>
          <w:trHeight w:val="4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85FC4">
        <w:trPr>
          <w:trHeight w:val="4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85FC4">
        <w:trPr>
          <w:trHeight w:val="4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285FC4" w:rsidRDefault="00285FC4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</w:p>
    <w:p w:rsidR="00285FC4" w:rsidRDefault="009C196D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表三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8"/>
          <w:szCs w:val="28"/>
        </w:rPr>
        <w:t>：</w:t>
      </w:r>
    </w:p>
    <w:p w:rsidR="00285FC4" w:rsidRDefault="009C196D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支出总体情况表</w:t>
      </w: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307"/>
        <w:gridCol w:w="1698"/>
        <w:gridCol w:w="1699"/>
        <w:gridCol w:w="1577"/>
      </w:tblGrid>
      <w:tr w:rsidR="00285FC4">
        <w:trPr>
          <w:trHeight w:val="345"/>
          <w:jc w:val="center"/>
        </w:trPr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285FC4">
        <w:trPr>
          <w:trHeight w:val="480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285FC4">
        <w:trPr>
          <w:trHeight w:val="27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行政运行（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62.72 </w:t>
            </w:r>
          </w:p>
        </w:tc>
      </w:tr>
      <w:tr w:rsidR="00285FC4">
        <w:trPr>
          <w:trHeight w:val="4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405.37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</w:tr>
    </w:tbl>
    <w:p w:rsidR="00285FC4" w:rsidRDefault="00285FC4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spacing w:beforeLines="50" w:before="12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表四：</w:t>
      </w:r>
    </w:p>
    <w:p w:rsidR="00285FC4" w:rsidRDefault="009C196D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285FC4" w:rsidRDefault="009C196D">
      <w:pPr>
        <w:widowControl/>
        <w:spacing w:beforeLines="50" w:before="12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285FC4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285FC4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表五：</w:t>
      </w:r>
    </w:p>
    <w:tbl>
      <w:tblPr>
        <w:tblW w:w="9685" w:type="dxa"/>
        <w:jc w:val="center"/>
        <w:tblInd w:w="163" w:type="dxa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285FC4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285FC4" w:rsidRDefault="009C196D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285FC4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285FC4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285FC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行政运行（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405.37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285FC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468.09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405.37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62.72</w:t>
            </w:r>
          </w:p>
        </w:tc>
      </w:tr>
    </w:tbl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表六：</w:t>
      </w:r>
    </w:p>
    <w:tbl>
      <w:tblPr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577"/>
        <w:gridCol w:w="2891"/>
        <w:gridCol w:w="1701"/>
        <w:gridCol w:w="1701"/>
        <w:gridCol w:w="1701"/>
      </w:tblGrid>
      <w:tr w:rsidR="00285FC4">
        <w:trPr>
          <w:trHeight w:val="3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  <w:p w:rsidR="00285FC4" w:rsidRDefault="009C196D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285FC4">
        <w:trPr>
          <w:trHeight w:val="390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285FC4">
        <w:trPr>
          <w:trHeight w:val="495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285FC4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94.93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.85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1.17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2.84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维修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护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)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费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含其他维修</w:t>
            </w: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0.54</w:t>
            </w:r>
          </w:p>
        </w:tc>
      </w:tr>
      <w:tr w:rsidR="00285FC4">
        <w:trPr>
          <w:trHeight w:val="39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1.49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4.16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10.07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其他商品服务支出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11.24</w:t>
            </w: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4" w:rsidRDefault="009C19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405.37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4" w:rsidRDefault="009C19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4" w:rsidRDefault="009C19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34.41 </w:t>
            </w:r>
          </w:p>
        </w:tc>
      </w:tr>
    </w:tbl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表七：</w:t>
      </w:r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526"/>
        <w:gridCol w:w="416"/>
        <w:gridCol w:w="416"/>
        <w:gridCol w:w="851"/>
        <w:gridCol w:w="1456"/>
        <w:gridCol w:w="846"/>
        <w:gridCol w:w="628"/>
        <w:gridCol w:w="755"/>
        <w:gridCol w:w="741"/>
        <w:gridCol w:w="652"/>
        <w:gridCol w:w="578"/>
        <w:gridCol w:w="419"/>
        <w:gridCol w:w="578"/>
        <w:gridCol w:w="420"/>
        <w:gridCol w:w="420"/>
        <w:gridCol w:w="389"/>
        <w:gridCol w:w="8"/>
      </w:tblGrid>
      <w:tr w:rsidR="00285FC4">
        <w:trPr>
          <w:gridBefore w:val="1"/>
          <w:gridAfter w:val="1"/>
          <w:wBefore w:w="10" w:type="dxa"/>
          <w:wAfter w:w="8" w:type="dxa"/>
          <w:trHeight w:val="375"/>
          <w:jc w:val="center"/>
        </w:trPr>
        <w:tc>
          <w:tcPr>
            <w:tcW w:w="10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285FC4" w:rsidRDefault="009C196D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368" w:type="dxa"/>
            <w:gridSpan w:val="4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285FC4" w:rsidRDefault="009C196D">
            <w:pPr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其他财政事务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国库代理业务手续费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30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其他财政事务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财政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e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线端口接入经费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其他财政事务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临时聘用司机、安保等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人员维稳补助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2.4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2.4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9C196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FC4" w:rsidRDefault="009C196D">
            <w:pPr>
              <w:widowControl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其他财政事务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年临时聘用人员经费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12.32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12.32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85FC4" w:rsidRDefault="00285FC4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62.72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85FC4" w:rsidRDefault="009C196D">
            <w:pPr>
              <w:widowControl/>
              <w:wordWrap w:val="0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60.32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2.4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表八：</w:t>
      </w:r>
    </w:p>
    <w:p w:rsidR="00285FC4" w:rsidRDefault="009C196D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0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285FC4">
        <w:trPr>
          <w:trHeight w:val="54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</w:tr>
      <w:tr w:rsidR="00285FC4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9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  <w:tr w:rsidR="00285FC4">
        <w:trPr>
          <w:trHeight w:val="55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6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8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85FC4" w:rsidRDefault="00285FC4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285FC4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表九：</w:t>
      </w:r>
    </w:p>
    <w:p w:rsidR="00285FC4" w:rsidRDefault="009C196D">
      <w:pPr>
        <w:widowControl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285FC4" w:rsidRDefault="009C196D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0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285FC4">
        <w:trPr>
          <w:trHeight w:val="465"/>
          <w:jc w:val="center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285FC4">
        <w:trPr>
          <w:trHeight w:val="360"/>
          <w:jc w:val="center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285FC4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85FC4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85FC4" w:rsidRDefault="009C196D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备注：无内容应公开空表并说明情况。</w:t>
      </w:r>
    </w:p>
    <w:p w:rsidR="00285FC4" w:rsidRDefault="00285FC4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  <w:sectPr w:rsidR="00285FC4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说明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;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预算安排政府性基金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285FC4" w:rsidRDefault="009C196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2016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285FC4" w:rsidRDefault="00285FC4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285FC4" w:rsidRDefault="009C196D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285FC4" w:rsidRDefault="00285FC4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年收支预算情况的总体说明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年所有收入和支出均纳入部门预算管理。收支总预算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468.09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支出预算包括：社会保障和就业支出。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二、关于乌鲁木齐市水磨沟区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年收入预算情况说明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468.09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468.09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490.41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)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，比上年减少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22.32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万元。原因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;2016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年预算安排基本支出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405.37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万元（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年预算安排基本支出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353.95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万元），比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年增加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51.42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万元，原因；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年预算安排单位要缴纳养老金，另外，人员增资，社保基数调整等等。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年专项资金预算安排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62.72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,2015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年专项资金预算安排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213.46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万元，预算比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年减少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150.74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万元，原因，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项目资金减少。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非税收入拨款未安排。无非税收入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基金预算拨款未安排。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财政预算拨款结余结转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三、关于乌鲁木齐市水磨沟区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年支出预算情况说明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年支出预算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468.09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405.73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51.42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万元。增加原因；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年预算安排单位要缴纳养老金，另外，人员增资，社保基数调整等等。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年项目支出预算安排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62.72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万元，比上年减少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 xml:space="preserve">150.74  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万元。原因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项目资金减少。</w:t>
      </w:r>
      <w:bookmarkStart w:id="0" w:name="_GoBack"/>
      <w:bookmarkEnd w:id="0"/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四、关于乌鲁木齐市水磨沟区</w:t>
      </w: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年财政拨款收支预算情况的总体说明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 w:rsidR="00C54589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405.37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五、关于乌鲁木齐市水磨沟区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年一般公共预算基本支出情况说明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年一般公共预算基本支出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405.37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人员经费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 xml:space="preserve"> 370.96 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基本工资、津贴补贴、奖金、绩效工资、机关事业单位基本养老保险缴费、职工基本医疗保险缴费、公务员医疗补助缴费、其他社会保障缴费、住房公积金、其他工资福利支出、奖励金、其他对个人和家庭的补助等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公用经费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34.41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万元，主要包括：办公费、邮电费、差旅费、维修（护）费、培训费、公务接待费、工会经费、福利费、公务用车运行维护费、其他商品和服务支出。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六、关于乌鲁木齐市水磨沟区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年一般公共预算项目支出情况说明</w:t>
      </w:r>
    </w:p>
    <w:p w:rsidR="00285FC4" w:rsidRDefault="009C196D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国库代理业务手续费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根据国库业务需要进行预算安排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：乌鲁木齐市水磨沟区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-12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</w:p>
    <w:p w:rsidR="00285FC4" w:rsidRDefault="009C196D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E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线端口接入经费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根据财政网络系统需要进行预算安排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18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：乌鲁木齐市水磨沟区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18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-12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</w:p>
    <w:p w:rsidR="00285FC4" w:rsidRDefault="00285FC4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285FC4" w:rsidRDefault="00285FC4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285FC4" w:rsidRDefault="009C196D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情况二：（</w:t>
      </w:r>
      <w:r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属于</w:t>
      </w:r>
      <w:r>
        <w:rPr>
          <w:rFonts w:asciiTheme="minorEastAsia" w:eastAsiaTheme="minorEastAsia" w:hAnsiTheme="minorEastAsia"/>
          <w:b/>
          <w:color w:val="171717" w:themeColor="background2" w:themeShade="1A"/>
          <w:spacing w:val="-8"/>
          <w:sz w:val="28"/>
          <w:szCs w:val="28"/>
        </w:rPr>
        <w:t>对个人补贴的项目支出</w:t>
      </w: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按下列内容说明）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临时聘用司机、安保等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人员维稳补助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经费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根据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临时聘用司机、安保等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人员维稳补助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经费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设立依据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lastRenderedPageBreak/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：乌鲁木齐市水磨沟区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用于发放临时聘用司机、安保等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人员维稳补助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经费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：财政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拨款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：临聘人员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：银行统一发放，授权支付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按考勤表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支付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：临聘人员</w:t>
      </w:r>
    </w:p>
    <w:p w:rsidR="00285FC4" w:rsidRDefault="00285FC4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年临时聘用人员经费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根据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临时聘用人员经费设立依据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12.32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：乌鲁木齐市水磨沟区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：用于发放临聘人员工资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：财政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拨款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人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2708.33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月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：临聘人员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lastRenderedPageBreak/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：银行统一发放，授权支付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发放程序：按考勤表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支付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：临聘人员</w:t>
      </w:r>
    </w:p>
    <w:p w:rsidR="00285FC4" w:rsidRDefault="00285FC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</w:p>
    <w:p w:rsidR="00285FC4" w:rsidRDefault="009C196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七、关于乌鲁木齐市水磨沟区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10.13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10.07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0.0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年“三公”经费财政拨款预算比上年持平，其中：因公出国（境）费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万元、公务用车购置费未安排预算。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小型公务车有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辆，公务用车运行费预算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10.07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万元，用于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辆车维修，保险，油料等等与比上年持平；公务接待费预算安排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万元与比上年持平。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八、关于乌鲁木齐市水磨沟区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财政局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2016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年政府性基金预算拨款情况说明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285FC4" w:rsidRDefault="009C196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九、其他重要事项的情况说明</w:t>
      </w:r>
    </w:p>
    <w:p w:rsidR="00285FC4" w:rsidRDefault="009C196D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（一）政府采购情况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年，乌鲁木齐市水磨沟区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及下属单位政府采购预算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万元，其中：政府采购货物预算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万元，政府采购工程预算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万元，政府采购服务预算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2016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年度本乌鲁木齐市水磨沟区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财政局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面向中小企业预留政府采购项目预算金额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万元，其中：面向小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微企业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预留政府采购项目预算金额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万元。</w:t>
      </w:r>
    </w:p>
    <w:p w:rsidR="00285FC4" w:rsidRDefault="009C196D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（二）国有资产占用使用情况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截至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年底，乌鲁木齐市水磨沟区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及下属各预算单位占用使用国有资产总体情况为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房屋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859.94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平方米，价值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276.09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车辆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100.07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万元；其中：一般公务用车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100.07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其他资产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含办公家具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)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230.98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年乌鲁木齐市水磨沟区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财政局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预算未安排购置车辆经费，安排购置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285FC4" w:rsidRDefault="009C196D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（三）预算绩效情况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年度，本年度实行绩效管理的项目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个，涉及预算金额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万元。具体情况见下表（按项目分别填报）：</w:t>
      </w:r>
    </w:p>
    <w:p w:rsidR="00285FC4" w:rsidRDefault="009C196D">
      <w:pPr>
        <w:widowControl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br w:type="page"/>
      </w:r>
    </w:p>
    <w:p w:rsidR="00285FC4" w:rsidRDefault="009C196D">
      <w:pPr>
        <w:spacing w:line="500" w:lineRule="exact"/>
        <w:jc w:val="center"/>
        <w:rPr>
          <w:rFonts w:ascii="宋体" w:hAnsi="宋体" w:cs="宋体"/>
          <w:b/>
          <w:color w:val="171717" w:themeColor="background2" w:themeShade="1A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171717" w:themeColor="background2" w:themeShade="1A"/>
          <w:kern w:val="0"/>
          <w:sz w:val="36"/>
          <w:szCs w:val="36"/>
        </w:rPr>
        <w:lastRenderedPageBreak/>
        <w:t>财政支出绩效目标申报表</w:t>
      </w:r>
    </w:p>
    <w:p w:rsidR="00285FC4" w:rsidRDefault="009C196D">
      <w:pPr>
        <w:spacing w:line="500" w:lineRule="exact"/>
        <w:jc w:val="center"/>
        <w:rPr>
          <w:rFonts w:ascii="仿宋_GB2312" w:eastAsia="仿宋_GB2312" w:hAnsi="宋体" w:cs="宋体"/>
          <w:color w:val="171717" w:themeColor="background2" w:themeShade="1A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>（</w:t>
      </w:r>
      <w:r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 xml:space="preserve">   </w:t>
      </w:r>
      <w:r>
        <w:rPr>
          <w:rFonts w:ascii="仿宋_GB2312" w:eastAsia="仿宋_GB2312" w:hAnsi="宋体" w:cs="宋体" w:hint="eastAsia"/>
          <w:color w:val="171717" w:themeColor="background2" w:themeShade="1A"/>
          <w:kern w:val="0"/>
          <w:sz w:val="36"/>
          <w:szCs w:val="36"/>
        </w:rPr>
        <w:t>年度）</w:t>
      </w:r>
    </w:p>
    <w:p w:rsidR="00285FC4" w:rsidRDefault="009C196D">
      <w:pPr>
        <w:rPr>
          <w:rFonts w:ascii="仿宋_GB2312" w:eastAsia="仿宋_GB2312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71717" w:themeColor="background2" w:themeShade="1A"/>
          <w:kern w:val="0"/>
          <w:sz w:val="32"/>
          <w:szCs w:val="32"/>
        </w:rPr>
        <w:t>填报单位：</w:t>
      </w:r>
    </w:p>
    <w:tbl>
      <w:tblPr>
        <w:tblW w:w="92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285FC4">
        <w:trPr>
          <w:trHeight w:val="55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新增项目□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延续项目□</w:t>
            </w:r>
          </w:p>
        </w:tc>
      </w:tr>
      <w:tr w:rsidR="00285FC4">
        <w:trPr>
          <w:trHeight w:val="9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主管乌鲁木齐市水磨沟区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财政局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资金总额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财政拨款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自有资金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经营性收入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其他收入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其他</w:t>
            </w:r>
          </w:p>
        </w:tc>
      </w:tr>
      <w:tr w:rsidR="00285FC4">
        <w:trPr>
          <w:trHeight w:val="135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rPr>
                <w:rFonts w:ascii="仿宋_GB2312" w:eastAsia="仿宋_GB2312" w:hAnsi="宋体" w:cs="宋体"/>
                <w:color w:val="171717" w:themeColor="background2" w:themeShade="1A"/>
                <w:sz w:val="24"/>
              </w:rPr>
            </w:pPr>
          </w:p>
        </w:tc>
      </w:tr>
      <w:tr w:rsidR="00285FC4">
        <w:trPr>
          <w:trHeight w:val="140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9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完成时间</w:t>
            </w: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285FC4">
        <w:trPr>
          <w:trHeight w:val="457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FC4" w:rsidRDefault="00285FC4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4" w:rsidRDefault="009C196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C4" w:rsidRDefault="00285FC4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285FC4" w:rsidRDefault="009C196D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171717" w:themeColor="background2" w:themeShade="1A"/>
          <w:kern w:val="0"/>
          <w:sz w:val="32"/>
          <w:szCs w:val="32"/>
        </w:rPr>
        <w:t>（四）其他需说明的事项</w:t>
      </w:r>
    </w:p>
    <w:p w:rsidR="00285FC4" w:rsidRDefault="009C196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……</w:t>
      </w:r>
    </w:p>
    <w:p w:rsidR="00285FC4" w:rsidRDefault="009C196D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</w:rPr>
      </w:pPr>
      <w:r>
        <w:rPr>
          <w:rFonts w:ascii="黑体" w:eastAsia="黑体" w:hAnsi="黑体" w:hint="eastAsia"/>
          <w:b w:val="0"/>
          <w:color w:val="171717" w:themeColor="background2" w:themeShade="1A"/>
        </w:rPr>
        <w:t>第四部分</w:t>
      </w:r>
      <w:r>
        <w:rPr>
          <w:rFonts w:ascii="黑体" w:eastAsia="黑体" w:hAnsi="黑体" w:hint="eastAsia"/>
          <w:b w:val="0"/>
          <w:color w:val="171717" w:themeColor="background2" w:themeShade="1A"/>
        </w:rPr>
        <w:t xml:space="preserve">  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名词解释</w:t>
      </w:r>
    </w:p>
    <w:p w:rsidR="00285FC4" w:rsidRDefault="009C196D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一、财政拨款：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三、非税收入：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包括罚没收入、国有资源（资产）有偿使用收入、行政事业性收费收入等。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四、其他资金：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包括事业收入、经营收入、其他收入等。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五、基本支出：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六、项目支出：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七、“三公”经费：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285FC4" w:rsidRDefault="009C196D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八、机关运行经费：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指各部门的公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用经费，包括办公及印刷费、邮电费、差旅费、会议费、福利费、日常维修费、专用材料及一般设备购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置费、办公用房水电费、办公用房取暖费、办公用房物业管理费、公务用车运行维护费及其他费用。</w:t>
      </w:r>
    </w:p>
    <w:p w:rsidR="00285FC4" w:rsidRDefault="009C196D">
      <w:pPr>
        <w:widowControl/>
        <w:spacing w:line="300" w:lineRule="auto"/>
        <w:jc w:val="righ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乌鲁木齐市水磨沟区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财政局</w:t>
      </w:r>
    </w:p>
    <w:p w:rsidR="00285FC4" w:rsidRDefault="009C196D">
      <w:pPr>
        <w:wordWrap w:val="0"/>
        <w:ind w:firstLine="640"/>
        <w:jc w:val="right"/>
        <w:rPr>
          <w:rFonts w:ascii="仿宋_GB2312" w:eastAsia="仿宋_GB2312" w:hAnsiTheme="minorEastAsia"/>
          <w:color w:val="171717" w:themeColor="background2" w:themeShade="1A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2018</w:t>
      </w: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年</w:t>
      </w: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12</w:t>
      </w: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12</w:t>
      </w: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日</w:t>
      </w:r>
    </w:p>
    <w:p w:rsidR="00285FC4" w:rsidRDefault="00285FC4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285FC4">
      <w:footerReference w:type="even" r:id="rId10"/>
      <w:footerReference w:type="default" r:id="rId11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6D" w:rsidRDefault="009C196D">
      <w:r>
        <w:separator/>
      </w:r>
    </w:p>
  </w:endnote>
  <w:endnote w:type="continuationSeparator" w:id="0">
    <w:p w:rsidR="009C196D" w:rsidRDefault="009C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C4" w:rsidRDefault="009C196D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285FC4" w:rsidRDefault="00285F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C4" w:rsidRDefault="009C196D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54589" w:rsidRPr="00C54589">
      <w:rPr>
        <w:rFonts w:ascii="宋体" w:eastAsia="宋体" w:hAnsi="宋体"/>
        <w:noProof/>
        <w:sz w:val="28"/>
        <w:szCs w:val="28"/>
        <w:lang w:val="zh-CN"/>
      </w:rPr>
      <w:t>-</w:t>
    </w:r>
    <w:r w:rsidR="00C54589">
      <w:rPr>
        <w:rFonts w:ascii="宋体" w:eastAsia="宋体" w:hAnsi="宋体"/>
        <w:noProof/>
        <w:sz w:val="28"/>
        <w:szCs w:val="28"/>
      </w:rPr>
      <w:t xml:space="preserve"> 12 -</w:t>
    </w:r>
    <w:r>
      <w:rPr>
        <w:rFonts w:ascii="宋体" w:eastAsia="宋体" w:hAnsi="宋体"/>
        <w:sz w:val="28"/>
        <w:szCs w:val="28"/>
      </w:rPr>
      <w:fldChar w:fldCharType="end"/>
    </w:r>
  </w:p>
  <w:p w:rsidR="00285FC4" w:rsidRDefault="00285F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C4" w:rsidRDefault="009C196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285FC4" w:rsidRDefault="00285FC4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C4" w:rsidRDefault="009C196D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C54589">
      <w:rPr>
        <w:rStyle w:val="a8"/>
        <w:noProof/>
        <w:sz w:val="28"/>
        <w:szCs w:val="28"/>
      </w:rPr>
      <w:t>14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285FC4" w:rsidRDefault="00285FC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6D" w:rsidRDefault="009C196D">
      <w:r>
        <w:separator/>
      </w:r>
    </w:p>
  </w:footnote>
  <w:footnote w:type="continuationSeparator" w:id="0">
    <w:p w:rsidR="009C196D" w:rsidRDefault="009C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15A9E"/>
    <w:rsid w:val="000514D5"/>
    <w:rsid w:val="00072F20"/>
    <w:rsid w:val="0007402A"/>
    <w:rsid w:val="000A5A80"/>
    <w:rsid w:val="000F0024"/>
    <w:rsid w:val="00100514"/>
    <w:rsid w:val="0013218A"/>
    <w:rsid w:val="0013298F"/>
    <w:rsid w:val="001558E7"/>
    <w:rsid w:val="001A2442"/>
    <w:rsid w:val="001A2995"/>
    <w:rsid w:val="001C7B0D"/>
    <w:rsid w:val="002233DF"/>
    <w:rsid w:val="0023453B"/>
    <w:rsid w:val="002808A4"/>
    <w:rsid w:val="0028431D"/>
    <w:rsid w:val="00285FC4"/>
    <w:rsid w:val="00292FB0"/>
    <w:rsid w:val="002A670E"/>
    <w:rsid w:val="002C57BD"/>
    <w:rsid w:val="0031599B"/>
    <w:rsid w:val="00352BFB"/>
    <w:rsid w:val="00373CC1"/>
    <w:rsid w:val="0039631C"/>
    <w:rsid w:val="003C4590"/>
    <w:rsid w:val="003D43B1"/>
    <w:rsid w:val="003E297D"/>
    <w:rsid w:val="003F15A8"/>
    <w:rsid w:val="00412C8A"/>
    <w:rsid w:val="00416D08"/>
    <w:rsid w:val="00472D3C"/>
    <w:rsid w:val="004C78DF"/>
    <w:rsid w:val="004D69EC"/>
    <w:rsid w:val="00535293"/>
    <w:rsid w:val="00550868"/>
    <w:rsid w:val="00551343"/>
    <w:rsid w:val="00552080"/>
    <w:rsid w:val="00554107"/>
    <w:rsid w:val="00585395"/>
    <w:rsid w:val="005858CB"/>
    <w:rsid w:val="005B158B"/>
    <w:rsid w:val="005B6341"/>
    <w:rsid w:val="005D7190"/>
    <w:rsid w:val="005E4842"/>
    <w:rsid w:val="005F28E3"/>
    <w:rsid w:val="00610837"/>
    <w:rsid w:val="00625CA9"/>
    <w:rsid w:val="00645335"/>
    <w:rsid w:val="00651B3C"/>
    <w:rsid w:val="006D42E3"/>
    <w:rsid w:val="006E3BA9"/>
    <w:rsid w:val="00731585"/>
    <w:rsid w:val="00785465"/>
    <w:rsid w:val="007B51DF"/>
    <w:rsid w:val="007F786A"/>
    <w:rsid w:val="0080334B"/>
    <w:rsid w:val="00827AB5"/>
    <w:rsid w:val="00887FE0"/>
    <w:rsid w:val="008919F8"/>
    <w:rsid w:val="008978F0"/>
    <w:rsid w:val="008A4EC3"/>
    <w:rsid w:val="008D4BCE"/>
    <w:rsid w:val="008E4DC5"/>
    <w:rsid w:val="00920488"/>
    <w:rsid w:val="00975CCB"/>
    <w:rsid w:val="009923AD"/>
    <w:rsid w:val="009A0A21"/>
    <w:rsid w:val="009B12E6"/>
    <w:rsid w:val="009B2468"/>
    <w:rsid w:val="009B402B"/>
    <w:rsid w:val="009C196D"/>
    <w:rsid w:val="009F2A89"/>
    <w:rsid w:val="00A01158"/>
    <w:rsid w:val="00A06F0F"/>
    <w:rsid w:val="00A5294A"/>
    <w:rsid w:val="00A64D0D"/>
    <w:rsid w:val="00A706A0"/>
    <w:rsid w:val="00A921D7"/>
    <w:rsid w:val="00AA6001"/>
    <w:rsid w:val="00AC37EE"/>
    <w:rsid w:val="00AE1429"/>
    <w:rsid w:val="00AE6936"/>
    <w:rsid w:val="00B063BC"/>
    <w:rsid w:val="00B07DDB"/>
    <w:rsid w:val="00B31735"/>
    <w:rsid w:val="00B33375"/>
    <w:rsid w:val="00B54BAE"/>
    <w:rsid w:val="00B83B2D"/>
    <w:rsid w:val="00B9668E"/>
    <w:rsid w:val="00BB07C5"/>
    <w:rsid w:val="00BD5383"/>
    <w:rsid w:val="00BE4AE3"/>
    <w:rsid w:val="00C1143E"/>
    <w:rsid w:val="00C322D1"/>
    <w:rsid w:val="00C45F86"/>
    <w:rsid w:val="00C54589"/>
    <w:rsid w:val="00C66DDC"/>
    <w:rsid w:val="00C90C45"/>
    <w:rsid w:val="00CB4EA1"/>
    <w:rsid w:val="00CC5CD4"/>
    <w:rsid w:val="00CE7B17"/>
    <w:rsid w:val="00D07E0B"/>
    <w:rsid w:val="00D3056D"/>
    <w:rsid w:val="00D71241"/>
    <w:rsid w:val="00D713A7"/>
    <w:rsid w:val="00DA15F5"/>
    <w:rsid w:val="00DA4536"/>
    <w:rsid w:val="00DB3932"/>
    <w:rsid w:val="00DC3354"/>
    <w:rsid w:val="00DE34C1"/>
    <w:rsid w:val="00DF6C35"/>
    <w:rsid w:val="00E25456"/>
    <w:rsid w:val="00E35863"/>
    <w:rsid w:val="00E42932"/>
    <w:rsid w:val="00E50607"/>
    <w:rsid w:val="00E51683"/>
    <w:rsid w:val="00E52978"/>
    <w:rsid w:val="00E61538"/>
    <w:rsid w:val="00E6619B"/>
    <w:rsid w:val="00E77CFD"/>
    <w:rsid w:val="00E80090"/>
    <w:rsid w:val="00E947EE"/>
    <w:rsid w:val="00E95329"/>
    <w:rsid w:val="00F51106"/>
    <w:rsid w:val="00F8341C"/>
    <w:rsid w:val="00FE78E8"/>
    <w:rsid w:val="027A41AF"/>
    <w:rsid w:val="05002EBE"/>
    <w:rsid w:val="09D93506"/>
    <w:rsid w:val="0FE32FFE"/>
    <w:rsid w:val="0FE8235B"/>
    <w:rsid w:val="10365596"/>
    <w:rsid w:val="11D67223"/>
    <w:rsid w:val="154E54AD"/>
    <w:rsid w:val="177A6E5F"/>
    <w:rsid w:val="17981FBC"/>
    <w:rsid w:val="17B1500D"/>
    <w:rsid w:val="1A7916DF"/>
    <w:rsid w:val="1B227324"/>
    <w:rsid w:val="1C1F0379"/>
    <w:rsid w:val="1D616774"/>
    <w:rsid w:val="203F503C"/>
    <w:rsid w:val="21FA2BC1"/>
    <w:rsid w:val="24151C26"/>
    <w:rsid w:val="244E7B7A"/>
    <w:rsid w:val="245F7E42"/>
    <w:rsid w:val="27484400"/>
    <w:rsid w:val="28E40784"/>
    <w:rsid w:val="29243ED0"/>
    <w:rsid w:val="2B7D173E"/>
    <w:rsid w:val="2C4F42AB"/>
    <w:rsid w:val="2DB749DF"/>
    <w:rsid w:val="3061433F"/>
    <w:rsid w:val="32925B78"/>
    <w:rsid w:val="32BC782F"/>
    <w:rsid w:val="333E5A46"/>
    <w:rsid w:val="336601BA"/>
    <w:rsid w:val="34EF1EE5"/>
    <w:rsid w:val="369D7278"/>
    <w:rsid w:val="37BB5011"/>
    <w:rsid w:val="385309B8"/>
    <w:rsid w:val="39855905"/>
    <w:rsid w:val="39CF2893"/>
    <w:rsid w:val="3D0A64F1"/>
    <w:rsid w:val="3E5E5FB0"/>
    <w:rsid w:val="41263D38"/>
    <w:rsid w:val="41792EF5"/>
    <w:rsid w:val="43077415"/>
    <w:rsid w:val="45AC1CF7"/>
    <w:rsid w:val="4603636A"/>
    <w:rsid w:val="461C6335"/>
    <w:rsid w:val="48AF3247"/>
    <w:rsid w:val="496F49F1"/>
    <w:rsid w:val="49FB1E3E"/>
    <w:rsid w:val="4A0C1511"/>
    <w:rsid w:val="4E1F28D4"/>
    <w:rsid w:val="4EB62D80"/>
    <w:rsid w:val="4F564061"/>
    <w:rsid w:val="4F5C6EBB"/>
    <w:rsid w:val="54D251BB"/>
    <w:rsid w:val="559F6330"/>
    <w:rsid w:val="562D5684"/>
    <w:rsid w:val="56A00C66"/>
    <w:rsid w:val="58C15BEF"/>
    <w:rsid w:val="590D5052"/>
    <w:rsid w:val="5BDC3D03"/>
    <w:rsid w:val="5BF00E5E"/>
    <w:rsid w:val="5DA0369F"/>
    <w:rsid w:val="60843B08"/>
    <w:rsid w:val="60BB6D03"/>
    <w:rsid w:val="60C8391F"/>
    <w:rsid w:val="64CE394B"/>
    <w:rsid w:val="678B574A"/>
    <w:rsid w:val="67D14B4A"/>
    <w:rsid w:val="686529A8"/>
    <w:rsid w:val="6AA2772D"/>
    <w:rsid w:val="6AD2729B"/>
    <w:rsid w:val="6C6D2029"/>
    <w:rsid w:val="6DA322E5"/>
    <w:rsid w:val="6EB65C68"/>
    <w:rsid w:val="6F8677E4"/>
    <w:rsid w:val="6FDD28DA"/>
    <w:rsid w:val="700C7F83"/>
    <w:rsid w:val="715204C8"/>
    <w:rsid w:val="724A4FDB"/>
    <w:rsid w:val="743A14FC"/>
    <w:rsid w:val="79F051A1"/>
    <w:rsid w:val="7D41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paragraph" w:customStyle="1" w:styleId="12">
    <w:name w:val="正文文本缩进1"/>
    <w:qFormat/>
    <w:pPr>
      <w:widowControl w:val="0"/>
      <w:spacing w:line="569" w:lineRule="atLeast"/>
      <w:ind w:firstLine="623"/>
    </w:pPr>
    <w:rPr>
      <w:rFonts w:ascii="仿宋" w:eastAsia="ヒラギノ角ゴ Pro W3" w:hAnsi="仿宋"/>
      <w:color w:val="000000"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2018-03-23T10:18:00Z</dcterms:created>
  <dcterms:modified xsi:type="dcterms:W3CDTF">2018-12-17T04:27:00Z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