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222A35" w:themeColor="text2" w:themeShade="80"/>
          <w:sz w:val="44"/>
          <w:szCs w:val="44"/>
        </w:rPr>
      </w:pPr>
      <w:r>
        <w:rPr>
          <w:rFonts w:hint="eastAsia" w:ascii="黑体" w:hAnsi="黑体" w:eastAsia="黑体"/>
          <w:color w:val="222A35" w:themeColor="text2" w:themeShade="80"/>
          <w:sz w:val="44"/>
          <w:szCs w:val="44"/>
        </w:rPr>
        <w:t>附件：</w:t>
      </w:r>
    </w:p>
    <w:p>
      <w:pPr>
        <w:widowControl/>
        <w:spacing w:before="100" w:beforeAutospacing="1" w:after="100" w:afterAutospacing="1"/>
        <w:jc w:val="center"/>
        <w:outlineLvl w:val="1"/>
        <w:rPr>
          <w:rFonts w:ascii="黑体" w:hAnsi="黑体" w:eastAsia="黑体"/>
          <w:color w:val="222A35" w:themeColor="text2" w:themeShade="80"/>
          <w:kern w:val="0"/>
          <w:sz w:val="44"/>
          <w:szCs w:val="44"/>
        </w:rPr>
      </w:pPr>
    </w:p>
    <w:p>
      <w:pPr>
        <w:widowControl/>
        <w:spacing w:before="100" w:beforeAutospacing="1" w:after="100" w:afterAutospacing="1"/>
        <w:jc w:val="center"/>
        <w:outlineLvl w:val="1"/>
        <w:rPr>
          <w:rFonts w:ascii="黑体" w:hAnsi="黑体" w:eastAsia="黑体"/>
          <w:color w:val="222A35" w:themeColor="text2" w:themeShade="80"/>
          <w:kern w:val="0"/>
          <w:sz w:val="44"/>
          <w:szCs w:val="44"/>
        </w:rPr>
      </w:pPr>
    </w:p>
    <w:p>
      <w:pPr>
        <w:widowControl/>
        <w:spacing w:before="100" w:beforeAutospacing="1" w:after="100" w:afterAutospacing="1"/>
        <w:jc w:val="center"/>
        <w:outlineLvl w:val="1"/>
        <w:rPr>
          <w:rFonts w:ascii="黑体" w:hAnsi="黑体" w:eastAsia="黑体"/>
          <w:color w:val="222A35" w:themeColor="text2" w:themeShade="80"/>
          <w:kern w:val="0"/>
          <w:sz w:val="44"/>
          <w:szCs w:val="44"/>
        </w:rPr>
      </w:pPr>
    </w:p>
    <w:p>
      <w:pPr>
        <w:widowControl/>
        <w:spacing w:before="100" w:beforeAutospacing="1" w:after="100" w:afterAutospacing="1"/>
        <w:jc w:val="center"/>
        <w:outlineLvl w:val="1"/>
        <w:rPr>
          <w:rFonts w:ascii="黑体" w:hAnsi="黑体" w:eastAsia="黑体"/>
          <w:color w:val="222A35" w:themeColor="text2" w:themeShade="80"/>
          <w:kern w:val="0"/>
          <w:sz w:val="44"/>
          <w:szCs w:val="44"/>
        </w:rPr>
      </w:pPr>
      <w:r>
        <w:rPr>
          <w:rFonts w:hint="eastAsia" w:ascii="黑体" w:hAnsi="黑体" w:eastAsia="黑体"/>
          <w:color w:val="222A35" w:themeColor="text2" w:themeShade="80"/>
          <w:kern w:val="0"/>
          <w:sz w:val="44"/>
          <w:szCs w:val="44"/>
        </w:rPr>
        <w:t>乌鲁木齐市第六十四小学</w:t>
      </w:r>
    </w:p>
    <w:p>
      <w:pPr>
        <w:widowControl/>
        <w:spacing w:before="100" w:beforeAutospacing="1" w:after="100" w:afterAutospacing="1"/>
        <w:jc w:val="center"/>
        <w:outlineLvl w:val="1"/>
        <w:rPr>
          <w:rFonts w:ascii="黑体" w:hAnsi="黑体" w:eastAsia="黑体"/>
          <w:color w:val="222A35" w:themeColor="text2" w:themeShade="80"/>
          <w:kern w:val="0"/>
          <w:sz w:val="44"/>
          <w:szCs w:val="44"/>
        </w:rPr>
      </w:pPr>
      <w:r>
        <w:rPr>
          <w:rFonts w:hint="eastAsia" w:ascii="黑体" w:hAnsi="黑体" w:eastAsia="黑体"/>
          <w:color w:val="222A35" w:themeColor="text2" w:themeShade="80"/>
          <w:kern w:val="0"/>
          <w:sz w:val="44"/>
          <w:szCs w:val="44"/>
        </w:rPr>
        <w:t>2016年预算公开</w:t>
      </w:r>
    </w:p>
    <w:p>
      <w:pPr>
        <w:widowControl/>
        <w:spacing w:line="460" w:lineRule="exact"/>
        <w:ind w:firstLine="221" w:firstLineChars="50"/>
        <w:outlineLvl w:val="1"/>
        <w:rPr>
          <w:rFonts w:ascii="宋体" w:hAnsi="宋体"/>
          <w:b/>
          <w:color w:val="222A35" w:themeColor="text2" w:themeShade="80"/>
          <w:kern w:val="0"/>
          <w:sz w:val="44"/>
          <w:szCs w:val="44"/>
        </w:rPr>
      </w:pPr>
    </w:p>
    <w:p>
      <w:pPr>
        <w:widowControl/>
        <w:spacing w:line="460" w:lineRule="exact"/>
        <w:ind w:firstLine="221" w:firstLineChars="50"/>
        <w:outlineLvl w:val="1"/>
        <w:rPr>
          <w:rFonts w:ascii="宋体" w:hAnsi="宋体"/>
          <w:b/>
          <w:color w:val="222A35" w:themeColor="text2" w:themeShade="80"/>
          <w:kern w:val="0"/>
          <w:sz w:val="44"/>
          <w:szCs w:val="44"/>
        </w:rPr>
      </w:pPr>
    </w:p>
    <w:p>
      <w:pPr>
        <w:widowControl/>
        <w:spacing w:line="460" w:lineRule="exact"/>
        <w:ind w:firstLine="221" w:firstLineChars="50"/>
        <w:outlineLvl w:val="1"/>
        <w:rPr>
          <w:rFonts w:ascii="宋体" w:hAnsi="宋体"/>
          <w:b/>
          <w:color w:val="222A35" w:themeColor="text2" w:themeShade="80"/>
          <w:kern w:val="0"/>
          <w:sz w:val="44"/>
          <w:szCs w:val="44"/>
        </w:rPr>
      </w:pPr>
    </w:p>
    <w:p>
      <w:pPr>
        <w:widowControl/>
        <w:spacing w:line="460" w:lineRule="exact"/>
        <w:ind w:firstLine="221" w:firstLineChars="50"/>
        <w:outlineLvl w:val="1"/>
        <w:rPr>
          <w:rFonts w:ascii="宋体" w:hAnsi="宋体"/>
          <w:b/>
          <w:color w:val="222A35" w:themeColor="text2" w:themeShade="80"/>
          <w:kern w:val="0"/>
          <w:sz w:val="44"/>
          <w:szCs w:val="44"/>
        </w:rPr>
      </w:pPr>
    </w:p>
    <w:p>
      <w:pPr>
        <w:widowControl/>
        <w:spacing w:line="460" w:lineRule="exact"/>
        <w:ind w:firstLine="221" w:firstLineChars="50"/>
        <w:outlineLvl w:val="1"/>
        <w:rPr>
          <w:rFonts w:ascii="宋体" w:hAnsi="宋体"/>
          <w:b/>
          <w:color w:val="222A35" w:themeColor="text2" w:themeShade="80"/>
          <w:kern w:val="0"/>
          <w:sz w:val="44"/>
          <w:szCs w:val="44"/>
        </w:rPr>
      </w:pPr>
    </w:p>
    <w:p>
      <w:pPr>
        <w:widowControl/>
        <w:spacing w:line="460" w:lineRule="exact"/>
        <w:ind w:firstLine="221" w:firstLineChars="50"/>
        <w:outlineLvl w:val="1"/>
        <w:rPr>
          <w:rFonts w:ascii="宋体" w:hAnsi="宋体"/>
          <w:b/>
          <w:color w:val="222A35" w:themeColor="text2" w:themeShade="80"/>
          <w:kern w:val="0"/>
          <w:sz w:val="44"/>
          <w:szCs w:val="44"/>
        </w:rPr>
      </w:pPr>
    </w:p>
    <w:p>
      <w:pPr>
        <w:widowControl/>
        <w:spacing w:line="460" w:lineRule="exact"/>
        <w:outlineLvl w:val="1"/>
        <w:rPr>
          <w:rFonts w:ascii="宋体" w:hAnsi="宋体"/>
          <w:b/>
          <w:color w:val="222A35" w:themeColor="text2" w:themeShade="80"/>
          <w:kern w:val="0"/>
          <w:sz w:val="44"/>
          <w:szCs w:val="44"/>
        </w:rPr>
      </w:pPr>
    </w:p>
    <w:p>
      <w:pPr>
        <w:widowControl/>
        <w:spacing w:line="460" w:lineRule="exact"/>
        <w:ind w:firstLine="2560" w:firstLineChars="800"/>
        <w:outlineLvl w:val="1"/>
        <w:rPr>
          <w:rFonts w:ascii="仿宋_GB2312" w:hAnsi="宋体" w:eastAsia="仿宋_GB2312"/>
          <w:color w:val="222A35" w:themeColor="text2" w:themeShade="80"/>
          <w:kern w:val="0"/>
          <w:sz w:val="32"/>
          <w:szCs w:val="32"/>
        </w:rPr>
      </w:pPr>
    </w:p>
    <w:p>
      <w:pPr>
        <w:widowControl/>
        <w:spacing w:line="460" w:lineRule="exact"/>
        <w:ind w:firstLine="2560" w:firstLineChars="800"/>
        <w:outlineLvl w:val="1"/>
        <w:rPr>
          <w:rFonts w:ascii="仿宋_GB2312" w:hAnsi="宋体" w:eastAsia="仿宋_GB2312"/>
          <w:color w:val="222A35" w:themeColor="text2" w:themeShade="80"/>
          <w:kern w:val="0"/>
          <w:sz w:val="32"/>
          <w:szCs w:val="32"/>
        </w:rPr>
      </w:pPr>
    </w:p>
    <w:p>
      <w:pPr>
        <w:widowControl/>
        <w:spacing w:before="100" w:beforeAutospacing="1" w:after="100" w:afterAutospacing="1"/>
        <w:outlineLvl w:val="1"/>
        <w:rPr>
          <w:rFonts w:ascii="仿宋_GB2312" w:hAnsi="宋体" w:eastAsia="仿宋_GB2312"/>
          <w:color w:val="222A35" w:themeColor="text2" w:themeShade="80"/>
          <w:kern w:val="0"/>
          <w:sz w:val="32"/>
          <w:szCs w:val="32"/>
        </w:rPr>
      </w:pPr>
    </w:p>
    <w:p>
      <w:pPr>
        <w:widowControl/>
        <w:spacing w:before="100" w:beforeAutospacing="1" w:after="100" w:afterAutospacing="1"/>
        <w:outlineLvl w:val="1"/>
        <w:rPr>
          <w:rFonts w:ascii="仿宋_GB2312" w:hAnsi="宋体" w:eastAsia="仿宋_GB2312"/>
          <w:color w:val="222A35" w:themeColor="text2" w:themeShade="80"/>
          <w:kern w:val="0"/>
          <w:sz w:val="32"/>
          <w:szCs w:val="32"/>
        </w:rPr>
      </w:pPr>
    </w:p>
    <w:p>
      <w:pPr>
        <w:widowControl/>
        <w:spacing w:before="100" w:beforeAutospacing="1" w:after="100" w:afterAutospacing="1"/>
        <w:outlineLvl w:val="1"/>
        <w:rPr>
          <w:rFonts w:ascii="仿宋_GB2312" w:hAnsi="宋体" w:eastAsia="仿宋_GB2312"/>
          <w:color w:val="222A35" w:themeColor="text2" w:themeShade="80"/>
          <w:kern w:val="0"/>
          <w:sz w:val="32"/>
          <w:szCs w:val="32"/>
        </w:rPr>
      </w:pPr>
    </w:p>
    <w:p>
      <w:pPr>
        <w:widowControl/>
        <w:spacing w:before="100" w:beforeAutospacing="1" w:after="100" w:afterAutospacing="1"/>
        <w:outlineLvl w:val="1"/>
        <w:rPr>
          <w:rFonts w:ascii="仿宋_GB2312" w:hAnsi="宋体" w:eastAsia="仿宋_GB2312"/>
          <w:color w:val="222A35" w:themeColor="text2" w:themeShade="80"/>
          <w:kern w:val="0"/>
          <w:sz w:val="32"/>
          <w:szCs w:val="32"/>
        </w:rPr>
      </w:pPr>
    </w:p>
    <w:p>
      <w:pPr>
        <w:widowControl/>
        <w:spacing w:before="100" w:beforeAutospacing="1" w:after="100" w:afterAutospacing="1"/>
        <w:outlineLvl w:val="1"/>
        <w:rPr>
          <w:rFonts w:ascii="仿宋_GB2312" w:hAnsi="宋体" w:eastAsia="仿宋_GB2312"/>
          <w:color w:val="222A35" w:themeColor="text2" w:themeShade="80"/>
          <w:kern w:val="0"/>
          <w:sz w:val="32"/>
          <w:szCs w:val="32"/>
        </w:rPr>
      </w:pPr>
    </w:p>
    <w:p>
      <w:pPr>
        <w:widowControl/>
        <w:spacing w:line="500" w:lineRule="exact"/>
        <w:jc w:val="center"/>
        <w:outlineLvl w:val="1"/>
        <w:rPr>
          <w:rFonts w:ascii="黑体" w:hAnsi="黑体" w:eastAsia="黑体"/>
          <w:color w:val="222A35" w:themeColor="text2" w:themeShade="80"/>
          <w:kern w:val="0"/>
          <w:sz w:val="44"/>
          <w:szCs w:val="44"/>
        </w:rPr>
      </w:pPr>
      <w:r>
        <w:rPr>
          <w:rFonts w:hint="eastAsia" w:ascii="黑体" w:hAnsi="黑体" w:eastAsia="黑体"/>
          <w:color w:val="222A35" w:themeColor="text2" w:themeShade="80"/>
          <w:kern w:val="0"/>
          <w:sz w:val="44"/>
          <w:szCs w:val="44"/>
        </w:rPr>
        <w:t>目录</w:t>
      </w:r>
    </w:p>
    <w:p>
      <w:pPr>
        <w:widowControl/>
        <w:spacing w:line="500" w:lineRule="exact"/>
        <w:jc w:val="center"/>
        <w:outlineLvl w:val="1"/>
        <w:rPr>
          <w:rFonts w:ascii="黑体" w:hAnsi="黑体" w:eastAsia="黑体"/>
          <w:color w:val="222A35" w:themeColor="text2" w:themeShade="80"/>
          <w:kern w:val="0"/>
          <w:sz w:val="44"/>
          <w:szCs w:val="44"/>
        </w:rPr>
      </w:pPr>
    </w:p>
    <w:p>
      <w:pPr>
        <w:widowControl/>
        <w:spacing w:line="560" w:lineRule="exac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第一部分  乌鲁木齐市第六十四小学单位概况</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一、主要职能</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二、机构设置及人员情况</w:t>
      </w:r>
    </w:p>
    <w:p>
      <w:pPr>
        <w:widowControl/>
        <w:spacing w:line="560" w:lineRule="exac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第二部分  2016年乌鲁木齐市第六十四小学预算公开表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一、部门总体情况表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二、部门收入总体情况表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三、部门支出总体情况表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四、财政拨款收支总体情况表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五、一般公共预算支出情况表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六、一般公共预算基本支出情况表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七、</w:t>
      </w:r>
      <w:r>
        <w:rPr>
          <w:rFonts w:hint="eastAsia" w:ascii="仿宋_GB2312" w:hAnsi="宋体" w:eastAsia="仿宋_GB2312"/>
          <w:bCs/>
          <w:color w:val="222A35" w:themeColor="text2" w:themeShade="80"/>
          <w:kern w:val="0"/>
          <w:sz w:val="32"/>
          <w:szCs w:val="32"/>
        </w:rPr>
        <w:t>项目支出情况表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八、一般公共预算“三公”经费支出情况表</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九、政府性基金预算支出情况表</w:t>
      </w:r>
    </w:p>
    <w:p>
      <w:pPr>
        <w:widowControl/>
        <w:spacing w:line="560" w:lineRule="exac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第三部分  2016年乌鲁木齐市第六十四小学预算情况说明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一、关于乌鲁木齐市第六十四小学2016年收支预算情况的总体说明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二、关于乌鲁木齐市第六十四小学2016年收入预算情况说明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三、关于乌鲁木齐市第六十四小学2016年支出预算情况说明</w:t>
      </w:r>
    </w:p>
    <w:p>
      <w:pPr>
        <w:widowControl/>
        <w:spacing w:line="560" w:lineRule="exact"/>
        <w:outlineLvl w:val="1"/>
        <w:rPr>
          <w:rFonts w:ascii="仿宋_GB2312" w:hAnsi="宋体" w:eastAsia="仿宋_GB2312"/>
          <w:bCs/>
          <w:color w:val="222A35" w:themeColor="text2" w:themeShade="80"/>
          <w:kern w:val="0"/>
          <w:sz w:val="32"/>
          <w:szCs w:val="32"/>
        </w:rPr>
      </w:pPr>
      <w:r>
        <w:rPr>
          <w:rFonts w:hint="eastAsia" w:ascii="仿宋_GB2312" w:hAnsi="宋体" w:eastAsia="仿宋_GB2312"/>
          <w:bCs/>
          <w:color w:val="222A35" w:themeColor="text2" w:themeShade="80"/>
          <w:kern w:val="0"/>
          <w:sz w:val="32"/>
          <w:szCs w:val="32"/>
        </w:rPr>
        <w:t>四、关于乌鲁木齐市第六十四小学2016年财政拨款收支预算情况的总体说明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五、关于乌鲁木齐市第六十四小学2016年一般公共预算当年拨款情况说明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六、关于乌鲁木齐市第六十四小学2016年一般公共预算基本支出情况说明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七、关于乌鲁木齐市第六十四小学2016年项目支出情况说明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八、关于乌鲁木齐市第六十四小学2016年一般公共预算“三公”经费预算情况说明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九、关于乌鲁木齐市第六十四小学2016年政府性基金预算拨款情况说明</w:t>
      </w:r>
    </w:p>
    <w:p>
      <w:pPr>
        <w:widowControl/>
        <w:spacing w:line="560" w:lineRule="exact"/>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十、其他重要事项的情况说明</w:t>
      </w:r>
    </w:p>
    <w:p>
      <w:pPr>
        <w:widowControl/>
        <w:spacing w:line="560" w:lineRule="exac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第四部分  名词解释</w:t>
      </w:r>
    </w:p>
    <w:p>
      <w:pPr>
        <w:widowControl/>
        <w:jc w:val="left"/>
        <w:rPr>
          <w:rFonts w:ascii="仿宋_GB2312" w:hAnsi="宋体" w:eastAsia="仿宋_GB2312"/>
          <w:b/>
          <w:color w:val="222A35" w:themeColor="text2" w:themeShade="80"/>
          <w:kern w:val="0"/>
          <w:sz w:val="32"/>
          <w:szCs w:val="32"/>
        </w:rPr>
      </w:pPr>
      <w:r>
        <w:rPr>
          <w:rFonts w:ascii="仿宋_GB2312" w:hAnsi="宋体" w:eastAsia="仿宋_GB2312"/>
          <w:b/>
          <w:color w:val="222A35" w:themeColor="text2" w:themeShade="80"/>
          <w:kern w:val="0"/>
          <w:sz w:val="32"/>
          <w:szCs w:val="32"/>
        </w:rPr>
        <w:br w:type="page"/>
      </w:r>
    </w:p>
    <w:p>
      <w:pPr>
        <w:widowControl/>
        <w:jc w:val="center"/>
        <w:outlineLvl w:val="1"/>
        <w:rPr>
          <w:rFonts w:ascii="黑体" w:hAnsi="黑体" w:eastAsia="黑体"/>
          <w:color w:val="222A35" w:themeColor="text2" w:themeShade="80"/>
          <w:kern w:val="0"/>
          <w:sz w:val="32"/>
          <w:szCs w:val="32"/>
        </w:rPr>
      </w:pPr>
      <w:r>
        <w:rPr>
          <w:rFonts w:hint="eastAsia" w:ascii="黑体" w:hAnsi="黑体" w:eastAsia="黑体"/>
          <w:color w:val="222A35" w:themeColor="text2" w:themeShade="80"/>
          <w:kern w:val="0"/>
          <w:sz w:val="32"/>
          <w:szCs w:val="32"/>
        </w:rPr>
        <w:t>第一部分  乌鲁木齐市第六十四小学单位概况</w:t>
      </w:r>
    </w:p>
    <w:p>
      <w:pPr>
        <w:widowControl/>
        <w:jc w:val="center"/>
        <w:outlineLvl w:val="1"/>
        <w:rPr>
          <w:rFonts w:ascii="宋体" w:hAnsi="宋体"/>
          <w:b/>
          <w:color w:val="222A35" w:themeColor="text2" w:themeShade="80"/>
          <w:kern w:val="0"/>
          <w:sz w:val="32"/>
          <w:szCs w:val="32"/>
        </w:rPr>
      </w:pPr>
    </w:p>
    <w:p>
      <w:pPr>
        <w:widowControl/>
        <w:spacing w:line="560" w:lineRule="exact"/>
        <w:jc w:val="left"/>
        <w:rPr>
          <w:rFonts w:ascii="黑体" w:hAnsi="黑体" w:eastAsia="黑体" w:cs="宋体"/>
          <w:bCs/>
          <w:color w:val="222A35" w:themeColor="text2" w:themeShade="80"/>
          <w:kern w:val="0"/>
          <w:sz w:val="32"/>
          <w:szCs w:val="32"/>
        </w:rPr>
      </w:pPr>
      <w:r>
        <w:rPr>
          <w:rFonts w:hint="eastAsia" w:ascii="黑体" w:hAnsi="黑体" w:eastAsia="黑体" w:cs="宋体"/>
          <w:bCs/>
          <w:color w:val="222A35" w:themeColor="text2" w:themeShade="80"/>
          <w:kern w:val="0"/>
          <w:sz w:val="32"/>
          <w:szCs w:val="32"/>
        </w:rPr>
        <w:t>一、主要职能</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乌鲁木齐市第64小学由乌鲁木齐市水磨沟区人民政府举办，主管部门是乌鲁木齐市水磨沟区教育局。学校是非营利性教育事业单位，具有独立法人资格。实施小学义务教育。</w:t>
      </w:r>
    </w:p>
    <w:p>
      <w:pPr>
        <w:widowControl/>
        <w:spacing w:line="560" w:lineRule="exact"/>
        <w:jc w:val="left"/>
        <w:rPr>
          <w:rFonts w:ascii="黑体" w:hAnsi="黑体" w:eastAsia="黑体" w:cs="宋体"/>
          <w:bCs/>
          <w:color w:val="222A35" w:themeColor="text2" w:themeShade="80"/>
          <w:kern w:val="0"/>
          <w:sz w:val="32"/>
          <w:szCs w:val="32"/>
        </w:rPr>
      </w:pPr>
      <w:r>
        <w:rPr>
          <w:rFonts w:hint="eastAsia" w:ascii="黑体" w:hAnsi="黑体" w:eastAsia="黑体" w:cs="宋体"/>
          <w:bCs/>
          <w:color w:val="222A35" w:themeColor="text2" w:themeShade="80"/>
          <w:kern w:val="0"/>
          <w:sz w:val="32"/>
          <w:szCs w:val="32"/>
        </w:rPr>
        <w:t>二、机构设置及人员情况</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乌鲁木齐市第64小学内设党政办公室、德育处、教务处、教科研室、保卫科等职能部门，属于全额拨款事业单位。</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仿宋_GB2312" w:asciiTheme="minorEastAsia" w:hAnsiTheme="minorEastAsia" w:eastAsiaTheme="minorEastAsia"/>
          <w:color w:val="222A35" w:themeColor="text2" w:themeShade="80"/>
          <w:kern w:val="0"/>
          <w:sz w:val="28"/>
          <w:szCs w:val="28"/>
        </w:rPr>
        <w:t>乌鲁木齐市第64小学编制人数42人，全额拨款事业单位人员编制42人。乌鲁木齐市第64小学实有在职人数41人，其中：全额拨款事业单位人员41人。</w:t>
      </w: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jc w:val="left"/>
        <w:rPr>
          <w:rFonts w:ascii="仿宋_GB2312" w:hAnsi="宋体" w:eastAsia="仿宋_GB2312" w:cs="宋体"/>
          <w:color w:val="222A35" w:themeColor="text2" w:themeShade="80"/>
          <w:kern w:val="0"/>
          <w:sz w:val="32"/>
          <w:szCs w:val="32"/>
        </w:rPr>
      </w:pPr>
    </w:p>
    <w:p>
      <w:pPr>
        <w:widowControl/>
        <w:spacing w:before="120" w:beforeLines="50"/>
        <w:jc w:val="center"/>
        <w:outlineLvl w:val="1"/>
        <w:rPr>
          <w:rFonts w:ascii="黑体" w:hAnsi="黑体" w:eastAsia="黑体"/>
          <w:color w:val="222A35" w:themeColor="text2" w:themeShade="80"/>
          <w:kern w:val="0"/>
          <w:sz w:val="32"/>
          <w:szCs w:val="32"/>
        </w:rPr>
      </w:pPr>
      <w:r>
        <w:rPr>
          <w:rFonts w:hint="eastAsia" w:ascii="黑体" w:hAnsi="黑体" w:eastAsia="黑体"/>
          <w:color w:val="222A35" w:themeColor="text2" w:themeShade="80"/>
          <w:kern w:val="0"/>
          <w:sz w:val="32"/>
          <w:szCs w:val="32"/>
        </w:rPr>
        <w:t>第二部分  2016年乌鲁木齐市第六十四小学预算公开表</w:t>
      </w:r>
    </w:p>
    <w:p>
      <w:pPr>
        <w:widowControl/>
        <w:spacing w:before="120" w:beforeLines="50"/>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表一：</w:t>
      </w:r>
    </w:p>
    <w:p>
      <w:pPr>
        <w:widowControl/>
        <w:jc w:val="center"/>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乌鲁木齐市第六十四小学收支总体情况表</w:t>
      </w:r>
    </w:p>
    <w:p>
      <w:pPr>
        <w:widowControl/>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编制单位：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222A35" w:themeColor="text2" w:themeShade="80"/>
                <w:kern w:val="0"/>
                <w:sz w:val="18"/>
                <w:szCs w:val="18"/>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222A35" w:themeColor="text2" w:themeShade="80"/>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r>
    </w:tbl>
    <w:p>
      <w:pPr>
        <w:widowControl/>
        <w:jc w:val="left"/>
        <w:outlineLvl w:val="1"/>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b/>
          <w:color w:val="222A35" w:themeColor="text2" w:themeShade="80"/>
          <w:kern w:val="0"/>
          <w:sz w:val="32"/>
          <w:szCs w:val="32"/>
        </w:rPr>
      </w:pPr>
    </w:p>
    <w:p>
      <w:pPr>
        <w:widowControl/>
        <w:jc w:val="left"/>
        <w:outlineLvl w:val="1"/>
        <w:rPr>
          <w:rFonts w:ascii="仿宋_GB2312" w:hAnsi="宋体" w:eastAsia="仿宋_GB2312"/>
          <w:b/>
          <w:color w:val="222A35" w:themeColor="text2" w:themeShade="80"/>
          <w:kern w:val="0"/>
          <w:sz w:val="32"/>
          <w:szCs w:val="32"/>
        </w:rPr>
      </w:pPr>
    </w:p>
    <w:p>
      <w:pPr>
        <w:widowControl/>
        <w:jc w:val="lef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表二：</w:t>
      </w:r>
    </w:p>
    <w:p>
      <w:pPr>
        <w:widowControl/>
        <w:jc w:val="center"/>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乌鲁木齐市第六十四小学收入总体情况表</w:t>
      </w:r>
    </w:p>
    <w:p>
      <w:pPr>
        <w:widowControl/>
        <w:jc w:val="left"/>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填报单位：                                                     单位：万元</w:t>
      </w:r>
    </w:p>
    <w:tbl>
      <w:tblPr>
        <w:tblStyle w:val="10"/>
        <w:tblW w:w="8976" w:type="dxa"/>
        <w:tblInd w:w="93" w:type="dxa"/>
        <w:tblLayout w:type="fixed"/>
        <w:tblCellMar>
          <w:top w:w="0" w:type="dxa"/>
          <w:left w:w="108" w:type="dxa"/>
          <w:bottom w:w="0" w:type="dxa"/>
          <w:right w:w="108" w:type="dxa"/>
        </w:tblCellMar>
      </w:tblPr>
      <w:tblGrid>
        <w:gridCol w:w="545"/>
        <w:gridCol w:w="435"/>
        <w:gridCol w:w="435"/>
        <w:gridCol w:w="1844"/>
        <w:gridCol w:w="821"/>
        <w:gridCol w:w="81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trPr>
        <w:tc>
          <w:tcPr>
            <w:tcW w:w="14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功能分类科目编码</w:t>
            </w:r>
          </w:p>
        </w:tc>
        <w:tc>
          <w:tcPr>
            <w:tcW w:w="184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功能分类科目名称</w:t>
            </w:r>
          </w:p>
        </w:tc>
        <w:tc>
          <w:tcPr>
            <w:tcW w:w="8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总  计</w:t>
            </w:r>
          </w:p>
        </w:tc>
        <w:tc>
          <w:tcPr>
            <w:tcW w:w="8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222A35" w:themeColor="text2" w:themeShade="80"/>
                <w:sz w:val="18"/>
                <w:szCs w:val="18"/>
              </w:rPr>
            </w:pPr>
            <w:r>
              <w:rPr>
                <w:rFonts w:hint="eastAsia" w:ascii="仿宋_GB2312" w:hAnsi="宋体" w:eastAsia="仿宋_GB2312" w:cs="宋体"/>
                <w:b/>
                <w:color w:val="222A35" w:themeColor="text2" w:themeShade="80"/>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类</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款</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222A35" w:themeColor="text2" w:themeShade="80"/>
                <w:sz w:val="18"/>
                <w:szCs w:val="18"/>
              </w:rPr>
            </w:pPr>
            <w:r>
              <w:rPr>
                <w:rFonts w:hint="eastAsia" w:ascii="仿宋_GB2312" w:eastAsia="仿宋_GB2312"/>
                <w:b/>
                <w:color w:val="222A35" w:themeColor="text2" w:themeShade="80"/>
                <w:sz w:val="18"/>
                <w:szCs w:val="18"/>
              </w:rPr>
              <w:t>项</w:t>
            </w:r>
          </w:p>
        </w:tc>
        <w:tc>
          <w:tcPr>
            <w:tcW w:w="184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222A35" w:themeColor="text2" w:themeShade="80"/>
                <w:sz w:val="18"/>
                <w:szCs w:val="18"/>
              </w:rPr>
            </w:pPr>
          </w:p>
        </w:tc>
        <w:tc>
          <w:tcPr>
            <w:tcW w:w="821"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222A35" w:themeColor="text2" w:themeShade="80"/>
                <w:sz w:val="18"/>
                <w:szCs w:val="18"/>
              </w:rPr>
            </w:pPr>
          </w:p>
        </w:tc>
        <w:tc>
          <w:tcPr>
            <w:tcW w:w="8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222A35" w:themeColor="text2" w:themeShade="80"/>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222A35" w:themeColor="text2" w:themeShade="80"/>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222A35" w:themeColor="text2" w:themeShade="80"/>
                <w:sz w:val="18"/>
                <w:szCs w:val="18"/>
              </w:rPr>
            </w:pPr>
            <w:r>
              <w:rPr>
                <w:rFonts w:hint="eastAsia" w:ascii="仿宋_GB2312" w:hAnsi="宋体" w:eastAsia="仿宋_GB2312" w:cs="宋体"/>
                <w:b/>
                <w:color w:val="222A35" w:themeColor="text2" w:themeShade="80"/>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222A35" w:themeColor="text2" w:themeShade="80"/>
                <w:sz w:val="18"/>
                <w:szCs w:val="18"/>
              </w:rPr>
            </w:pPr>
            <w:r>
              <w:rPr>
                <w:rFonts w:hint="eastAsia" w:ascii="仿宋_GB2312" w:hAnsi="宋体" w:eastAsia="仿宋_GB2312" w:cs="宋体"/>
                <w:b/>
                <w:color w:val="222A35" w:themeColor="text2" w:themeShade="80"/>
                <w:sz w:val="18"/>
                <w:szCs w:val="18"/>
              </w:rPr>
              <w:t>结余</w:t>
            </w: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205</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184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小学教育</w:t>
            </w:r>
          </w:p>
        </w:tc>
        <w:tc>
          <w:tcPr>
            <w:tcW w:w="821"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751.29</w:t>
            </w:r>
          </w:p>
        </w:tc>
        <w:tc>
          <w:tcPr>
            <w:tcW w:w="816"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751.29</w:t>
            </w: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tcPr>
          <w:p>
            <w:pPr>
              <w:rPr>
                <w:rFonts w:ascii="仿宋_GB2312" w:eastAsia="仿宋_GB2312"/>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222A35" w:themeColor="text2" w:themeShade="80"/>
                <w:sz w:val="18"/>
                <w:szCs w:val="18"/>
              </w:rPr>
            </w:pPr>
          </w:p>
        </w:tc>
      </w:tr>
      <w:tr>
        <w:tblPrEx>
          <w:tblLayout w:type="fixed"/>
          <w:tblCellMar>
            <w:top w:w="0" w:type="dxa"/>
            <w:left w:w="108" w:type="dxa"/>
            <w:bottom w:w="0" w:type="dxa"/>
            <w:right w:w="108" w:type="dxa"/>
          </w:tblCellMar>
        </w:tblPrEx>
        <w:trPr>
          <w:trHeight w:val="542"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65" w:hRule="atLeast"/>
        </w:trPr>
        <w:tc>
          <w:tcPr>
            <w:tcW w:w="54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5"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222A35" w:themeColor="text2" w:themeShade="80"/>
                <w:sz w:val="18"/>
                <w:szCs w:val="18"/>
              </w:rPr>
            </w:pPr>
            <w:r>
              <w:rPr>
                <w:rFonts w:hint="eastAsia" w:ascii="仿宋_GB2312" w:eastAsia="仿宋_GB2312"/>
                <w:color w:val="222A35" w:themeColor="text2" w:themeShade="80"/>
                <w:sz w:val="18"/>
                <w:szCs w:val="18"/>
              </w:rPr>
              <w:t>合计</w:t>
            </w:r>
          </w:p>
        </w:tc>
        <w:tc>
          <w:tcPr>
            <w:tcW w:w="82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751.29</w:t>
            </w:r>
          </w:p>
        </w:tc>
        <w:tc>
          <w:tcPr>
            <w:tcW w:w="81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751.29</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bl>
    <w:p>
      <w:pPr>
        <w:widowControl/>
        <w:outlineLvl w:val="1"/>
        <w:rPr>
          <w:rFonts w:ascii="仿宋_GB2312" w:hAnsi="宋体" w:eastAsia="仿宋_GB2312"/>
          <w:color w:val="222A35" w:themeColor="text2" w:themeShade="80"/>
          <w:kern w:val="0"/>
          <w:sz w:val="28"/>
          <w:szCs w:val="28"/>
        </w:rPr>
      </w:pPr>
    </w:p>
    <w:p>
      <w:pPr>
        <w:widowControl/>
        <w:jc w:val="left"/>
        <w:rPr>
          <w:rFonts w:ascii="仿宋_GB2312" w:hAnsi="宋体" w:eastAsia="仿宋_GB2312"/>
          <w:color w:val="222A35" w:themeColor="text2" w:themeShade="80"/>
          <w:kern w:val="0"/>
          <w:sz w:val="28"/>
          <w:szCs w:val="28"/>
        </w:rPr>
      </w:pPr>
    </w:p>
    <w:p>
      <w:pPr>
        <w:widowControl/>
        <w:jc w:val="left"/>
        <w:rPr>
          <w:rFonts w:ascii="仿宋_GB2312" w:hAnsi="宋体" w:eastAsia="仿宋_GB2312"/>
          <w:color w:val="222A35" w:themeColor="text2" w:themeShade="80"/>
          <w:kern w:val="0"/>
          <w:sz w:val="28"/>
          <w:szCs w:val="28"/>
        </w:rPr>
      </w:pPr>
    </w:p>
    <w:p>
      <w:pPr>
        <w:widowControl/>
        <w:jc w:val="left"/>
        <w:rPr>
          <w:rFonts w:ascii="仿宋_GB2312" w:hAnsi="宋体" w:eastAsia="仿宋_GB2312"/>
          <w:color w:val="222A35" w:themeColor="text2" w:themeShade="80"/>
          <w:kern w:val="0"/>
          <w:sz w:val="28"/>
          <w:szCs w:val="28"/>
        </w:rPr>
      </w:pPr>
    </w:p>
    <w:p>
      <w:pPr>
        <w:widowControl/>
        <w:jc w:val="left"/>
        <w:rPr>
          <w:rFonts w:ascii="仿宋_GB2312" w:hAnsi="宋体" w:eastAsia="仿宋_GB2312"/>
          <w:color w:val="222A35" w:themeColor="text2" w:themeShade="80"/>
          <w:kern w:val="0"/>
          <w:sz w:val="28"/>
          <w:szCs w:val="28"/>
        </w:rPr>
      </w:pPr>
    </w:p>
    <w:p>
      <w:pPr>
        <w:widowControl/>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表三：</w:t>
      </w:r>
    </w:p>
    <w:p>
      <w:pPr>
        <w:widowControl/>
        <w:jc w:val="center"/>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乌鲁木齐市第六十四小学支出总体情况表</w:t>
      </w:r>
    </w:p>
    <w:p>
      <w:pPr>
        <w:widowControl/>
        <w:jc w:val="left"/>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编制单位：                                                       单位：万元</w:t>
      </w:r>
    </w:p>
    <w:tbl>
      <w:tblPr>
        <w:tblStyle w:val="10"/>
        <w:tblW w:w="9229" w:type="dxa"/>
        <w:jc w:val="right"/>
        <w:tblInd w:w="0" w:type="dxa"/>
        <w:tblLayout w:type="fixed"/>
        <w:tblCellMar>
          <w:top w:w="0" w:type="dxa"/>
          <w:left w:w="108" w:type="dxa"/>
          <w:bottom w:w="0" w:type="dxa"/>
          <w:right w:w="108" w:type="dxa"/>
        </w:tblCellMar>
      </w:tblPr>
      <w:tblGrid>
        <w:gridCol w:w="546"/>
        <w:gridCol w:w="436"/>
        <w:gridCol w:w="436"/>
        <w:gridCol w:w="2519"/>
        <w:gridCol w:w="1809"/>
        <w:gridCol w:w="1810"/>
        <w:gridCol w:w="1673"/>
      </w:tblGrid>
      <w:tr>
        <w:tblPrEx>
          <w:tblLayout w:type="fixed"/>
          <w:tblCellMar>
            <w:top w:w="0" w:type="dxa"/>
            <w:left w:w="108" w:type="dxa"/>
            <w:bottom w:w="0" w:type="dxa"/>
            <w:right w:w="108" w:type="dxa"/>
          </w:tblCellMar>
        </w:tblPrEx>
        <w:trPr>
          <w:trHeight w:val="345" w:hRule="atLeast"/>
          <w:jc w:val="right"/>
        </w:trPr>
        <w:tc>
          <w:tcPr>
            <w:tcW w:w="3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项目</w:t>
            </w:r>
          </w:p>
        </w:tc>
        <w:tc>
          <w:tcPr>
            <w:tcW w:w="52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支出预算</w:t>
            </w:r>
          </w:p>
        </w:tc>
      </w:tr>
      <w:tr>
        <w:tblPrEx>
          <w:tblLayout w:type="fixed"/>
          <w:tblCellMar>
            <w:top w:w="0" w:type="dxa"/>
            <w:left w:w="108" w:type="dxa"/>
            <w:bottom w:w="0" w:type="dxa"/>
            <w:right w:w="108" w:type="dxa"/>
          </w:tblCellMar>
        </w:tblPrEx>
        <w:trPr>
          <w:trHeight w:val="480" w:hRule="atLeast"/>
          <w:jc w:val="righ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功能分类科目名称</w:t>
            </w:r>
          </w:p>
        </w:tc>
        <w:tc>
          <w:tcPr>
            <w:tcW w:w="18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trHeight w:val="270"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205</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小学教育</w:t>
            </w: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751.29</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654.49</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color w:val="222A35" w:themeColor="text2" w:themeShade="80"/>
                <w:sz w:val="18"/>
                <w:szCs w:val="18"/>
              </w:rPr>
              <w:t>96.80</w:t>
            </w: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222A35" w:themeColor="text2" w:themeShade="8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222A35" w:themeColor="text2" w:themeShade="8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222A35" w:themeColor="text2" w:themeShade="8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222A35" w:themeColor="text2" w:themeShade="80"/>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222A35" w:themeColor="text2" w:themeShade="8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合计</w:t>
            </w: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sz w:val="18"/>
                <w:szCs w:val="18"/>
              </w:rPr>
              <w:t>751.29</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654.49</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color w:val="222A35" w:themeColor="text2" w:themeShade="80"/>
                <w:sz w:val="18"/>
                <w:szCs w:val="18"/>
              </w:rPr>
              <w:t>96.80</w:t>
            </w:r>
          </w:p>
        </w:tc>
      </w:tr>
    </w:tbl>
    <w:p>
      <w:pPr>
        <w:widowControl/>
        <w:spacing w:before="120" w:beforeLines="50"/>
        <w:outlineLvl w:val="1"/>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spacing w:before="120" w:beforeLines="50"/>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表四：</w:t>
      </w:r>
    </w:p>
    <w:p>
      <w:pPr>
        <w:widowControl/>
        <w:spacing w:before="120" w:beforeLines="50"/>
        <w:jc w:val="center"/>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财政拨款收支预算总体情况表</w:t>
      </w:r>
    </w:p>
    <w:p>
      <w:pPr>
        <w:widowControl/>
        <w:spacing w:before="120" w:beforeLines="50"/>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编制单位：                                                       单位：万元</w:t>
      </w:r>
    </w:p>
    <w:tbl>
      <w:tblPr>
        <w:tblStyle w:val="10"/>
        <w:tblW w:w="9229" w:type="dxa"/>
        <w:jc w:val="center"/>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222A35" w:themeColor="text2" w:themeShade="80"/>
                <w:kern w:val="0"/>
                <w:sz w:val="18"/>
                <w:szCs w:val="18"/>
              </w:rPr>
            </w:pPr>
            <w:r>
              <w:rPr>
                <w:rFonts w:hint="eastAsia" w:ascii="仿宋_GB2312" w:hAnsi="宋体" w:eastAsia="仿宋_GB2312" w:cs="宋体"/>
                <w:b/>
                <w:color w:val="222A35" w:themeColor="text2" w:themeShade="80"/>
                <w:kern w:val="0"/>
                <w:sz w:val="18"/>
                <w:szCs w:val="18"/>
              </w:rPr>
              <w:t>政府性基金预算</w:t>
            </w:r>
          </w:p>
        </w:tc>
      </w:tr>
      <w:tr>
        <w:tblPrEx>
          <w:tblLayout w:type="fixed"/>
          <w:tblCellMar>
            <w:top w:w="0" w:type="dxa"/>
            <w:left w:w="108" w:type="dxa"/>
            <w:bottom w:w="0" w:type="dxa"/>
            <w:right w:w="108" w:type="dxa"/>
          </w:tblCellMar>
        </w:tblPrEx>
        <w:trPr>
          <w:trHeight w:val="588"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222A35" w:themeColor="text2" w:themeShade="80"/>
                <w:kern w:val="0"/>
                <w:sz w:val="18"/>
                <w:szCs w:val="18"/>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222A35" w:themeColor="text2" w:themeShade="80"/>
                <w:kern w:val="0"/>
                <w:sz w:val="18"/>
                <w:szCs w:val="18"/>
              </w:rPr>
            </w:pPr>
          </w:p>
        </w:tc>
        <w:tc>
          <w:tcPr>
            <w:tcW w:w="2250"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751.29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bl>
    <w:p>
      <w:pPr>
        <w:widowControl/>
        <w:jc w:val="left"/>
        <w:outlineLvl w:val="1"/>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表五：</w:t>
      </w:r>
    </w:p>
    <w:tbl>
      <w:tblPr>
        <w:tblStyle w:val="10"/>
        <w:tblW w:w="9211" w:type="dxa"/>
        <w:jc w:val="center"/>
        <w:tblInd w:w="138" w:type="dxa"/>
        <w:tblLayout w:type="fixed"/>
        <w:tblCellMar>
          <w:top w:w="0" w:type="dxa"/>
          <w:left w:w="108" w:type="dxa"/>
          <w:bottom w:w="0" w:type="dxa"/>
          <w:right w:w="108" w:type="dxa"/>
        </w:tblCellMar>
      </w:tblPr>
      <w:tblGrid>
        <w:gridCol w:w="546"/>
        <w:gridCol w:w="492"/>
        <w:gridCol w:w="436"/>
        <w:gridCol w:w="2510"/>
        <w:gridCol w:w="1684"/>
        <w:gridCol w:w="1842"/>
        <w:gridCol w:w="1701"/>
      </w:tblGrid>
      <w:tr>
        <w:tblPrEx>
          <w:tblLayout w:type="fixed"/>
          <w:tblCellMar>
            <w:top w:w="0" w:type="dxa"/>
            <w:left w:w="108" w:type="dxa"/>
            <w:bottom w:w="0" w:type="dxa"/>
            <w:right w:w="108" w:type="dxa"/>
          </w:tblCellMar>
        </w:tblPrEx>
        <w:trPr>
          <w:trHeight w:val="450" w:hRule="atLeast"/>
          <w:jc w:val="center"/>
        </w:trPr>
        <w:tc>
          <w:tcPr>
            <w:tcW w:w="9211"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222A35" w:themeColor="text2" w:themeShade="80"/>
                <w:kern w:val="0"/>
                <w:sz w:val="32"/>
                <w:szCs w:val="32"/>
              </w:rPr>
            </w:pPr>
            <w:r>
              <w:rPr>
                <w:rFonts w:hint="eastAsia" w:ascii="仿宋_GB2312" w:hAnsi="宋体" w:eastAsia="仿宋_GB2312" w:cs="宋体"/>
                <w:b/>
                <w:bCs/>
                <w:color w:val="222A35" w:themeColor="text2" w:themeShade="80"/>
                <w:kern w:val="0"/>
                <w:sz w:val="32"/>
                <w:szCs w:val="32"/>
              </w:rPr>
              <w:t>一般公共预算支出情况表</w:t>
            </w:r>
          </w:p>
          <w:p>
            <w:pPr>
              <w:widowControl/>
              <w:spacing w:before="120" w:beforeLines="50"/>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编制单位：                                                       单位：万元</w:t>
            </w:r>
          </w:p>
        </w:tc>
      </w:tr>
      <w:tr>
        <w:tblPrEx>
          <w:tblLayout w:type="fixed"/>
          <w:tblCellMar>
            <w:top w:w="0" w:type="dxa"/>
            <w:left w:w="108" w:type="dxa"/>
            <w:bottom w:w="0" w:type="dxa"/>
            <w:right w:w="108" w:type="dxa"/>
          </w:tblCellMar>
        </w:tblPrEx>
        <w:trPr>
          <w:trHeight w:val="405" w:hRule="atLeast"/>
          <w:jc w:val="center"/>
        </w:trPr>
        <w:tc>
          <w:tcPr>
            <w:tcW w:w="39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 xml:space="preserve">02  </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 xml:space="preserve">02  </w:t>
            </w: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kern w:val="0"/>
                <w:sz w:val="18"/>
                <w:szCs w:val="18"/>
              </w:rPr>
              <w:t>751.29</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654.49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color w:val="222A35" w:themeColor="text2" w:themeShade="80"/>
                <w:sz w:val="18"/>
                <w:szCs w:val="18"/>
              </w:rPr>
              <w:t>96.80</w:t>
            </w: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2510"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222A35" w:themeColor="text2" w:themeShade="80"/>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222A35" w:themeColor="text2" w:themeShade="80"/>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84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222A35" w:themeColor="text2" w:themeShade="80"/>
                <w:sz w:val="18"/>
                <w:szCs w:val="18"/>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sz w:val="18"/>
                <w:szCs w:val="18"/>
              </w:rPr>
              <w:t>751.29</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654.49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color w:val="222A35" w:themeColor="text2" w:themeShade="80"/>
                <w:sz w:val="18"/>
                <w:szCs w:val="18"/>
              </w:rPr>
              <w:t>96.80</w:t>
            </w:r>
          </w:p>
        </w:tc>
      </w:tr>
    </w:tbl>
    <w:p>
      <w:pPr>
        <w:widowControl/>
        <w:jc w:val="left"/>
        <w:outlineLvl w:val="1"/>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rPr>
          <w:rFonts w:ascii="仿宋_GB2312" w:hAnsi="宋体" w:eastAsia="仿宋_GB2312"/>
          <w:b/>
          <w:color w:val="222A35" w:themeColor="text2" w:themeShade="80"/>
          <w:kern w:val="0"/>
          <w:sz w:val="32"/>
          <w:szCs w:val="32"/>
        </w:rPr>
      </w:pPr>
    </w:p>
    <w:p>
      <w:pPr>
        <w:widowControl/>
        <w:jc w:val="lef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表六：</w:t>
      </w:r>
    </w:p>
    <w:tbl>
      <w:tblPr>
        <w:tblStyle w:val="10"/>
        <w:tblW w:w="9547" w:type="dxa"/>
        <w:jc w:val="center"/>
        <w:tblInd w:w="0" w:type="dxa"/>
        <w:tblLayout w:type="fixed"/>
        <w:tblCellMar>
          <w:top w:w="0" w:type="dxa"/>
          <w:left w:w="108" w:type="dxa"/>
          <w:bottom w:w="0" w:type="dxa"/>
          <w:right w:w="108" w:type="dxa"/>
        </w:tblCellMar>
      </w:tblPr>
      <w:tblGrid>
        <w:gridCol w:w="766"/>
        <w:gridCol w:w="577"/>
        <w:gridCol w:w="3886"/>
        <w:gridCol w:w="1439"/>
        <w:gridCol w:w="1439"/>
        <w:gridCol w:w="1440"/>
      </w:tblGrid>
      <w:tr>
        <w:tblPrEx>
          <w:tblLayout w:type="fixed"/>
          <w:tblCellMar>
            <w:top w:w="0" w:type="dxa"/>
            <w:left w:w="108" w:type="dxa"/>
            <w:bottom w:w="0" w:type="dxa"/>
            <w:right w:w="108" w:type="dxa"/>
          </w:tblCellMar>
        </w:tblPrEx>
        <w:trPr>
          <w:trHeight w:val="340" w:hRule="atLeast"/>
          <w:jc w:val="center"/>
        </w:trPr>
        <w:tc>
          <w:tcPr>
            <w:tcW w:w="9547" w:type="dxa"/>
            <w:gridSpan w:val="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222A35" w:themeColor="text2" w:themeShade="80"/>
                <w:kern w:val="0"/>
                <w:sz w:val="32"/>
                <w:szCs w:val="32"/>
              </w:rPr>
            </w:pPr>
            <w:r>
              <w:rPr>
                <w:rFonts w:hint="eastAsia" w:ascii="仿宋_GB2312" w:hAnsi="宋体" w:eastAsia="仿宋_GB2312" w:cs="宋体"/>
                <w:b/>
                <w:bCs/>
                <w:color w:val="222A35" w:themeColor="text2" w:themeShade="80"/>
                <w:kern w:val="0"/>
                <w:sz w:val="32"/>
                <w:szCs w:val="32"/>
              </w:rPr>
              <w:t>一般公共预算基本支出情况表</w:t>
            </w:r>
          </w:p>
          <w:p>
            <w:pPr>
              <w:widowControl/>
              <w:spacing w:before="120" w:beforeLines="50"/>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编制单位：                                                          单位：万元</w:t>
            </w:r>
          </w:p>
        </w:tc>
      </w:tr>
      <w:tr>
        <w:tblPrEx>
          <w:tblLayout w:type="fixed"/>
          <w:tblCellMar>
            <w:top w:w="0" w:type="dxa"/>
            <w:left w:w="108" w:type="dxa"/>
            <w:bottom w:w="0" w:type="dxa"/>
            <w:right w:w="108" w:type="dxa"/>
          </w:tblCellMar>
        </w:tblPrEx>
        <w:trPr>
          <w:trHeight w:val="340" w:hRule="atLeast"/>
          <w:jc w:val="center"/>
        </w:trPr>
        <w:tc>
          <w:tcPr>
            <w:tcW w:w="5229"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项目</w:t>
            </w:r>
          </w:p>
        </w:tc>
        <w:tc>
          <w:tcPr>
            <w:tcW w:w="431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一般公共预算基本支出</w:t>
            </w:r>
          </w:p>
        </w:tc>
      </w:tr>
      <w:tr>
        <w:tblPrEx>
          <w:tblLayout w:type="fixed"/>
          <w:tblCellMar>
            <w:top w:w="0" w:type="dxa"/>
            <w:left w:w="108" w:type="dxa"/>
            <w:bottom w:w="0" w:type="dxa"/>
            <w:right w:w="108" w:type="dxa"/>
          </w:tblCellMar>
        </w:tblPrEx>
        <w:trPr>
          <w:trHeight w:val="340" w:hRule="atLeast"/>
          <w:jc w:val="center"/>
        </w:trPr>
        <w:tc>
          <w:tcPr>
            <w:tcW w:w="134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经济分类科目编码</w:t>
            </w:r>
          </w:p>
        </w:tc>
        <w:tc>
          <w:tcPr>
            <w:tcW w:w="388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经济分类科目名称</w:t>
            </w:r>
          </w:p>
        </w:tc>
        <w:tc>
          <w:tcPr>
            <w:tcW w:w="14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小计</w:t>
            </w:r>
          </w:p>
        </w:tc>
        <w:tc>
          <w:tcPr>
            <w:tcW w:w="143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人员经费</w:t>
            </w:r>
          </w:p>
        </w:tc>
        <w:tc>
          <w:tcPr>
            <w:tcW w:w="14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公用经费</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款</w:t>
            </w:r>
          </w:p>
        </w:tc>
        <w:tc>
          <w:tcPr>
            <w:tcW w:w="388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4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43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4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基本工资</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106.18</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106.18</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津贴补贴</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30.54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30.54</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绩效工资</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109.41</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109.41</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其他社会保障缴费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127.47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127.47</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其他工资福利支出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0.49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0.49</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办公费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10.65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10.65</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05</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水费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2.66</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电费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3.42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3.42</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邮电费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2.66</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取暖费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21.3</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21.3</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物业管理费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1.52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1.52</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11</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差旅费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2.66</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13</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维修(护)费(含其他维修)</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6.84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6.84</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14</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租赁费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1.14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1.14</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培训费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10.63</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10.63</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17</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公务接待费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0.39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0.39</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专用材料费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1.90</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1.90</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劳务费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0.76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0.76</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28</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工会经费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1.46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1.46</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福利费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6.11</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6.11</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其他车辆</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2.66</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其他商品服务支出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14.47</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14.47</w:t>
            </w: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02</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退休费</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83.82</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83.82</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05</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生活补助</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0.44</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0.44</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奖励金</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53.25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53.25</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10</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住房公积金</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39.45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39.45</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14</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采暖补贴</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5.15</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5.15</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99</w:t>
            </w:r>
          </w:p>
        </w:tc>
        <w:tc>
          <w:tcPr>
            <w:tcW w:w="3886"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222A35" w:themeColor="text2" w:themeShade="80"/>
                <w:sz w:val="18"/>
                <w:szCs w:val="18"/>
              </w:rPr>
            </w:pPr>
            <w:r>
              <w:rPr>
                <w:rFonts w:hint="eastAsia" w:ascii="仿宋_GB2312" w:eastAsia="仿宋_GB2312"/>
                <w:color w:val="222A35" w:themeColor="text2" w:themeShade="80"/>
                <w:sz w:val="18"/>
                <w:szCs w:val="18"/>
              </w:rPr>
              <w:t>其他对个人和家庭的补助支出</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7.06</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7.06</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340" w:hRule="atLeast"/>
          <w:jc w:val="center"/>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388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222A35" w:themeColor="text2" w:themeShade="80"/>
                <w:kern w:val="0"/>
                <w:sz w:val="18"/>
                <w:szCs w:val="18"/>
              </w:rPr>
            </w:pPr>
            <w:r>
              <w:rPr>
                <w:rFonts w:hint="eastAsia" w:ascii="仿宋_GB2312" w:hAnsi="宋体" w:eastAsia="仿宋_GB2312" w:cs="宋体"/>
                <w:bCs/>
                <w:color w:val="222A35" w:themeColor="text2" w:themeShade="80"/>
                <w:kern w:val="0"/>
                <w:sz w:val="18"/>
                <w:szCs w:val="18"/>
              </w:rPr>
              <w:t>合计</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654.49</w:t>
            </w:r>
          </w:p>
        </w:tc>
        <w:tc>
          <w:tcPr>
            <w:tcW w:w="14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563.26</w:t>
            </w:r>
          </w:p>
        </w:tc>
        <w:tc>
          <w:tcPr>
            <w:tcW w:w="14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91.23</w:t>
            </w:r>
          </w:p>
        </w:tc>
      </w:tr>
    </w:tbl>
    <w:p>
      <w:pPr>
        <w:widowControl/>
        <w:jc w:val="lef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表七：</w:t>
      </w:r>
    </w:p>
    <w:tbl>
      <w:tblPr>
        <w:tblStyle w:val="10"/>
        <w:tblW w:w="10194" w:type="dxa"/>
        <w:jc w:val="center"/>
        <w:tblInd w:w="0" w:type="dxa"/>
        <w:tblLayout w:type="fixed"/>
        <w:tblCellMar>
          <w:top w:w="0" w:type="dxa"/>
          <w:left w:w="108" w:type="dxa"/>
          <w:bottom w:w="0" w:type="dxa"/>
          <w:right w:w="108" w:type="dxa"/>
        </w:tblCellMar>
      </w:tblPr>
      <w:tblGrid>
        <w:gridCol w:w="10"/>
        <w:gridCol w:w="506"/>
        <w:gridCol w:w="416"/>
        <w:gridCol w:w="416"/>
        <w:gridCol w:w="851"/>
        <w:gridCol w:w="1456"/>
        <w:gridCol w:w="846"/>
        <w:gridCol w:w="847"/>
        <w:gridCol w:w="666"/>
        <w:gridCol w:w="716"/>
        <w:gridCol w:w="652"/>
        <w:gridCol w:w="578"/>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jc w:val="center"/>
        </w:trPr>
        <w:tc>
          <w:tcPr>
            <w:tcW w:w="10176"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222A35" w:themeColor="text2" w:themeShade="80"/>
                <w:kern w:val="0"/>
                <w:sz w:val="32"/>
                <w:szCs w:val="32"/>
              </w:rPr>
            </w:pPr>
            <w:r>
              <w:rPr>
                <w:rFonts w:hint="eastAsia" w:ascii="仿宋_GB2312" w:hAnsi="宋体" w:eastAsia="仿宋_GB2312" w:cs="宋体"/>
                <w:b/>
                <w:bCs/>
                <w:color w:val="222A35" w:themeColor="text2" w:themeShade="80"/>
                <w:kern w:val="0"/>
                <w:sz w:val="32"/>
                <w:szCs w:val="32"/>
              </w:rPr>
              <w:t>一般公共预算项目支出情况表</w:t>
            </w:r>
          </w:p>
          <w:p>
            <w:pPr>
              <w:widowControl/>
              <w:spacing w:before="120" w:beforeLines="50"/>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48" w:type="dxa"/>
            <w:gridSpan w:val="4"/>
            <w:shd w:val="clear" w:color="auto" w:fill="auto"/>
            <w:noWrap/>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科目</w:t>
            </w:r>
          </w:p>
        </w:tc>
        <w:tc>
          <w:tcPr>
            <w:tcW w:w="1456" w:type="dxa"/>
            <w:vMerge w:val="restart"/>
            <w:shd w:val="clear" w:color="auto" w:fill="auto"/>
            <w:noWrap/>
            <w:vAlign w:val="center"/>
          </w:tcPr>
          <w:p>
            <w:pPr>
              <w:jc w:val="center"/>
              <w:rPr>
                <w:rFonts w:ascii="仿宋_GB2312" w:eastAsia="仿宋_GB2312"/>
                <w:color w:val="222A35" w:themeColor="text2" w:themeShade="80"/>
                <w:sz w:val="18"/>
                <w:szCs w:val="18"/>
              </w:rPr>
            </w:pPr>
            <w:r>
              <w:rPr>
                <w:rFonts w:hint="eastAsia" w:ascii="仿宋_GB2312" w:hAnsi="宋体" w:eastAsia="仿宋_GB2312"/>
                <w:b/>
                <w:color w:val="222A35" w:themeColor="text2" w:themeShade="80"/>
                <w:kern w:val="0"/>
                <w:sz w:val="18"/>
                <w:szCs w:val="18"/>
              </w:rPr>
              <w:t>项目名称</w:t>
            </w:r>
          </w:p>
        </w:tc>
        <w:tc>
          <w:tcPr>
            <w:tcW w:w="846"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项目支出合计</w:t>
            </w:r>
          </w:p>
        </w:tc>
        <w:tc>
          <w:tcPr>
            <w:tcW w:w="847"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工资福利支出</w:t>
            </w:r>
          </w:p>
        </w:tc>
        <w:tc>
          <w:tcPr>
            <w:tcW w:w="666"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商品和服务支出</w:t>
            </w:r>
          </w:p>
        </w:tc>
        <w:tc>
          <w:tcPr>
            <w:tcW w:w="716"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对个人和家庭的补助</w:t>
            </w:r>
          </w:p>
        </w:tc>
        <w:tc>
          <w:tcPr>
            <w:tcW w:w="652"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债务利息及费用支出</w:t>
            </w:r>
          </w:p>
        </w:tc>
        <w:tc>
          <w:tcPr>
            <w:tcW w:w="578"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资本性支出</w:t>
            </w:r>
          </w:p>
        </w:tc>
        <w:tc>
          <w:tcPr>
            <w:tcW w:w="578"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对企业补助</w:t>
            </w:r>
          </w:p>
        </w:tc>
        <w:tc>
          <w:tcPr>
            <w:tcW w:w="420" w:type="dxa"/>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222A35" w:themeColor="text2" w:themeShade="80"/>
                <w:kern w:val="0"/>
                <w:sz w:val="18"/>
                <w:szCs w:val="18"/>
              </w:rPr>
            </w:pPr>
            <w:r>
              <w:rPr>
                <w:rFonts w:hint="eastAsia" w:ascii="仿宋_GB2312" w:hAnsi="宋体" w:eastAsia="仿宋_GB2312"/>
                <w:b/>
                <w:color w:val="222A35" w:themeColor="text2" w:themeShade="80"/>
                <w:kern w:val="0"/>
                <w:sz w:val="18"/>
                <w:szCs w:val="18"/>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222A35" w:themeColor="text2" w:themeShade="80"/>
                <w:kern w:val="0"/>
                <w:sz w:val="18"/>
                <w:szCs w:val="18"/>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846"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847"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666"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716"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652"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205</w:t>
            </w:r>
          </w:p>
        </w:tc>
        <w:tc>
          <w:tcPr>
            <w:tcW w:w="41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41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851" w:type="dxa"/>
            <w:shd w:val="clear" w:color="auto" w:fill="auto"/>
            <w:vAlign w:val="center"/>
          </w:tcPr>
          <w:p>
            <w:pPr>
              <w:jc w:val="lef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小学教育</w:t>
            </w:r>
          </w:p>
        </w:tc>
        <w:tc>
          <w:tcPr>
            <w:tcW w:w="1456" w:type="dxa"/>
            <w:shd w:val="clear" w:color="auto" w:fill="auto"/>
          </w:tcPr>
          <w:p>
            <w:pPr>
              <w:jc w:val="lef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校园绿化美化经费</w:t>
            </w:r>
          </w:p>
        </w:tc>
        <w:tc>
          <w:tcPr>
            <w:tcW w:w="84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5.00</w:t>
            </w:r>
          </w:p>
        </w:tc>
        <w:tc>
          <w:tcPr>
            <w:tcW w:w="847"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p>
          <w:p>
            <w:pPr>
              <w:widowControl/>
              <w:jc w:val="right"/>
              <w:outlineLvl w:val="1"/>
              <w:rPr>
                <w:rFonts w:ascii="仿宋_GB2312" w:hAnsi="宋体" w:eastAsia="仿宋_GB2312"/>
                <w:color w:val="222A35" w:themeColor="text2" w:themeShade="80"/>
                <w:kern w:val="0"/>
                <w:sz w:val="18"/>
                <w:szCs w:val="18"/>
              </w:rPr>
            </w:pPr>
          </w:p>
        </w:tc>
        <w:tc>
          <w:tcPr>
            <w:tcW w:w="666"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r>
              <w:rPr>
                <w:rFonts w:hint="eastAsia" w:ascii="仿宋_GB2312" w:hAnsi="宋体" w:eastAsia="仿宋_GB2312"/>
                <w:color w:val="222A35" w:themeColor="text2" w:themeShade="80"/>
                <w:kern w:val="0"/>
                <w:sz w:val="18"/>
                <w:szCs w:val="18"/>
              </w:rPr>
              <w:t>5.00</w:t>
            </w:r>
          </w:p>
        </w:tc>
        <w:tc>
          <w:tcPr>
            <w:tcW w:w="716"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p>
        </w:tc>
        <w:tc>
          <w:tcPr>
            <w:tcW w:w="652"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9"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397"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205</w:t>
            </w:r>
          </w:p>
        </w:tc>
        <w:tc>
          <w:tcPr>
            <w:tcW w:w="41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41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851" w:type="dxa"/>
            <w:shd w:val="clear" w:color="auto" w:fill="auto"/>
            <w:vAlign w:val="center"/>
          </w:tcPr>
          <w:p>
            <w:pPr>
              <w:jc w:val="lef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小学教育</w:t>
            </w:r>
          </w:p>
        </w:tc>
        <w:tc>
          <w:tcPr>
            <w:tcW w:w="1456" w:type="dxa"/>
            <w:shd w:val="clear" w:color="auto" w:fill="auto"/>
          </w:tcPr>
          <w:p>
            <w:pPr>
              <w:jc w:val="lef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2016年临时聘用人员经费</w:t>
            </w:r>
          </w:p>
        </w:tc>
        <w:tc>
          <w:tcPr>
            <w:tcW w:w="84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36.60</w:t>
            </w:r>
          </w:p>
        </w:tc>
        <w:tc>
          <w:tcPr>
            <w:tcW w:w="847" w:type="dxa"/>
            <w:shd w:val="clear" w:color="auto" w:fill="auto"/>
            <w:vAlign w:val="center"/>
          </w:tcPr>
          <w:p>
            <w:pPr>
              <w:jc w:val="right"/>
              <w:rPr>
                <w:rFonts w:ascii="仿宋_GB2312" w:hAnsi="宋体" w:eastAsia="仿宋_GB2312" w:cs="宋体"/>
                <w:color w:val="222A35" w:themeColor="text2" w:themeShade="80"/>
                <w:sz w:val="18"/>
                <w:szCs w:val="18"/>
              </w:rPr>
            </w:pPr>
          </w:p>
        </w:tc>
        <w:tc>
          <w:tcPr>
            <w:tcW w:w="666"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r>
              <w:rPr>
                <w:rFonts w:hint="eastAsia" w:ascii="仿宋_GB2312" w:hAnsi="宋体" w:eastAsia="仿宋_GB2312"/>
                <w:color w:val="222A35" w:themeColor="text2" w:themeShade="80"/>
                <w:kern w:val="0"/>
                <w:sz w:val="18"/>
                <w:szCs w:val="18"/>
              </w:rPr>
              <w:t>36.60</w:t>
            </w:r>
          </w:p>
        </w:tc>
        <w:tc>
          <w:tcPr>
            <w:tcW w:w="716"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p>
        </w:tc>
        <w:tc>
          <w:tcPr>
            <w:tcW w:w="652"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9"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397"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205</w:t>
            </w:r>
          </w:p>
        </w:tc>
        <w:tc>
          <w:tcPr>
            <w:tcW w:w="41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41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02</w:t>
            </w:r>
          </w:p>
        </w:tc>
        <w:tc>
          <w:tcPr>
            <w:tcW w:w="851" w:type="dxa"/>
            <w:shd w:val="clear" w:color="auto" w:fill="auto"/>
            <w:vAlign w:val="center"/>
          </w:tcPr>
          <w:p>
            <w:pPr>
              <w:jc w:val="lef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小学教育</w:t>
            </w:r>
          </w:p>
        </w:tc>
        <w:tc>
          <w:tcPr>
            <w:tcW w:w="1456" w:type="dxa"/>
            <w:shd w:val="clear" w:color="auto" w:fill="auto"/>
          </w:tcPr>
          <w:p>
            <w:pPr>
              <w:jc w:val="lef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护校队、安保人员经费</w:t>
            </w:r>
          </w:p>
        </w:tc>
        <w:tc>
          <w:tcPr>
            <w:tcW w:w="84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55.20</w:t>
            </w:r>
          </w:p>
        </w:tc>
        <w:tc>
          <w:tcPr>
            <w:tcW w:w="847" w:type="dxa"/>
            <w:shd w:val="clear" w:color="auto" w:fill="auto"/>
            <w:vAlign w:val="center"/>
          </w:tcPr>
          <w:p>
            <w:pPr>
              <w:jc w:val="right"/>
              <w:rPr>
                <w:rFonts w:ascii="仿宋_GB2312" w:hAnsi="宋体" w:eastAsia="仿宋_GB2312" w:cs="宋体"/>
                <w:color w:val="222A35" w:themeColor="text2" w:themeShade="80"/>
                <w:sz w:val="18"/>
                <w:szCs w:val="18"/>
              </w:rPr>
            </w:pPr>
          </w:p>
        </w:tc>
        <w:tc>
          <w:tcPr>
            <w:tcW w:w="666"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p>
        </w:tc>
        <w:tc>
          <w:tcPr>
            <w:tcW w:w="716"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r>
              <w:rPr>
                <w:rFonts w:hint="eastAsia" w:ascii="仿宋_GB2312" w:hAnsi="宋体" w:eastAsia="仿宋_GB2312"/>
                <w:color w:val="222A35" w:themeColor="text2" w:themeShade="80"/>
                <w:kern w:val="0"/>
                <w:sz w:val="18"/>
                <w:szCs w:val="18"/>
              </w:rPr>
              <w:t>55.20</w:t>
            </w:r>
          </w:p>
        </w:tc>
        <w:tc>
          <w:tcPr>
            <w:tcW w:w="652"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9"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397"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222A35" w:themeColor="text2" w:themeShade="80"/>
                <w:sz w:val="18"/>
                <w:szCs w:val="18"/>
              </w:rPr>
            </w:pPr>
          </w:p>
        </w:tc>
        <w:tc>
          <w:tcPr>
            <w:tcW w:w="416" w:type="dxa"/>
            <w:shd w:val="clear" w:color="auto" w:fill="auto"/>
            <w:vAlign w:val="center"/>
          </w:tcPr>
          <w:p>
            <w:pPr>
              <w:jc w:val="right"/>
              <w:rPr>
                <w:rFonts w:ascii="仿宋_GB2312" w:hAnsi="宋体" w:eastAsia="仿宋_GB2312" w:cs="宋体"/>
                <w:color w:val="222A35" w:themeColor="text2" w:themeShade="80"/>
                <w:sz w:val="18"/>
                <w:szCs w:val="18"/>
              </w:rPr>
            </w:pPr>
          </w:p>
        </w:tc>
        <w:tc>
          <w:tcPr>
            <w:tcW w:w="416" w:type="dxa"/>
            <w:shd w:val="clear" w:color="auto" w:fill="auto"/>
            <w:vAlign w:val="center"/>
          </w:tcPr>
          <w:p>
            <w:pPr>
              <w:jc w:val="right"/>
              <w:rPr>
                <w:rFonts w:ascii="仿宋_GB2312" w:hAnsi="宋体" w:eastAsia="仿宋_GB2312" w:cs="宋体"/>
                <w:color w:val="222A35" w:themeColor="text2" w:themeShade="80"/>
                <w:sz w:val="18"/>
                <w:szCs w:val="18"/>
              </w:rPr>
            </w:pPr>
          </w:p>
        </w:tc>
        <w:tc>
          <w:tcPr>
            <w:tcW w:w="851" w:type="dxa"/>
            <w:shd w:val="clear" w:color="auto" w:fill="auto"/>
            <w:vAlign w:val="center"/>
          </w:tcPr>
          <w:p>
            <w:pPr>
              <w:widowControl/>
              <w:jc w:val="left"/>
              <w:outlineLvl w:val="1"/>
              <w:rPr>
                <w:rFonts w:ascii="仿宋_GB2312" w:hAnsi="宋体" w:eastAsia="仿宋_GB2312"/>
                <w:color w:val="222A35" w:themeColor="text2" w:themeShade="80"/>
                <w:kern w:val="0"/>
                <w:sz w:val="18"/>
                <w:szCs w:val="18"/>
              </w:rPr>
            </w:pPr>
          </w:p>
        </w:tc>
        <w:tc>
          <w:tcPr>
            <w:tcW w:w="1456" w:type="dxa"/>
            <w:shd w:val="clear" w:color="auto" w:fill="auto"/>
          </w:tcPr>
          <w:p>
            <w:pPr>
              <w:jc w:val="left"/>
              <w:rPr>
                <w:rFonts w:ascii="仿宋_GB2312" w:hAnsi="宋体" w:eastAsia="仿宋_GB2312" w:cs="宋体"/>
                <w:color w:val="222A35" w:themeColor="text2" w:themeShade="80"/>
                <w:sz w:val="18"/>
                <w:szCs w:val="18"/>
              </w:rPr>
            </w:pPr>
          </w:p>
        </w:tc>
        <w:tc>
          <w:tcPr>
            <w:tcW w:w="846" w:type="dxa"/>
            <w:shd w:val="clear" w:color="auto" w:fill="auto"/>
            <w:vAlign w:val="center"/>
          </w:tcPr>
          <w:p>
            <w:pPr>
              <w:jc w:val="right"/>
              <w:rPr>
                <w:rFonts w:ascii="仿宋_GB2312" w:hAnsi="宋体" w:eastAsia="仿宋_GB2312" w:cs="宋体"/>
                <w:color w:val="222A35" w:themeColor="text2" w:themeShade="80"/>
                <w:sz w:val="18"/>
                <w:szCs w:val="18"/>
              </w:rPr>
            </w:pPr>
          </w:p>
        </w:tc>
        <w:tc>
          <w:tcPr>
            <w:tcW w:w="847"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p>
        </w:tc>
        <w:tc>
          <w:tcPr>
            <w:tcW w:w="666"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p>
        </w:tc>
        <w:tc>
          <w:tcPr>
            <w:tcW w:w="716" w:type="dxa"/>
            <w:shd w:val="clear" w:color="auto" w:fill="auto"/>
            <w:vAlign w:val="center"/>
          </w:tcPr>
          <w:p>
            <w:pPr>
              <w:widowControl/>
              <w:jc w:val="right"/>
              <w:outlineLvl w:val="1"/>
              <w:rPr>
                <w:rFonts w:ascii="仿宋_GB2312" w:hAnsi="宋体" w:eastAsia="仿宋_GB2312"/>
                <w:color w:val="222A35" w:themeColor="text2" w:themeShade="80"/>
                <w:kern w:val="0"/>
                <w:sz w:val="18"/>
                <w:szCs w:val="18"/>
              </w:rPr>
            </w:pPr>
          </w:p>
        </w:tc>
        <w:tc>
          <w:tcPr>
            <w:tcW w:w="652"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9"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397"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851" w:type="dxa"/>
            <w:shd w:val="clear" w:color="auto" w:fill="auto"/>
          </w:tcPr>
          <w:p>
            <w:pPr>
              <w:widowControl/>
              <w:jc w:val="left"/>
              <w:outlineLvl w:val="1"/>
              <w:rPr>
                <w:rFonts w:ascii="仿宋_GB2312" w:hAnsi="宋体" w:eastAsia="仿宋_GB2312"/>
                <w:color w:val="222A35" w:themeColor="text2" w:themeShade="80"/>
                <w:kern w:val="0"/>
                <w:sz w:val="18"/>
                <w:szCs w:val="18"/>
              </w:rPr>
            </w:pPr>
          </w:p>
        </w:tc>
        <w:tc>
          <w:tcPr>
            <w:tcW w:w="1456" w:type="dxa"/>
            <w:shd w:val="clear" w:color="auto" w:fill="auto"/>
          </w:tcPr>
          <w:p>
            <w:pPr>
              <w:widowControl/>
              <w:jc w:val="left"/>
              <w:outlineLvl w:val="1"/>
              <w:rPr>
                <w:rFonts w:ascii="仿宋_GB2312" w:hAnsi="宋体" w:eastAsia="仿宋_GB2312"/>
                <w:color w:val="222A35" w:themeColor="text2" w:themeShade="80"/>
                <w:kern w:val="0"/>
                <w:sz w:val="18"/>
                <w:szCs w:val="18"/>
              </w:rPr>
            </w:pPr>
          </w:p>
        </w:tc>
        <w:tc>
          <w:tcPr>
            <w:tcW w:w="84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847"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66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7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652"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9"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397"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851" w:type="dxa"/>
            <w:shd w:val="clear" w:color="auto" w:fill="auto"/>
          </w:tcPr>
          <w:p>
            <w:pPr>
              <w:widowControl/>
              <w:jc w:val="left"/>
              <w:outlineLvl w:val="1"/>
              <w:rPr>
                <w:rFonts w:ascii="仿宋_GB2312" w:hAnsi="宋体" w:eastAsia="仿宋_GB2312"/>
                <w:color w:val="222A35" w:themeColor="text2" w:themeShade="80"/>
                <w:kern w:val="0"/>
                <w:sz w:val="18"/>
                <w:szCs w:val="18"/>
              </w:rPr>
            </w:pPr>
          </w:p>
        </w:tc>
        <w:tc>
          <w:tcPr>
            <w:tcW w:w="1456" w:type="dxa"/>
            <w:shd w:val="clear" w:color="auto" w:fill="auto"/>
          </w:tcPr>
          <w:p>
            <w:pPr>
              <w:widowControl/>
              <w:jc w:val="left"/>
              <w:outlineLvl w:val="1"/>
              <w:rPr>
                <w:rFonts w:ascii="仿宋_GB2312" w:hAnsi="宋体" w:eastAsia="仿宋_GB2312"/>
                <w:color w:val="222A35" w:themeColor="text2" w:themeShade="80"/>
                <w:kern w:val="0"/>
                <w:sz w:val="18"/>
                <w:szCs w:val="18"/>
              </w:rPr>
            </w:pPr>
          </w:p>
        </w:tc>
        <w:tc>
          <w:tcPr>
            <w:tcW w:w="84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847"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66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7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652"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9"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397"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851" w:type="dxa"/>
            <w:shd w:val="clear" w:color="auto" w:fill="auto"/>
          </w:tcPr>
          <w:p>
            <w:pPr>
              <w:widowControl/>
              <w:jc w:val="left"/>
              <w:outlineLvl w:val="1"/>
              <w:rPr>
                <w:rFonts w:ascii="仿宋_GB2312" w:hAnsi="宋体" w:eastAsia="仿宋_GB2312"/>
                <w:color w:val="222A35" w:themeColor="text2" w:themeShade="80"/>
                <w:kern w:val="0"/>
                <w:sz w:val="18"/>
                <w:szCs w:val="18"/>
              </w:rPr>
            </w:pPr>
          </w:p>
        </w:tc>
        <w:tc>
          <w:tcPr>
            <w:tcW w:w="1456" w:type="dxa"/>
            <w:shd w:val="clear" w:color="auto" w:fill="auto"/>
          </w:tcPr>
          <w:p>
            <w:pPr>
              <w:widowControl/>
              <w:jc w:val="left"/>
              <w:outlineLvl w:val="1"/>
              <w:rPr>
                <w:rFonts w:ascii="仿宋_GB2312" w:hAnsi="宋体" w:eastAsia="仿宋_GB2312"/>
                <w:color w:val="222A35" w:themeColor="text2" w:themeShade="80"/>
                <w:kern w:val="0"/>
                <w:sz w:val="18"/>
                <w:szCs w:val="18"/>
              </w:rPr>
            </w:pPr>
          </w:p>
        </w:tc>
        <w:tc>
          <w:tcPr>
            <w:tcW w:w="84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847"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66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7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652"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9"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397"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6"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851" w:type="dxa"/>
            <w:shd w:val="clear" w:color="auto" w:fill="auto"/>
          </w:tcPr>
          <w:p>
            <w:pPr>
              <w:widowControl/>
              <w:jc w:val="left"/>
              <w:outlineLvl w:val="1"/>
              <w:rPr>
                <w:rFonts w:ascii="仿宋_GB2312" w:hAnsi="宋体" w:eastAsia="仿宋_GB2312"/>
                <w:color w:val="222A35" w:themeColor="text2" w:themeShade="80"/>
                <w:kern w:val="0"/>
                <w:sz w:val="18"/>
                <w:szCs w:val="18"/>
              </w:rPr>
            </w:pPr>
          </w:p>
        </w:tc>
        <w:tc>
          <w:tcPr>
            <w:tcW w:w="1456" w:type="dxa"/>
            <w:shd w:val="clear" w:color="auto" w:fill="auto"/>
            <w:vAlign w:val="center"/>
          </w:tcPr>
          <w:p>
            <w:pPr>
              <w:widowControl/>
              <w:jc w:val="center"/>
              <w:outlineLvl w:val="1"/>
              <w:rPr>
                <w:rFonts w:ascii="仿宋_GB2312" w:hAnsi="宋体" w:eastAsia="仿宋_GB2312"/>
                <w:color w:val="222A35" w:themeColor="text2" w:themeShade="80"/>
                <w:kern w:val="0"/>
                <w:sz w:val="18"/>
                <w:szCs w:val="18"/>
              </w:rPr>
            </w:pPr>
            <w:r>
              <w:rPr>
                <w:rFonts w:hint="eastAsia" w:ascii="仿宋_GB2312" w:hAnsi="宋体" w:eastAsia="仿宋_GB2312"/>
                <w:color w:val="222A35" w:themeColor="text2" w:themeShade="80"/>
                <w:kern w:val="0"/>
                <w:sz w:val="18"/>
                <w:szCs w:val="18"/>
              </w:rPr>
              <w:t>合计</w:t>
            </w:r>
          </w:p>
        </w:tc>
        <w:tc>
          <w:tcPr>
            <w:tcW w:w="84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96.80</w:t>
            </w:r>
          </w:p>
        </w:tc>
        <w:tc>
          <w:tcPr>
            <w:tcW w:w="847" w:type="dxa"/>
            <w:shd w:val="clear" w:color="auto" w:fill="auto"/>
            <w:vAlign w:val="center"/>
          </w:tcPr>
          <w:p>
            <w:pPr>
              <w:jc w:val="right"/>
              <w:rPr>
                <w:rFonts w:ascii="仿宋_GB2312" w:hAnsi="宋体" w:eastAsia="仿宋_GB2312" w:cs="宋体"/>
                <w:color w:val="222A35" w:themeColor="text2" w:themeShade="80"/>
                <w:sz w:val="18"/>
                <w:szCs w:val="18"/>
              </w:rPr>
            </w:pPr>
          </w:p>
        </w:tc>
        <w:tc>
          <w:tcPr>
            <w:tcW w:w="66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41.60</w:t>
            </w:r>
          </w:p>
        </w:tc>
        <w:tc>
          <w:tcPr>
            <w:tcW w:w="716" w:type="dxa"/>
            <w:shd w:val="clear" w:color="auto" w:fill="auto"/>
            <w:vAlign w:val="center"/>
          </w:tcPr>
          <w:p>
            <w:pPr>
              <w:jc w:val="right"/>
              <w:rPr>
                <w:rFonts w:ascii="仿宋_GB2312" w:hAnsi="宋体" w:eastAsia="仿宋_GB2312" w:cs="宋体"/>
                <w:color w:val="222A35" w:themeColor="text2" w:themeShade="80"/>
                <w:sz w:val="18"/>
                <w:szCs w:val="18"/>
              </w:rPr>
            </w:pPr>
            <w:r>
              <w:rPr>
                <w:rFonts w:hint="eastAsia" w:ascii="仿宋_GB2312" w:hAnsi="宋体" w:eastAsia="仿宋_GB2312" w:cs="宋体"/>
                <w:color w:val="222A35" w:themeColor="text2" w:themeShade="80"/>
                <w:sz w:val="18"/>
                <w:szCs w:val="18"/>
              </w:rPr>
              <w:t>55.20</w:t>
            </w:r>
          </w:p>
        </w:tc>
        <w:tc>
          <w:tcPr>
            <w:tcW w:w="652"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19"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578"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420" w:type="dxa"/>
            <w:shd w:val="clear" w:color="auto" w:fill="auto"/>
          </w:tcPr>
          <w:p>
            <w:pPr>
              <w:widowControl/>
              <w:jc w:val="right"/>
              <w:outlineLvl w:val="1"/>
              <w:rPr>
                <w:rFonts w:ascii="仿宋_GB2312" w:hAnsi="宋体" w:eastAsia="仿宋_GB2312"/>
                <w:color w:val="222A35" w:themeColor="text2" w:themeShade="80"/>
                <w:kern w:val="0"/>
                <w:sz w:val="18"/>
                <w:szCs w:val="18"/>
              </w:rPr>
            </w:pPr>
          </w:p>
        </w:tc>
        <w:tc>
          <w:tcPr>
            <w:tcW w:w="397" w:type="dxa"/>
            <w:gridSpan w:val="2"/>
            <w:shd w:val="clear" w:color="auto" w:fill="auto"/>
          </w:tcPr>
          <w:p>
            <w:pPr>
              <w:widowControl/>
              <w:jc w:val="right"/>
              <w:outlineLvl w:val="1"/>
              <w:rPr>
                <w:rFonts w:ascii="仿宋_GB2312" w:hAnsi="宋体" w:eastAsia="仿宋_GB2312"/>
                <w:color w:val="222A35" w:themeColor="text2" w:themeShade="80"/>
                <w:kern w:val="0"/>
                <w:sz w:val="18"/>
                <w:szCs w:val="18"/>
              </w:rPr>
            </w:pPr>
          </w:p>
        </w:tc>
      </w:tr>
    </w:tbl>
    <w:p>
      <w:pPr>
        <w:widowControl/>
        <w:jc w:val="left"/>
        <w:outlineLvl w:val="1"/>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表八：</w:t>
      </w:r>
    </w:p>
    <w:p>
      <w:pPr>
        <w:widowControl/>
        <w:jc w:val="center"/>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一般公共预算“三公”经费支出情况表</w:t>
      </w:r>
    </w:p>
    <w:p>
      <w:pPr>
        <w:widowControl/>
        <w:jc w:val="left"/>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编制单位：                                                    单位：万元</w:t>
      </w:r>
    </w:p>
    <w:tbl>
      <w:tblPr>
        <w:tblStyle w:val="10"/>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0.39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0.39</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bl>
    <w:p>
      <w:pPr>
        <w:widowControl/>
        <w:outlineLvl w:val="1"/>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jc w:val="left"/>
        <w:rPr>
          <w:rFonts w:ascii="仿宋_GB2312" w:hAnsi="宋体" w:eastAsia="仿宋_GB2312"/>
          <w:color w:val="222A35" w:themeColor="text2" w:themeShade="80"/>
          <w:kern w:val="0"/>
          <w:sz w:val="32"/>
          <w:szCs w:val="32"/>
        </w:rPr>
      </w:pPr>
    </w:p>
    <w:p>
      <w:pPr>
        <w:widowControl/>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表九：</w:t>
      </w:r>
    </w:p>
    <w:p>
      <w:pPr>
        <w:widowControl/>
        <w:jc w:val="center"/>
        <w:outlineLvl w:val="1"/>
        <w:rPr>
          <w:rFonts w:ascii="仿宋_GB2312" w:hAnsi="宋体" w:eastAsia="仿宋_GB2312"/>
          <w:b/>
          <w:color w:val="222A35" w:themeColor="text2" w:themeShade="80"/>
          <w:kern w:val="0"/>
          <w:sz w:val="32"/>
          <w:szCs w:val="32"/>
        </w:rPr>
      </w:pPr>
      <w:r>
        <w:rPr>
          <w:rFonts w:hint="eastAsia" w:ascii="仿宋_GB2312" w:hAnsi="宋体" w:eastAsia="仿宋_GB2312"/>
          <w:b/>
          <w:color w:val="222A35" w:themeColor="text2" w:themeShade="80"/>
          <w:kern w:val="0"/>
          <w:sz w:val="32"/>
          <w:szCs w:val="32"/>
        </w:rPr>
        <w:t>政府性基金预算支出情况表</w:t>
      </w:r>
    </w:p>
    <w:p>
      <w:pPr>
        <w:widowControl/>
        <w:outlineLvl w:val="1"/>
        <w:rPr>
          <w:rFonts w:ascii="仿宋_GB2312" w:hAnsi="宋体" w:eastAsia="仿宋_GB2312"/>
          <w:color w:val="222A35" w:themeColor="text2" w:themeShade="80"/>
          <w:kern w:val="0"/>
          <w:sz w:val="24"/>
        </w:rPr>
      </w:pPr>
      <w:r>
        <w:rPr>
          <w:rFonts w:hint="eastAsia" w:ascii="仿宋_GB2312" w:hAnsi="宋体" w:eastAsia="仿宋_GB2312"/>
          <w:color w:val="222A35" w:themeColor="text2" w:themeShade="80"/>
          <w:kern w:val="0"/>
          <w:sz w:val="24"/>
        </w:rPr>
        <w:t>编制单位：                                                     单位：万元</w:t>
      </w:r>
    </w:p>
    <w:tbl>
      <w:tblPr>
        <w:tblStyle w:val="10"/>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r>
              <w:rPr>
                <w:rFonts w:hint="eastAsia" w:ascii="仿宋_GB2312" w:hAnsi="宋体" w:eastAsia="仿宋_GB2312" w:cs="宋体"/>
                <w:b/>
                <w:bCs/>
                <w:color w:val="222A35" w:themeColor="text2" w:themeShade="80"/>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222A35" w:themeColor="text2" w:themeShade="80"/>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222A35" w:themeColor="text2" w:themeShade="80"/>
                <w:kern w:val="0"/>
                <w:sz w:val="18"/>
                <w:szCs w:val="18"/>
              </w:rPr>
            </w:pPr>
            <w:r>
              <w:rPr>
                <w:rFonts w:hint="eastAsia" w:ascii="仿宋_GB2312" w:hAnsi="宋体" w:eastAsia="仿宋_GB2312" w:cs="宋体"/>
                <w:color w:val="222A35" w:themeColor="text2" w:themeShade="80"/>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222A35" w:themeColor="text2" w:themeShade="80"/>
                <w:kern w:val="0"/>
                <w:sz w:val="18"/>
                <w:szCs w:val="18"/>
              </w:rPr>
            </w:pPr>
          </w:p>
        </w:tc>
      </w:tr>
    </w:tbl>
    <w:p>
      <w:pPr>
        <w:widowControl/>
        <w:outlineLvl w:val="1"/>
        <w:rPr>
          <w:rFonts w:ascii="仿宋_GB2312" w:hAnsi="宋体" w:eastAsia="仿宋_GB2312"/>
          <w:color w:val="222A35" w:themeColor="text2" w:themeShade="80"/>
          <w:kern w:val="0"/>
          <w:sz w:val="32"/>
          <w:szCs w:val="32"/>
        </w:rPr>
      </w:pPr>
      <w:r>
        <w:rPr>
          <w:rFonts w:hint="eastAsia" w:ascii="仿宋_GB2312" w:hAnsi="宋体" w:eastAsia="仿宋_GB2312"/>
          <w:color w:val="222A35" w:themeColor="text2" w:themeShade="80"/>
          <w:kern w:val="0"/>
          <w:sz w:val="32"/>
          <w:szCs w:val="32"/>
        </w:rPr>
        <w:t>备注：无内容应公开空表并说明情况。</w:t>
      </w:r>
    </w:p>
    <w:p>
      <w:pPr>
        <w:widowControl/>
        <w:jc w:val="left"/>
        <w:outlineLvl w:val="1"/>
        <w:rPr>
          <w:rFonts w:ascii="仿宋_GB2312" w:hAnsi="宋体" w:eastAsia="仿宋_GB2312"/>
          <w:color w:val="222A35" w:themeColor="text2" w:themeShade="80"/>
          <w:kern w:val="0"/>
          <w:sz w:val="32"/>
          <w:szCs w:val="32"/>
        </w:rPr>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pPr>
        <w:widowControl/>
        <w:spacing w:before="217" w:beforeLines="50"/>
        <w:jc w:val="center"/>
        <w:outlineLvl w:val="1"/>
        <w:rPr>
          <w:rFonts w:ascii="黑体" w:hAnsi="黑体" w:eastAsia="黑体"/>
          <w:color w:val="222A35" w:themeColor="text2" w:themeShade="80"/>
          <w:kern w:val="0"/>
          <w:sz w:val="32"/>
          <w:szCs w:val="32"/>
        </w:rPr>
      </w:pPr>
      <w:r>
        <w:rPr>
          <w:rFonts w:hint="eastAsia" w:ascii="黑体" w:hAnsi="黑体" w:eastAsia="黑体"/>
          <w:color w:val="222A35" w:themeColor="text2" w:themeShade="80"/>
          <w:kern w:val="0"/>
          <w:sz w:val="32"/>
          <w:szCs w:val="32"/>
        </w:rPr>
        <w:t>第三部分  2016年部门预算情况说明</w:t>
      </w:r>
    </w:p>
    <w:p>
      <w:pPr>
        <w:widowControl/>
        <w:spacing w:line="600" w:lineRule="exact"/>
        <w:outlineLvl w:val="1"/>
        <w:rPr>
          <w:rFonts w:ascii="仿宋_GB2312" w:hAnsi="宋体" w:eastAsia="仿宋_GB2312"/>
          <w:b/>
          <w:color w:val="222A35" w:themeColor="text2" w:themeShade="80"/>
          <w:kern w:val="0"/>
          <w:sz w:val="36"/>
          <w:szCs w:val="36"/>
        </w:rPr>
      </w:pPr>
    </w:p>
    <w:p>
      <w:pPr>
        <w:widowControl/>
        <w:spacing w:line="600" w:lineRule="exact"/>
        <w:jc w:val="center"/>
        <w:outlineLvl w:val="1"/>
        <w:rPr>
          <w:rFonts w:ascii="黑体" w:hAnsi="宋体" w:eastAsia="黑体"/>
          <w:color w:val="222A35" w:themeColor="text2" w:themeShade="80"/>
          <w:kern w:val="0"/>
          <w:sz w:val="32"/>
          <w:szCs w:val="32"/>
        </w:rPr>
      </w:pPr>
      <w:r>
        <w:rPr>
          <w:rFonts w:hint="eastAsia" w:ascii="黑体" w:hAnsi="宋体" w:eastAsia="黑体"/>
          <w:color w:val="222A35" w:themeColor="text2" w:themeShade="80"/>
          <w:kern w:val="0"/>
          <w:sz w:val="32"/>
          <w:szCs w:val="32"/>
        </w:rPr>
        <w:t>2016年部门预算情况说明</w:t>
      </w:r>
    </w:p>
    <w:p>
      <w:pPr>
        <w:widowControl/>
        <w:spacing w:line="600" w:lineRule="exact"/>
        <w:jc w:val="left"/>
        <w:outlineLvl w:val="1"/>
        <w:rPr>
          <w:rFonts w:ascii="仿宋_GB2312" w:hAnsi="宋体" w:eastAsia="仿宋_GB2312"/>
          <w:color w:val="222A35" w:themeColor="text2" w:themeShade="80"/>
          <w:kern w:val="0"/>
          <w:sz w:val="36"/>
          <w:szCs w:val="36"/>
        </w:rPr>
      </w:pPr>
    </w:p>
    <w:p>
      <w:pPr>
        <w:widowControl/>
        <w:spacing w:line="580" w:lineRule="exact"/>
        <w:ind w:firstLine="640"/>
        <w:jc w:val="left"/>
        <w:rPr>
          <w:rFonts w:ascii="黑体" w:hAnsi="宋体" w:eastAsia="黑体" w:cs="宋体"/>
          <w:color w:val="222A35" w:themeColor="text2" w:themeShade="80"/>
          <w:kern w:val="0"/>
          <w:sz w:val="32"/>
          <w:szCs w:val="32"/>
        </w:rPr>
      </w:pPr>
      <w:r>
        <w:rPr>
          <w:rFonts w:hint="eastAsia" w:ascii="黑体" w:hAnsi="黑体" w:eastAsia="黑体" w:cs="宋体"/>
          <w:bCs/>
          <w:color w:val="222A35" w:themeColor="text2" w:themeShade="80"/>
          <w:kern w:val="0"/>
          <w:sz w:val="32"/>
          <w:szCs w:val="32"/>
        </w:rPr>
        <w:t>一、</w:t>
      </w:r>
      <w:r>
        <w:rPr>
          <w:rFonts w:hint="eastAsia" w:ascii="黑体" w:hAnsi="宋体" w:eastAsia="黑体" w:cs="宋体"/>
          <w:color w:val="222A35" w:themeColor="text2" w:themeShade="80"/>
          <w:kern w:val="0"/>
          <w:sz w:val="32"/>
          <w:szCs w:val="32"/>
        </w:rPr>
        <w:t>关于乌鲁木齐市第六十四小学2016年收支预算情况的总体说明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按照全口径预算的原则，乌鲁木齐市第六十四小学2016年所有收入和支出均纳入部门预算管理。收支总预算</w:t>
      </w:r>
      <w:r>
        <w:rPr>
          <w:rFonts w:cs="宋体" w:asciiTheme="minorEastAsia" w:hAnsiTheme="minorEastAsia" w:eastAsiaTheme="minorEastAsia"/>
          <w:color w:val="222A35" w:themeColor="text2" w:themeShade="80"/>
          <w:kern w:val="0"/>
          <w:sz w:val="28"/>
          <w:szCs w:val="28"/>
        </w:rPr>
        <w:t>751.29</w:t>
      </w:r>
      <w:r>
        <w:rPr>
          <w:rFonts w:hint="eastAsia" w:cs="宋体"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收入预算包括：一般公共预算、单位上年结余（不包括国库集中支付额度结余）等。</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支出预算包括：教育支出、社会保障和就业支出等。</w:t>
      </w:r>
    </w:p>
    <w:p>
      <w:pPr>
        <w:widowControl/>
        <w:spacing w:line="580" w:lineRule="exact"/>
        <w:ind w:firstLine="640"/>
        <w:jc w:val="left"/>
        <w:rPr>
          <w:rFonts w:ascii="黑体" w:hAnsi="宋体" w:eastAsia="黑体" w:cs="宋体"/>
          <w:color w:val="222A35" w:themeColor="text2" w:themeShade="80"/>
          <w:kern w:val="0"/>
          <w:sz w:val="32"/>
          <w:szCs w:val="32"/>
        </w:rPr>
      </w:pPr>
      <w:r>
        <w:rPr>
          <w:rFonts w:hint="eastAsia" w:ascii="黑体" w:hAnsi="宋体" w:eastAsia="黑体" w:cs="宋体"/>
          <w:color w:val="222A35" w:themeColor="text2" w:themeShade="80"/>
          <w:kern w:val="0"/>
          <w:sz w:val="32"/>
          <w:szCs w:val="32"/>
        </w:rPr>
        <w:t>二、关于乌鲁木齐市第六十四小学2016年收入预算情况说明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乌鲁木齐市第六十四小学收入预算</w:t>
      </w:r>
      <w:r>
        <w:rPr>
          <w:rFonts w:cs="宋体" w:asciiTheme="minorEastAsia" w:hAnsiTheme="minorEastAsia" w:eastAsiaTheme="minorEastAsia"/>
          <w:color w:val="222A35" w:themeColor="text2" w:themeShade="80"/>
          <w:kern w:val="0"/>
          <w:sz w:val="28"/>
          <w:szCs w:val="28"/>
        </w:rPr>
        <w:t>751.29</w:t>
      </w:r>
      <w:r>
        <w:rPr>
          <w:rFonts w:hint="eastAsia" w:cs="宋体" w:asciiTheme="minorEastAsia" w:hAnsiTheme="minorEastAsia" w:eastAsiaTheme="minorEastAsia"/>
          <w:color w:val="222A35" w:themeColor="text2" w:themeShade="80"/>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一般公共预算</w:t>
      </w:r>
      <w:r>
        <w:rPr>
          <w:rFonts w:cs="宋体" w:asciiTheme="minorEastAsia" w:hAnsiTheme="minorEastAsia" w:eastAsiaTheme="minorEastAsia"/>
          <w:color w:val="222A35" w:themeColor="text2" w:themeShade="80"/>
          <w:kern w:val="0"/>
          <w:sz w:val="28"/>
          <w:szCs w:val="28"/>
        </w:rPr>
        <w:t>751.29</w:t>
      </w:r>
      <w:r>
        <w:rPr>
          <w:rFonts w:hint="eastAsia" w:cs="宋体" w:asciiTheme="minorEastAsia" w:hAnsiTheme="minorEastAsia" w:eastAsiaTheme="minorEastAsia"/>
          <w:color w:val="222A35" w:themeColor="text2" w:themeShade="80"/>
          <w:kern w:val="0"/>
          <w:sz w:val="28"/>
          <w:szCs w:val="28"/>
        </w:rPr>
        <w:t>万元，比上年增加192.17万元,主要原因是人员经费如工资、社保、公积金等增加。</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其他资金拨款未安排。</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财政预算拨款结余结转0万元，比上年减少9.69万元，2015年底无结余。</w:t>
      </w:r>
    </w:p>
    <w:p>
      <w:pPr>
        <w:widowControl/>
        <w:spacing w:line="580" w:lineRule="exact"/>
        <w:ind w:firstLine="640"/>
        <w:jc w:val="left"/>
        <w:rPr>
          <w:rFonts w:ascii="黑体" w:hAnsi="宋体" w:eastAsia="黑体" w:cs="宋体"/>
          <w:color w:val="222A35" w:themeColor="text2" w:themeShade="80"/>
          <w:kern w:val="0"/>
          <w:sz w:val="32"/>
          <w:szCs w:val="32"/>
        </w:rPr>
      </w:pPr>
      <w:r>
        <w:rPr>
          <w:rFonts w:hint="eastAsia" w:ascii="黑体" w:hAnsi="宋体" w:eastAsia="黑体" w:cs="宋体"/>
          <w:color w:val="222A35" w:themeColor="text2" w:themeShade="80"/>
          <w:kern w:val="0"/>
          <w:sz w:val="32"/>
          <w:szCs w:val="32"/>
        </w:rPr>
        <w:t>三、关于乌鲁木齐市第六十四小学单位2016年支出预算情况说明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乌鲁木齐市第六十四小学单位2016年支出预算</w:t>
      </w:r>
      <w:r>
        <w:rPr>
          <w:rFonts w:cs="宋体" w:asciiTheme="minorEastAsia" w:hAnsiTheme="minorEastAsia" w:eastAsiaTheme="minorEastAsia"/>
          <w:color w:val="222A35" w:themeColor="text2" w:themeShade="80"/>
          <w:kern w:val="0"/>
          <w:sz w:val="28"/>
          <w:szCs w:val="28"/>
        </w:rPr>
        <w:t>751.29</w:t>
      </w:r>
      <w:r>
        <w:rPr>
          <w:rFonts w:hint="eastAsia" w:cs="宋体" w:asciiTheme="minorEastAsia" w:hAnsiTheme="minorEastAsia" w:eastAsiaTheme="minorEastAsia"/>
          <w:color w:val="222A35" w:themeColor="text2" w:themeShade="80"/>
          <w:kern w:val="0"/>
          <w:sz w:val="28"/>
          <w:szCs w:val="28"/>
        </w:rPr>
        <w:t>万元，其中：</w:t>
      </w:r>
    </w:p>
    <w:p>
      <w:pPr>
        <w:widowControl/>
        <w:spacing w:line="560" w:lineRule="exact"/>
        <w:ind w:firstLine="560" w:firstLineChars="200"/>
        <w:jc w:val="left"/>
        <w:rPr>
          <w:rFonts w:cs="宋体" w:asciiTheme="minorEastAsia" w:hAnsiTheme="minorEastAsia" w:eastAsiaTheme="minorEastAsia"/>
          <w:b/>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基本支出654.49万元，比上年增加190.07万元,主要原因是人员经费如工资、社保、公积金等增加。</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项目支出96.80万元，比上年增加2.1万元，新增校园绿化美化经费项目。</w:t>
      </w:r>
    </w:p>
    <w:p>
      <w:pPr>
        <w:widowControl/>
        <w:spacing w:line="580" w:lineRule="exact"/>
        <w:ind w:firstLine="640"/>
        <w:jc w:val="left"/>
        <w:rPr>
          <w:rFonts w:ascii="黑体" w:hAnsi="黑体" w:eastAsia="黑体" w:cs="宋体"/>
          <w:bCs/>
          <w:color w:val="222A35" w:themeColor="text2" w:themeShade="80"/>
          <w:kern w:val="0"/>
          <w:sz w:val="32"/>
          <w:szCs w:val="32"/>
        </w:rPr>
      </w:pPr>
      <w:r>
        <w:rPr>
          <w:rFonts w:hint="eastAsia" w:ascii="黑体" w:hAnsi="黑体" w:eastAsia="黑体" w:cs="宋体"/>
          <w:bCs/>
          <w:color w:val="222A35" w:themeColor="text2" w:themeShade="80"/>
          <w:kern w:val="0"/>
          <w:sz w:val="32"/>
          <w:szCs w:val="32"/>
        </w:rPr>
        <w:t>四、关于乌鲁木齐市第六十四小学2016年财政拨款收支预算情况的总体说明</w:t>
      </w:r>
    </w:p>
    <w:p>
      <w:pPr>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财政拨款收支总预算751.29万元。</w:t>
      </w:r>
    </w:p>
    <w:p>
      <w:pPr>
        <w:spacing w:line="560" w:lineRule="exact"/>
        <w:ind w:firstLine="560" w:firstLineChars="200"/>
        <w:jc w:val="left"/>
        <w:rPr>
          <w:rFonts w:ascii="仿宋_GB2312" w:hAnsi="宋体" w:eastAsia="仿宋_GB2312" w:cs="宋体"/>
          <w:b/>
          <w:color w:val="222A35" w:themeColor="text2" w:themeShade="80"/>
          <w:kern w:val="0"/>
          <w:sz w:val="32"/>
          <w:szCs w:val="32"/>
        </w:rPr>
      </w:pPr>
      <w:r>
        <w:rPr>
          <w:rFonts w:hint="eastAsia" w:cs="宋体" w:asciiTheme="minorEastAsia" w:hAnsiTheme="minorEastAsia" w:eastAsiaTheme="minorEastAsia"/>
          <w:color w:val="222A35" w:themeColor="text2" w:themeShade="80"/>
          <w:kern w:val="0"/>
          <w:sz w:val="28"/>
          <w:szCs w:val="28"/>
        </w:rPr>
        <w:t>收入全部为一般公共预算拨款，无政府性基金预算拨款。</w:t>
      </w:r>
    </w:p>
    <w:p>
      <w:pPr>
        <w:widowControl/>
        <w:spacing w:line="580" w:lineRule="exact"/>
        <w:ind w:firstLine="640"/>
        <w:jc w:val="left"/>
        <w:rPr>
          <w:rFonts w:ascii="黑体" w:hAnsi="宋体" w:eastAsia="黑体" w:cs="宋体"/>
          <w:color w:val="222A35" w:themeColor="text2" w:themeShade="80"/>
          <w:kern w:val="0"/>
          <w:sz w:val="32"/>
          <w:szCs w:val="32"/>
        </w:rPr>
      </w:pPr>
      <w:r>
        <w:rPr>
          <w:rFonts w:hint="eastAsia" w:ascii="黑体" w:hAnsi="宋体" w:eastAsia="黑体" w:cs="宋体"/>
          <w:color w:val="222A35" w:themeColor="text2" w:themeShade="80"/>
          <w:kern w:val="0"/>
          <w:sz w:val="32"/>
          <w:szCs w:val="32"/>
        </w:rPr>
        <w:t>五、关于乌鲁木齐市第六十四小学2016年一般公共预算基本支出情况说明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乌鲁木齐市第六十四小学2016年一般公共预算基本支出654.49万元，其中：</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人员经费</w:t>
      </w:r>
      <w:r>
        <w:rPr>
          <w:rFonts w:cs="宋体" w:asciiTheme="minorEastAsia" w:hAnsiTheme="minorEastAsia" w:eastAsiaTheme="minorEastAsia"/>
          <w:color w:val="222A35" w:themeColor="text2" w:themeShade="80"/>
          <w:kern w:val="0"/>
          <w:sz w:val="28"/>
          <w:szCs w:val="28"/>
        </w:rPr>
        <w:t>5</w:t>
      </w:r>
      <w:r>
        <w:rPr>
          <w:rFonts w:hint="eastAsia" w:cs="宋体" w:asciiTheme="minorEastAsia" w:hAnsiTheme="minorEastAsia" w:eastAsiaTheme="minorEastAsia"/>
          <w:color w:val="222A35" w:themeColor="text2" w:themeShade="80"/>
          <w:kern w:val="0"/>
          <w:sz w:val="28"/>
          <w:szCs w:val="28"/>
        </w:rPr>
        <w:t>63.26万元，主要包括：基本工资、津贴补贴、奖金、绩效工资、机关事业单位基本养老保险缴费、其他社会保障缴费、住房公积金、其他工资福利支出、退休费、奖励金、其他对个人和家庭的补助等。</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公用经费91.23万元，主要包括：办公费、水费、电费、邮电费、取暖费、物业管理费、差旅费、维修（护）费、租赁费、培训费、公务接待费、专用材料费、劳务费、工会经费、福利费、其他车辆、其他商品和服务支出等。</w:t>
      </w:r>
    </w:p>
    <w:p>
      <w:pPr>
        <w:widowControl/>
        <w:spacing w:line="580" w:lineRule="exact"/>
        <w:ind w:firstLine="640"/>
        <w:jc w:val="left"/>
        <w:rPr>
          <w:rFonts w:ascii="黑体" w:hAnsi="宋体" w:eastAsia="黑体" w:cs="宋体"/>
          <w:color w:val="222A35" w:themeColor="text2" w:themeShade="80"/>
          <w:kern w:val="0"/>
          <w:sz w:val="32"/>
          <w:szCs w:val="32"/>
        </w:rPr>
      </w:pPr>
      <w:r>
        <w:rPr>
          <w:rFonts w:hint="eastAsia" w:ascii="黑体" w:hAnsi="宋体" w:eastAsia="黑体" w:cs="宋体"/>
          <w:color w:val="222A35" w:themeColor="text2" w:themeShade="80"/>
          <w:kern w:val="0"/>
          <w:sz w:val="32"/>
          <w:szCs w:val="32"/>
        </w:rPr>
        <w:t>六、关于乌鲁木齐市第六十四小学2016年一般公共预算项目支出情况说明</w:t>
      </w:r>
    </w:p>
    <w:p>
      <w:pPr>
        <w:widowControl/>
        <w:spacing w:line="560" w:lineRule="exact"/>
        <w:ind w:firstLine="562" w:firstLineChars="200"/>
        <w:jc w:val="left"/>
        <w:rPr>
          <w:rFonts w:asciiTheme="minorEastAsia" w:hAnsiTheme="minorEastAsia" w:eastAsiaTheme="minorEastAsia"/>
          <w:b/>
          <w:color w:val="222A35" w:themeColor="text2" w:themeShade="80"/>
          <w:sz w:val="28"/>
          <w:szCs w:val="28"/>
        </w:rPr>
      </w:pPr>
      <w:r>
        <w:rPr>
          <w:rFonts w:hint="eastAsia" w:asciiTheme="minorEastAsia" w:hAnsiTheme="minorEastAsia" w:eastAsiaTheme="minorEastAsia"/>
          <w:b/>
          <w:color w:val="222A35" w:themeColor="text2" w:themeShade="80"/>
          <w:sz w:val="28"/>
          <w:szCs w:val="28"/>
        </w:rPr>
        <w:t>情况一：（项目支出、专项业务费按下列内容说明）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asciiTheme="minorEastAsia" w:hAnsiTheme="minorEastAsia" w:eastAsiaTheme="minorEastAsia"/>
          <w:color w:val="222A35" w:themeColor="text2" w:themeShade="80"/>
          <w:sz w:val="28"/>
          <w:szCs w:val="28"/>
        </w:rPr>
        <w:t>项目</w:t>
      </w:r>
      <w:r>
        <w:rPr>
          <w:rFonts w:asciiTheme="minorEastAsia" w:hAnsiTheme="minorEastAsia" w:eastAsiaTheme="minorEastAsia"/>
          <w:color w:val="222A35" w:themeColor="text2" w:themeShade="80"/>
          <w:sz w:val="28"/>
          <w:szCs w:val="28"/>
        </w:rPr>
        <w:t>名称</w:t>
      </w:r>
      <w:r>
        <w:rPr>
          <w:rFonts w:hint="eastAsia" w:asciiTheme="minorEastAsia" w:hAnsiTheme="minorEastAsia" w:eastAsiaTheme="minorEastAsia"/>
          <w:color w:val="222A35" w:themeColor="text2" w:themeShade="80"/>
          <w:sz w:val="28"/>
          <w:szCs w:val="28"/>
        </w:rPr>
        <w:t>：</w:t>
      </w:r>
      <w:r>
        <w:rPr>
          <w:rFonts w:hint="eastAsia" w:asciiTheme="minorEastAsia" w:hAnsiTheme="minorEastAsia" w:eastAsiaTheme="minorEastAsia"/>
          <w:color w:val="222A35" w:themeColor="text2" w:themeShade="80"/>
          <w:kern w:val="0"/>
          <w:sz w:val="28"/>
          <w:szCs w:val="28"/>
        </w:rPr>
        <w:t>校园绿化美化经费</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设立的政策依据</w:t>
      </w:r>
      <w:r>
        <w:rPr>
          <w:rFonts w:hint="eastAsia" w:asciiTheme="minorEastAsia" w:hAnsiTheme="minorEastAsia" w:eastAsiaTheme="minorEastAsia"/>
          <w:color w:val="222A35" w:themeColor="text2" w:themeShade="80"/>
          <w:sz w:val="28"/>
          <w:szCs w:val="28"/>
        </w:rPr>
        <w:t>：根据</w:t>
      </w:r>
      <w:r>
        <w:rPr>
          <w:rFonts w:hint="eastAsia" w:asciiTheme="minorEastAsia" w:hAnsiTheme="minorEastAsia" w:eastAsiaTheme="minorEastAsia"/>
          <w:color w:val="222A35" w:themeColor="text2" w:themeShade="80"/>
          <w:kern w:val="0"/>
          <w:sz w:val="28"/>
          <w:szCs w:val="28"/>
        </w:rPr>
        <w:t>校园绿化美化经费设立依据</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预算安排规模</w:t>
      </w:r>
      <w:r>
        <w:rPr>
          <w:rFonts w:hint="eastAsia" w:asciiTheme="minorEastAsia" w:hAnsiTheme="minorEastAsia" w:eastAsiaTheme="minorEastAsia"/>
          <w:color w:val="222A35" w:themeColor="text2" w:themeShade="80"/>
          <w:sz w:val="28"/>
          <w:szCs w:val="28"/>
        </w:rPr>
        <w:t>：5万元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项目承担单位</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乌鲁木齐市第六十四小学</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资金分配情况</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用于校园环境美化</w:t>
      </w:r>
    </w:p>
    <w:p>
      <w:pPr>
        <w:widowControl/>
        <w:spacing w:line="560" w:lineRule="exact"/>
        <w:ind w:firstLine="560" w:firstLineChars="200"/>
        <w:jc w:val="left"/>
        <w:rPr>
          <w:rFonts w:cs="仿宋_GB2312"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rPr>
        <w:t>：2016年1月-2016年12月</w:t>
      </w:r>
    </w:p>
    <w:p>
      <w:pPr>
        <w:widowControl/>
        <w:spacing w:line="560" w:lineRule="exact"/>
        <w:ind w:firstLine="562" w:firstLineChars="200"/>
        <w:jc w:val="left"/>
        <w:rPr>
          <w:rFonts w:asciiTheme="minorEastAsia" w:hAnsiTheme="minorEastAsia" w:eastAsiaTheme="minorEastAsia"/>
          <w:b/>
          <w:color w:val="222A35" w:themeColor="text2" w:themeShade="80"/>
          <w:sz w:val="28"/>
          <w:szCs w:val="28"/>
        </w:rPr>
      </w:pPr>
      <w:r>
        <w:rPr>
          <w:rFonts w:hint="eastAsia" w:asciiTheme="minorEastAsia" w:hAnsiTheme="minorEastAsia" w:eastAsiaTheme="minorEastAsia"/>
          <w:b/>
          <w:color w:val="222A35" w:themeColor="text2" w:themeShade="80"/>
          <w:sz w:val="28"/>
          <w:szCs w:val="28"/>
        </w:rPr>
        <w:t>情况二：（</w:t>
      </w:r>
      <w:r>
        <w:rPr>
          <w:rFonts w:asciiTheme="minorEastAsia" w:hAnsiTheme="minorEastAsia" w:eastAsiaTheme="minorEastAsia"/>
          <w:b/>
          <w:color w:val="222A35" w:themeColor="text2" w:themeShade="80"/>
          <w:sz w:val="28"/>
          <w:szCs w:val="28"/>
        </w:rPr>
        <w:t>属于</w:t>
      </w:r>
      <w:r>
        <w:rPr>
          <w:rFonts w:asciiTheme="minorEastAsia" w:hAnsiTheme="minorEastAsia" w:eastAsiaTheme="minorEastAsia"/>
          <w:b/>
          <w:color w:val="222A35" w:themeColor="text2" w:themeShade="80"/>
          <w:spacing w:val="-8"/>
          <w:sz w:val="28"/>
          <w:szCs w:val="28"/>
        </w:rPr>
        <w:t>对个人补贴的项目支出</w:t>
      </w:r>
      <w:r>
        <w:rPr>
          <w:rFonts w:hint="eastAsia" w:asciiTheme="minorEastAsia" w:hAnsiTheme="minorEastAsia" w:eastAsiaTheme="minorEastAsia"/>
          <w:b/>
          <w:color w:val="222A35" w:themeColor="text2" w:themeShade="80"/>
          <w:sz w:val="28"/>
          <w:szCs w:val="28"/>
        </w:rPr>
        <w:t>按下列内容说明）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asciiTheme="minorEastAsia" w:hAnsiTheme="minorEastAsia" w:eastAsiaTheme="minorEastAsia"/>
          <w:color w:val="222A35" w:themeColor="text2" w:themeShade="80"/>
          <w:sz w:val="28"/>
          <w:szCs w:val="28"/>
        </w:rPr>
        <w:t>项目</w:t>
      </w:r>
      <w:r>
        <w:rPr>
          <w:rFonts w:asciiTheme="minorEastAsia" w:hAnsiTheme="minorEastAsia" w:eastAsiaTheme="minorEastAsia"/>
          <w:color w:val="222A35" w:themeColor="text2" w:themeShade="80"/>
          <w:sz w:val="28"/>
          <w:szCs w:val="28"/>
        </w:rPr>
        <w:t>名称</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2016年临时聘用人员经费</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设立的政策依据</w:t>
      </w:r>
      <w:r>
        <w:rPr>
          <w:rFonts w:hint="eastAsia" w:asciiTheme="minorEastAsia" w:hAnsiTheme="minorEastAsia" w:eastAsiaTheme="minorEastAsia"/>
          <w:color w:val="222A35" w:themeColor="text2" w:themeShade="80"/>
          <w:sz w:val="28"/>
          <w:szCs w:val="28"/>
        </w:rPr>
        <w:t>：根据</w:t>
      </w:r>
      <w:r>
        <w:rPr>
          <w:rFonts w:hint="eastAsia" w:cs="仿宋_GB2312" w:asciiTheme="minorEastAsia" w:hAnsiTheme="minorEastAsia" w:eastAsiaTheme="minorEastAsia"/>
          <w:color w:val="222A35" w:themeColor="text2" w:themeShade="80"/>
          <w:kern w:val="0"/>
          <w:sz w:val="28"/>
          <w:szCs w:val="28"/>
        </w:rPr>
        <w:t>2016年临时聘用人员经费</w:t>
      </w:r>
      <w:r>
        <w:rPr>
          <w:rFonts w:hint="eastAsia" w:cs="仿宋_GB2312" w:asciiTheme="minorEastAsia" w:hAnsiTheme="minorEastAsia" w:eastAsiaTheme="minorEastAsia"/>
          <w:color w:val="222A35" w:themeColor="text2" w:themeShade="80"/>
          <w:sz w:val="28"/>
          <w:szCs w:val="28"/>
        </w:rPr>
        <w:t>设立依据</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预算安排规模</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36.6万元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项目承担单位</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乌鲁木齐市第六十四小学</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资金分配情况</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代课教师12人</w:t>
      </w:r>
      <w:r>
        <w:rPr>
          <w:rFonts w:cs="仿宋_GB2312" w:asciiTheme="minorEastAsia" w:hAnsiTheme="minorEastAsia" w:eastAsiaTheme="minorEastAsia"/>
          <w:color w:val="222A35" w:themeColor="text2" w:themeShade="80"/>
          <w:kern w:val="0"/>
          <w:sz w:val="28"/>
          <w:szCs w:val="28"/>
        </w:rPr>
        <w:t>，</w:t>
      </w:r>
      <w:r>
        <w:rPr>
          <w:rFonts w:hint="eastAsia" w:cs="仿宋_GB2312" w:asciiTheme="minorEastAsia" w:hAnsiTheme="minorEastAsia" w:eastAsiaTheme="minorEastAsia"/>
          <w:color w:val="222A35" w:themeColor="text2" w:themeShade="80"/>
          <w:kern w:val="0"/>
          <w:sz w:val="28"/>
          <w:szCs w:val="28"/>
        </w:rPr>
        <w:t>临时工3人</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rPr>
        <w:t>：2016年1月-2016年12月</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资金来源</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财政拨款</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补贴人数</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1</w:t>
      </w:r>
      <w:r>
        <w:rPr>
          <w:rFonts w:cs="宋体" w:asciiTheme="minorEastAsia" w:hAnsiTheme="minorEastAsia" w:eastAsiaTheme="minorEastAsia"/>
          <w:color w:val="222A35" w:themeColor="text2" w:themeShade="80"/>
          <w:kern w:val="0"/>
          <w:sz w:val="28"/>
          <w:szCs w:val="28"/>
        </w:rPr>
        <w:t>5</w:t>
      </w:r>
      <w:r>
        <w:rPr>
          <w:rFonts w:hint="eastAsia" w:cs="宋体" w:asciiTheme="minorEastAsia" w:hAnsiTheme="minorEastAsia" w:eastAsiaTheme="minorEastAsia"/>
          <w:color w:val="222A35" w:themeColor="text2" w:themeShade="80"/>
          <w:kern w:val="0"/>
          <w:sz w:val="28"/>
          <w:szCs w:val="28"/>
        </w:rPr>
        <w:t>人</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补贴标准</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代课教师</w:t>
      </w:r>
      <w:r>
        <w:rPr>
          <w:rFonts w:cs="宋体" w:asciiTheme="minorEastAsia" w:hAnsiTheme="minorEastAsia" w:eastAsiaTheme="minorEastAsia"/>
          <w:color w:val="222A35" w:themeColor="text2" w:themeShade="80"/>
          <w:kern w:val="0"/>
          <w:sz w:val="28"/>
          <w:szCs w:val="28"/>
        </w:rPr>
        <w:t>：</w:t>
      </w:r>
      <w:r>
        <w:rPr>
          <w:rFonts w:hint="eastAsia" w:cs="宋体" w:asciiTheme="minorEastAsia" w:hAnsiTheme="minorEastAsia" w:eastAsiaTheme="minorEastAsia"/>
          <w:color w:val="222A35" w:themeColor="text2" w:themeShade="80"/>
          <w:kern w:val="0"/>
          <w:sz w:val="28"/>
          <w:szCs w:val="28"/>
        </w:rPr>
        <w:t>2381元/月/人</w:t>
      </w:r>
      <w:r>
        <w:rPr>
          <w:rFonts w:cs="宋体" w:asciiTheme="minorEastAsia" w:hAnsiTheme="minorEastAsia" w:eastAsiaTheme="minorEastAsia"/>
          <w:color w:val="222A35" w:themeColor="text2" w:themeShade="80"/>
          <w:kern w:val="0"/>
          <w:sz w:val="28"/>
          <w:szCs w:val="28"/>
        </w:rPr>
        <w:t>；临时工：</w:t>
      </w:r>
      <w:r>
        <w:rPr>
          <w:rFonts w:hint="eastAsia" w:cs="宋体" w:asciiTheme="minorEastAsia" w:hAnsiTheme="minorEastAsia" w:eastAsiaTheme="minorEastAsia"/>
          <w:color w:val="222A35" w:themeColor="text2" w:themeShade="80"/>
          <w:kern w:val="0"/>
          <w:sz w:val="28"/>
          <w:szCs w:val="28"/>
        </w:rPr>
        <w:t>2231元/月/人</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补贴范围</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代课教师</w:t>
      </w:r>
      <w:r>
        <w:rPr>
          <w:rFonts w:cs="宋体" w:asciiTheme="minorEastAsia" w:hAnsiTheme="minorEastAsia" w:eastAsiaTheme="minorEastAsia"/>
          <w:color w:val="222A35" w:themeColor="text2" w:themeShade="80"/>
          <w:kern w:val="0"/>
          <w:sz w:val="28"/>
          <w:szCs w:val="28"/>
        </w:rPr>
        <w:t>及临</w:t>
      </w:r>
      <w:r>
        <w:rPr>
          <w:rFonts w:hint="eastAsia" w:cs="宋体" w:asciiTheme="minorEastAsia" w:hAnsiTheme="minorEastAsia" w:eastAsiaTheme="minorEastAsia"/>
          <w:color w:val="222A35" w:themeColor="text2" w:themeShade="80"/>
          <w:kern w:val="0"/>
          <w:sz w:val="28"/>
          <w:szCs w:val="28"/>
        </w:rPr>
        <w:t>聘</w:t>
      </w:r>
      <w:r>
        <w:rPr>
          <w:rFonts w:cs="宋体" w:asciiTheme="minorEastAsia" w:hAnsiTheme="minorEastAsia" w:eastAsiaTheme="minorEastAsia"/>
          <w:color w:val="222A35" w:themeColor="text2" w:themeShade="80"/>
          <w:kern w:val="0"/>
          <w:sz w:val="28"/>
          <w:szCs w:val="28"/>
        </w:rPr>
        <w:t>人员</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补贴方式</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打卡</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cs="宋体" w:asciiTheme="minorEastAsia" w:hAnsiTheme="minorEastAsia" w:eastAsiaTheme="minorEastAsia"/>
          <w:color w:val="222A35" w:themeColor="text2" w:themeShade="80"/>
          <w:kern w:val="0"/>
          <w:sz w:val="28"/>
          <w:szCs w:val="28"/>
        </w:rPr>
        <w:t>发放程序：按考勤</w:t>
      </w:r>
      <w:r>
        <w:rPr>
          <w:rFonts w:cs="宋体" w:asciiTheme="minorEastAsia" w:hAnsiTheme="minorEastAsia" w:eastAsiaTheme="minorEastAsia"/>
          <w:color w:val="222A35" w:themeColor="text2" w:themeShade="80"/>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受益人群和社会效益</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临时聘用人员</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asciiTheme="minorEastAsia" w:hAnsiTheme="minorEastAsia" w:eastAsiaTheme="minorEastAsia"/>
          <w:color w:val="222A35" w:themeColor="text2" w:themeShade="80"/>
          <w:sz w:val="28"/>
          <w:szCs w:val="28"/>
        </w:rPr>
        <w:t>项目</w:t>
      </w:r>
      <w:r>
        <w:rPr>
          <w:rFonts w:asciiTheme="minorEastAsia" w:hAnsiTheme="minorEastAsia" w:eastAsiaTheme="minorEastAsia"/>
          <w:color w:val="222A35" w:themeColor="text2" w:themeShade="80"/>
          <w:sz w:val="28"/>
          <w:szCs w:val="28"/>
        </w:rPr>
        <w:t>名称</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护校队、安保人员经费</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设立的政策依据</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sz w:val="28"/>
          <w:szCs w:val="28"/>
        </w:rPr>
        <w:t>根据</w:t>
      </w:r>
      <w:r>
        <w:rPr>
          <w:rFonts w:hint="eastAsia" w:cs="仿宋_GB2312" w:asciiTheme="minorEastAsia" w:hAnsiTheme="minorEastAsia" w:eastAsiaTheme="minorEastAsia"/>
          <w:color w:val="222A35" w:themeColor="text2" w:themeShade="80"/>
          <w:kern w:val="0"/>
          <w:sz w:val="28"/>
          <w:szCs w:val="28"/>
        </w:rPr>
        <w:t>护校队、安保人员经费设立依据</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预算安排规模</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55.20万元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项目承担单位</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乌鲁木齐市第六十四小学</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资金分配情况</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学校</w:t>
      </w:r>
      <w:r>
        <w:rPr>
          <w:rFonts w:cs="仿宋_GB2312" w:asciiTheme="minorEastAsia" w:hAnsiTheme="minorEastAsia" w:eastAsiaTheme="minorEastAsia"/>
          <w:color w:val="222A35" w:themeColor="text2" w:themeShade="80"/>
          <w:kern w:val="0"/>
          <w:sz w:val="28"/>
          <w:szCs w:val="28"/>
        </w:rPr>
        <w:t>护校队</w:t>
      </w:r>
      <w:r>
        <w:rPr>
          <w:rFonts w:hint="eastAsia" w:cs="仿宋_GB2312" w:asciiTheme="minorEastAsia" w:hAnsiTheme="minorEastAsia" w:eastAsiaTheme="minorEastAsia"/>
          <w:color w:val="222A35" w:themeColor="text2" w:themeShade="80"/>
          <w:kern w:val="0"/>
          <w:sz w:val="28"/>
          <w:szCs w:val="28"/>
        </w:rPr>
        <w:t>5人</w:t>
      </w:r>
      <w:r>
        <w:rPr>
          <w:rFonts w:cs="仿宋_GB2312" w:asciiTheme="minorEastAsia" w:hAnsiTheme="minorEastAsia" w:eastAsiaTheme="minorEastAsia"/>
          <w:color w:val="222A35" w:themeColor="text2" w:themeShade="80"/>
          <w:kern w:val="0"/>
          <w:sz w:val="28"/>
          <w:szCs w:val="28"/>
        </w:rPr>
        <w:t>，外聘护校队</w:t>
      </w:r>
      <w:r>
        <w:rPr>
          <w:rFonts w:hint="eastAsia" w:cs="仿宋_GB2312" w:asciiTheme="minorEastAsia" w:hAnsiTheme="minorEastAsia" w:eastAsiaTheme="minorEastAsia"/>
          <w:color w:val="222A35" w:themeColor="text2" w:themeShade="80"/>
          <w:kern w:val="0"/>
          <w:sz w:val="28"/>
          <w:szCs w:val="28"/>
        </w:rPr>
        <w:t>5人</w:t>
      </w:r>
      <w:r>
        <w:rPr>
          <w:rFonts w:cs="仿宋_GB2312" w:asciiTheme="minorEastAsia" w:hAnsiTheme="minorEastAsia" w:eastAsiaTheme="minorEastAsia"/>
          <w:color w:val="222A35" w:themeColor="text2" w:themeShade="80"/>
          <w:kern w:val="0"/>
          <w:sz w:val="28"/>
          <w:szCs w:val="28"/>
        </w:rPr>
        <w:t>，保安公司</w:t>
      </w:r>
      <w:r>
        <w:rPr>
          <w:rFonts w:hint="eastAsia" w:cs="仿宋_GB2312" w:asciiTheme="minorEastAsia" w:hAnsiTheme="minorEastAsia" w:eastAsiaTheme="minorEastAsia"/>
          <w:color w:val="222A35" w:themeColor="text2" w:themeShade="80"/>
          <w:kern w:val="0"/>
          <w:sz w:val="28"/>
          <w:szCs w:val="28"/>
        </w:rPr>
        <w:t>10人</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资金执行时间</w:t>
      </w:r>
      <w:r>
        <w:rPr>
          <w:rFonts w:hint="eastAsia" w:asciiTheme="minorEastAsia" w:hAnsiTheme="minorEastAsia" w:eastAsiaTheme="minorEastAsia"/>
          <w:color w:val="222A35" w:themeColor="text2" w:themeShade="80"/>
          <w:sz w:val="28"/>
          <w:szCs w:val="28"/>
        </w:rPr>
        <w:t>：2016年1月-2016年12月</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资金来源</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财政拨款</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补贴人数</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2</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人</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补贴标准</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本校护校</w:t>
      </w:r>
      <w:r>
        <w:rPr>
          <w:rFonts w:cs="宋体" w:asciiTheme="minorEastAsia" w:hAnsiTheme="minorEastAsia" w:eastAsiaTheme="minorEastAsia"/>
          <w:color w:val="222A35" w:themeColor="text2" w:themeShade="80"/>
          <w:kern w:val="0"/>
          <w:sz w:val="28"/>
          <w:szCs w:val="28"/>
        </w:rPr>
        <w:t>队：</w:t>
      </w:r>
      <w:r>
        <w:rPr>
          <w:rFonts w:hint="eastAsia" w:cs="宋体" w:asciiTheme="minorEastAsia" w:hAnsiTheme="minorEastAsia" w:eastAsiaTheme="minorEastAsia"/>
          <w:color w:val="222A35" w:themeColor="text2" w:themeShade="80"/>
          <w:kern w:val="0"/>
          <w:sz w:val="28"/>
          <w:szCs w:val="28"/>
        </w:rPr>
        <w:t>1500元/月/人；</w:t>
      </w:r>
      <w:r>
        <w:rPr>
          <w:rFonts w:cs="宋体" w:asciiTheme="minorEastAsia" w:hAnsiTheme="minorEastAsia" w:eastAsiaTheme="minorEastAsia"/>
          <w:color w:val="222A35" w:themeColor="text2" w:themeShade="80"/>
          <w:kern w:val="0"/>
          <w:sz w:val="28"/>
          <w:szCs w:val="28"/>
        </w:rPr>
        <w:t>外聘护校队</w:t>
      </w:r>
      <w:r>
        <w:rPr>
          <w:rFonts w:hint="eastAsia" w:cs="宋体" w:asciiTheme="minorEastAsia" w:hAnsiTheme="minorEastAsia" w:eastAsiaTheme="minorEastAsia"/>
          <w:color w:val="222A35" w:themeColor="text2" w:themeShade="80"/>
          <w:kern w:val="0"/>
          <w:sz w:val="28"/>
          <w:szCs w:val="28"/>
        </w:rPr>
        <w:t>25</w:t>
      </w:r>
      <w:r>
        <w:rPr>
          <w:rFonts w:cs="宋体" w:asciiTheme="minorEastAsia" w:hAnsiTheme="minorEastAsia" w:eastAsiaTheme="minorEastAsia"/>
          <w:color w:val="222A35" w:themeColor="text2" w:themeShade="80"/>
          <w:kern w:val="0"/>
          <w:sz w:val="28"/>
          <w:szCs w:val="28"/>
        </w:rPr>
        <w:t>00</w:t>
      </w:r>
      <w:r>
        <w:rPr>
          <w:rFonts w:hint="eastAsia" w:cs="宋体" w:asciiTheme="minorEastAsia" w:hAnsiTheme="minorEastAsia" w:eastAsiaTheme="minorEastAsia"/>
          <w:color w:val="222A35" w:themeColor="text2" w:themeShade="80"/>
          <w:kern w:val="0"/>
          <w:sz w:val="28"/>
          <w:szCs w:val="28"/>
        </w:rPr>
        <w:t>元/月/人；保安</w:t>
      </w:r>
      <w:r>
        <w:rPr>
          <w:rFonts w:cs="宋体" w:asciiTheme="minorEastAsia" w:hAnsiTheme="minorEastAsia" w:eastAsiaTheme="minorEastAsia"/>
          <w:color w:val="222A35" w:themeColor="text2" w:themeShade="80"/>
          <w:kern w:val="0"/>
          <w:sz w:val="28"/>
          <w:szCs w:val="28"/>
        </w:rPr>
        <w:t>公司：</w:t>
      </w:r>
      <w:r>
        <w:rPr>
          <w:rFonts w:hint="eastAsia" w:cs="宋体" w:asciiTheme="minorEastAsia" w:hAnsiTheme="minorEastAsia" w:eastAsiaTheme="minorEastAsia"/>
          <w:color w:val="222A35" w:themeColor="text2" w:themeShade="80"/>
          <w:kern w:val="0"/>
          <w:sz w:val="28"/>
          <w:szCs w:val="28"/>
        </w:rPr>
        <w:t>2500元/月/人</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asciiTheme="minorEastAsia" w:hAnsiTheme="minorEastAsia" w:eastAsiaTheme="minorEastAsia"/>
          <w:color w:val="222A35" w:themeColor="text2" w:themeShade="80"/>
          <w:sz w:val="28"/>
          <w:szCs w:val="28"/>
        </w:rPr>
        <w:t>补贴范围</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补贴方式</w:t>
      </w:r>
      <w:r>
        <w:rPr>
          <w:rFonts w:hint="eastAsia" w:asciiTheme="minorEastAsia" w:hAnsiTheme="minorEastAsia" w:eastAsiaTheme="minorEastAsia"/>
          <w:color w:val="222A35" w:themeColor="text2" w:themeShade="80"/>
          <w:sz w:val="28"/>
          <w:szCs w:val="28"/>
        </w:rPr>
        <w:t>：</w:t>
      </w:r>
      <w:r>
        <w:rPr>
          <w:rFonts w:hint="eastAsia" w:cs="宋体" w:asciiTheme="minorEastAsia" w:hAnsiTheme="minorEastAsia" w:eastAsiaTheme="minorEastAsia"/>
          <w:color w:val="222A35" w:themeColor="text2" w:themeShade="80"/>
          <w:kern w:val="0"/>
          <w:sz w:val="28"/>
          <w:szCs w:val="28"/>
        </w:rPr>
        <w:t>打卡</w:t>
      </w:r>
    </w:p>
    <w:p>
      <w:pPr>
        <w:widowControl/>
        <w:spacing w:line="560" w:lineRule="exact"/>
        <w:ind w:firstLine="560" w:firstLineChars="200"/>
        <w:jc w:val="left"/>
        <w:rPr>
          <w:rFonts w:asciiTheme="minorEastAsia" w:hAnsiTheme="minorEastAsia" w:eastAsiaTheme="minorEastAsia"/>
          <w:color w:val="222A35" w:themeColor="text2" w:themeShade="80"/>
          <w:sz w:val="28"/>
          <w:szCs w:val="28"/>
        </w:rPr>
      </w:pPr>
      <w:r>
        <w:rPr>
          <w:rFonts w:hint="eastAsia" w:cs="宋体" w:asciiTheme="minorEastAsia" w:hAnsiTheme="minorEastAsia" w:eastAsiaTheme="minorEastAsia"/>
          <w:color w:val="222A35" w:themeColor="text2" w:themeShade="80"/>
          <w:kern w:val="0"/>
          <w:sz w:val="28"/>
          <w:szCs w:val="28"/>
        </w:rPr>
        <w:t>发放程序：按考勤</w:t>
      </w:r>
      <w:r>
        <w:rPr>
          <w:rFonts w:cs="宋体" w:asciiTheme="minorEastAsia" w:hAnsiTheme="minorEastAsia" w:eastAsiaTheme="minorEastAsia"/>
          <w:color w:val="222A35" w:themeColor="text2" w:themeShade="80"/>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asciiTheme="minorEastAsia" w:hAnsiTheme="minorEastAsia" w:eastAsiaTheme="minorEastAsia"/>
          <w:color w:val="222A35" w:themeColor="text2" w:themeShade="80"/>
          <w:sz w:val="28"/>
          <w:szCs w:val="28"/>
        </w:rPr>
        <w:t>受益人群和社会效益</w:t>
      </w:r>
      <w:r>
        <w:rPr>
          <w:rFonts w:hint="eastAsia" w:asciiTheme="minorEastAsia" w:hAnsiTheme="minorEastAsia" w:eastAsiaTheme="minorEastAsia"/>
          <w:color w:val="222A35" w:themeColor="text2" w:themeShade="80"/>
          <w:sz w:val="28"/>
          <w:szCs w:val="28"/>
        </w:rPr>
        <w:t>：</w:t>
      </w:r>
      <w:r>
        <w:rPr>
          <w:rFonts w:hint="eastAsia" w:cs="仿宋_GB2312" w:asciiTheme="minorEastAsia" w:hAnsiTheme="minorEastAsia" w:eastAsiaTheme="minorEastAsia"/>
          <w:color w:val="222A35" w:themeColor="text2" w:themeShade="80"/>
          <w:kern w:val="0"/>
          <w:sz w:val="28"/>
          <w:szCs w:val="28"/>
        </w:rPr>
        <w:t>护校队、安保人员</w:t>
      </w:r>
    </w:p>
    <w:p>
      <w:pPr>
        <w:widowControl/>
        <w:spacing w:line="580" w:lineRule="exact"/>
        <w:ind w:firstLine="642"/>
        <w:jc w:val="left"/>
        <w:rPr>
          <w:rFonts w:ascii="黑体" w:hAnsi="宋体" w:eastAsia="黑体" w:cs="宋体"/>
          <w:color w:val="222A35" w:themeColor="text2" w:themeShade="80"/>
          <w:kern w:val="0"/>
          <w:sz w:val="32"/>
          <w:szCs w:val="32"/>
        </w:rPr>
      </w:pPr>
      <w:r>
        <w:rPr>
          <w:rFonts w:hint="eastAsia" w:ascii="黑体" w:hAnsi="宋体" w:eastAsia="黑体" w:cs="宋体"/>
          <w:color w:val="222A35" w:themeColor="text2" w:themeShade="80"/>
          <w:kern w:val="0"/>
          <w:sz w:val="32"/>
          <w:szCs w:val="32"/>
        </w:rPr>
        <w:t>七、关于乌鲁木齐市第六十四小学2016年一般公共预算“三公”经费预算情况说明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乌鲁木齐市第六十四小学2016年“三公”经费财政拨款预算数为</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39万元，其中：因公出国（境）费</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万元，公务用车购置</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万元，公务用车运行费</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万元，公务接待费</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39万元。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2016年“三公”经费财政拨款预算与上年持平，其中：因公出国（境）费、公务用车购置费、公务用车运行费未安排预算。公务接待费与上年</w:t>
      </w:r>
      <w:r>
        <w:rPr>
          <w:rFonts w:cs="宋体" w:asciiTheme="minorEastAsia" w:hAnsiTheme="minorEastAsia" w:eastAsiaTheme="minorEastAsia"/>
          <w:color w:val="222A35" w:themeColor="text2" w:themeShade="80"/>
          <w:kern w:val="0"/>
          <w:sz w:val="28"/>
          <w:szCs w:val="28"/>
        </w:rPr>
        <w:t>持平</w:t>
      </w:r>
      <w:r>
        <w:rPr>
          <w:rFonts w:hint="eastAsia" w:cs="宋体" w:asciiTheme="minorEastAsia" w:hAnsiTheme="minorEastAsia" w:eastAsiaTheme="minorEastAsia"/>
          <w:color w:val="222A35" w:themeColor="text2" w:themeShade="80"/>
          <w:kern w:val="0"/>
          <w:sz w:val="28"/>
          <w:szCs w:val="28"/>
        </w:rPr>
        <w:t>。</w:t>
      </w:r>
    </w:p>
    <w:p>
      <w:pPr>
        <w:widowControl/>
        <w:spacing w:line="580" w:lineRule="exact"/>
        <w:ind w:firstLine="640"/>
        <w:jc w:val="left"/>
        <w:rPr>
          <w:rFonts w:ascii="黑体" w:hAnsi="宋体" w:eastAsia="黑体" w:cs="宋体"/>
          <w:color w:val="222A35" w:themeColor="text2" w:themeShade="80"/>
          <w:kern w:val="0"/>
          <w:sz w:val="32"/>
          <w:szCs w:val="32"/>
        </w:rPr>
      </w:pPr>
      <w:r>
        <w:rPr>
          <w:rFonts w:hint="eastAsia" w:ascii="黑体" w:hAnsi="宋体" w:eastAsia="黑体" w:cs="宋体"/>
          <w:color w:val="222A35" w:themeColor="text2" w:themeShade="80"/>
          <w:kern w:val="0"/>
          <w:sz w:val="32"/>
          <w:szCs w:val="32"/>
        </w:rPr>
        <w:t>八、关于乌鲁木齐市第六十四小学2016年政府性基金预算拨款情况说明</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乌鲁木齐市第六十四小学2016年没有使用政府性基金预算拨款安排的支出，政府性基金预算支出情况表为空表。</w:t>
      </w:r>
    </w:p>
    <w:p>
      <w:pPr>
        <w:widowControl/>
        <w:spacing w:line="580" w:lineRule="exact"/>
        <w:ind w:firstLine="640"/>
        <w:jc w:val="left"/>
        <w:rPr>
          <w:rFonts w:ascii="黑体" w:hAnsi="宋体" w:eastAsia="黑体" w:cs="宋体"/>
          <w:color w:val="222A35" w:themeColor="text2" w:themeShade="80"/>
          <w:kern w:val="0"/>
          <w:sz w:val="32"/>
          <w:szCs w:val="32"/>
        </w:rPr>
      </w:pPr>
      <w:r>
        <w:rPr>
          <w:rFonts w:hint="eastAsia" w:ascii="黑体" w:hAnsi="宋体" w:eastAsia="黑体" w:cs="宋体"/>
          <w:color w:val="222A35" w:themeColor="text2" w:themeShade="80"/>
          <w:kern w:val="0"/>
          <w:sz w:val="32"/>
          <w:szCs w:val="32"/>
        </w:rPr>
        <w:t>九、其他重要事项的情况说明</w:t>
      </w:r>
    </w:p>
    <w:p>
      <w:pPr>
        <w:widowControl/>
        <w:spacing w:line="580" w:lineRule="exact"/>
        <w:ind w:firstLine="642"/>
        <w:jc w:val="left"/>
        <w:rPr>
          <w:rFonts w:ascii="楷体" w:hAnsi="楷体" w:eastAsia="楷体" w:cs="宋体"/>
          <w:b/>
          <w:color w:val="222A35" w:themeColor="text2" w:themeShade="80"/>
          <w:kern w:val="0"/>
          <w:sz w:val="32"/>
          <w:szCs w:val="32"/>
        </w:rPr>
      </w:pPr>
      <w:r>
        <w:rPr>
          <w:rFonts w:hint="eastAsia" w:ascii="楷体" w:hAnsi="楷体" w:eastAsia="楷体" w:cs="宋体"/>
          <w:b/>
          <w:color w:val="222A35" w:themeColor="text2" w:themeShade="80"/>
          <w:kern w:val="0"/>
          <w:sz w:val="32"/>
          <w:szCs w:val="32"/>
        </w:rPr>
        <w:t>（一）政府采购情况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2016年，乌鲁木齐市第六十四小学及下属单位政府采购预算</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万元，其中：政府采购货物预算</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万元，政府采购工程预算</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万元，政府采购服务预算</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asciiTheme="minorEastAsia" w:hAnsiTheme="minorEastAsia" w:eastAsiaTheme="minorEastAsia"/>
          <w:color w:val="222A35" w:themeColor="text2" w:themeShade="80"/>
          <w:sz w:val="28"/>
          <w:szCs w:val="28"/>
        </w:rPr>
        <w:t>2016年度本乌鲁木齐市第六十四小学面向中小企业预留政府采购项目预算金额</w:t>
      </w:r>
      <w:r>
        <w:rPr>
          <w:rFonts w:asciiTheme="minorEastAsia" w:hAnsiTheme="minorEastAsia" w:eastAsiaTheme="minorEastAsia"/>
          <w:color w:val="222A35" w:themeColor="text2" w:themeShade="80"/>
          <w:sz w:val="28"/>
          <w:szCs w:val="28"/>
        </w:rPr>
        <w:t>0</w:t>
      </w:r>
      <w:r>
        <w:rPr>
          <w:rFonts w:hint="eastAsia" w:asciiTheme="minorEastAsia" w:hAnsiTheme="minorEastAsia" w:eastAsiaTheme="minorEastAsia"/>
          <w:color w:val="222A35" w:themeColor="text2" w:themeShade="80"/>
          <w:sz w:val="28"/>
          <w:szCs w:val="28"/>
        </w:rPr>
        <w:t>万元，其中：面向小微企业预留政府采购项目预算金额</w:t>
      </w:r>
      <w:r>
        <w:rPr>
          <w:rFonts w:asciiTheme="minorEastAsia" w:hAnsiTheme="minorEastAsia" w:eastAsiaTheme="minorEastAsia"/>
          <w:color w:val="222A35" w:themeColor="text2" w:themeShade="80"/>
          <w:sz w:val="28"/>
          <w:szCs w:val="28"/>
        </w:rPr>
        <w:t>0</w:t>
      </w:r>
      <w:r>
        <w:rPr>
          <w:rFonts w:hint="eastAsia" w:asciiTheme="minorEastAsia" w:hAnsiTheme="minorEastAsia" w:eastAsiaTheme="minorEastAsia"/>
          <w:color w:val="222A35" w:themeColor="text2" w:themeShade="80"/>
          <w:sz w:val="28"/>
          <w:szCs w:val="28"/>
        </w:rPr>
        <w:t>万元。</w:t>
      </w:r>
    </w:p>
    <w:p>
      <w:pPr>
        <w:widowControl/>
        <w:spacing w:line="580" w:lineRule="exact"/>
        <w:ind w:firstLine="642"/>
        <w:jc w:val="left"/>
        <w:rPr>
          <w:rFonts w:ascii="楷体" w:hAnsi="楷体" w:eastAsia="楷体" w:cs="宋体"/>
          <w:b/>
          <w:color w:val="222A35" w:themeColor="text2" w:themeShade="80"/>
          <w:kern w:val="0"/>
          <w:sz w:val="32"/>
          <w:szCs w:val="32"/>
        </w:rPr>
      </w:pPr>
      <w:r>
        <w:rPr>
          <w:rFonts w:hint="eastAsia" w:ascii="楷体" w:hAnsi="楷体" w:eastAsia="楷体" w:cs="宋体"/>
          <w:b/>
          <w:color w:val="222A35" w:themeColor="text2" w:themeShade="80"/>
          <w:kern w:val="0"/>
          <w:sz w:val="32"/>
          <w:szCs w:val="32"/>
        </w:rPr>
        <w:t>（二）国有资产占用使用情况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截至2015年底，乌鲁木齐市第六十四小学及下属各预算单位占用使用国有资产总体情况为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1.房屋</w:t>
      </w:r>
      <w:r>
        <w:rPr>
          <w:rFonts w:cs="宋体" w:asciiTheme="minorEastAsia" w:hAnsiTheme="minorEastAsia" w:eastAsiaTheme="minorEastAsia"/>
          <w:color w:val="222A35" w:themeColor="text2" w:themeShade="80"/>
          <w:kern w:val="0"/>
          <w:sz w:val="28"/>
          <w:szCs w:val="28"/>
        </w:rPr>
        <w:t>4,80</w:t>
      </w:r>
      <w:r>
        <w:rPr>
          <w:rFonts w:hint="eastAsia" w:cs="宋体" w:asciiTheme="minorEastAsia" w:hAnsiTheme="minorEastAsia" w:eastAsiaTheme="minorEastAsia"/>
          <w:color w:val="222A35" w:themeColor="text2" w:themeShade="80"/>
          <w:kern w:val="0"/>
          <w:sz w:val="28"/>
          <w:szCs w:val="28"/>
        </w:rPr>
        <w:t>6</w:t>
      </w:r>
      <w:r>
        <w:rPr>
          <w:rFonts w:cs="宋体" w:asciiTheme="minorEastAsia" w:hAnsiTheme="minorEastAsia" w:eastAsiaTheme="minorEastAsia"/>
          <w:color w:val="222A35" w:themeColor="text2" w:themeShade="80"/>
          <w:kern w:val="0"/>
          <w:sz w:val="28"/>
          <w:szCs w:val="28"/>
        </w:rPr>
        <w:t>.00</w:t>
      </w:r>
      <w:r>
        <w:rPr>
          <w:rFonts w:hint="eastAsia" w:cs="宋体" w:asciiTheme="minorEastAsia" w:hAnsiTheme="minorEastAsia" w:eastAsiaTheme="minorEastAsia"/>
          <w:color w:val="222A35" w:themeColor="text2" w:themeShade="80"/>
          <w:kern w:val="0"/>
          <w:sz w:val="28"/>
          <w:szCs w:val="28"/>
        </w:rPr>
        <w:t>平方米，价值</w:t>
      </w:r>
      <w:r>
        <w:rPr>
          <w:rFonts w:cs="宋体" w:asciiTheme="minorEastAsia" w:hAnsiTheme="minorEastAsia" w:eastAsiaTheme="minorEastAsia"/>
          <w:color w:val="222A35" w:themeColor="text2" w:themeShade="80"/>
          <w:kern w:val="0"/>
          <w:sz w:val="28"/>
          <w:szCs w:val="28"/>
        </w:rPr>
        <w:t>9</w:t>
      </w:r>
      <w:r>
        <w:rPr>
          <w:rFonts w:hint="eastAsia" w:cs="宋体" w:asciiTheme="minorEastAsia" w:hAnsiTheme="minorEastAsia" w:eastAsiaTheme="minorEastAsia"/>
          <w:color w:val="222A35" w:themeColor="text2" w:themeShade="80"/>
          <w:kern w:val="0"/>
          <w:sz w:val="28"/>
          <w:szCs w:val="28"/>
        </w:rPr>
        <w:t>45.82万元。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2.车辆1辆，价值</w:t>
      </w:r>
      <w:r>
        <w:rPr>
          <w:rFonts w:cs="宋体" w:asciiTheme="minorEastAsia" w:hAnsiTheme="minorEastAsia" w:eastAsiaTheme="minorEastAsia"/>
          <w:color w:val="222A35" w:themeColor="text2" w:themeShade="80"/>
          <w:kern w:val="0"/>
          <w:sz w:val="28"/>
          <w:szCs w:val="28"/>
        </w:rPr>
        <w:t>15.71</w:t>
      </w:r>
      <w:r>
        <w:rPr>
          <w:rFonts w:hint="eastAsia" w:cs="宋体" w:asciiTheme="minorEastAsia" w:hAnsiTheme="minorEastAsia" w:eastAsiaTheme="minorEastAsia"/>
          <w:color w:val="222A35" w:themeColor="text2" w:themeShade="80"/>
          <w:kern w:val="0"/>
          <w:sz w:val="28"/>
          <w:szCs w:val="28"/>
        </w:rPr>
        <w:t>万元；其中：一般公务用车0辆，价值0万元；执法执勤用车0辆，价值0万元；其他车辆1辆，价值</w:t>
      </w:r>
      <w:r>
        <w:rPr>
          <w:rFonts w:cs="宋体" w:asciiTheme="minorEastAsia" w:hAnsiTheme="minorEastAsia" w:eastAsiaTheme="minorEastAsia"/>
          <w:color w:val="222A35" w:themeColor="text2" w:themeShade="80"/>
          <w:kern w:val="0"/>
          <w:sz w:val="28"/>
          <w:szCs w:val="28"/>
        </w:rPr>
        <w:t>15.71</w:t>
      </w:r>
      <w:r>
        <w:rPr>
          <w:rFonts w:hint="eastAsia" w:cs="宋体" w:asciiTheme="minorEastAsia" w:hAnsiTheme="minorEastAsia" w:eastAsiaTheme="minorEastAsia"/>
          <w:color w:val="222A35" w:themeColor="text2" w:themeShade="80"/>
          <w:kern w:val="0"/>
          <w:sz w:val="28"/>
          <w:szCs w:val="28"/>
        </w:rPr>
        <w:t>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3.其他资产（含</w:t>
      </w:r>
      <w:r>
        <w:rPr>
          <w:rFonts w:cs="宋体" w:asciiTheme="minorEastAsia" w:hAnsiTheme="minorEastAsia" w:eastAsiaTheme="minorEastAsia"/>
          <w:color w:val="222A35" w:themeColor="text2" w:themeShade="80"/>
          <w:kern w:val="0"/>
          <w:sz w:val="28"/>
          <w:szCs w:val="28"/>
        </w:rPr>
        <w:t>办公家具</w:t>
      </w:r>
      <w:r>
        <w:rPr>
          <w:rFonts w:hint="eastAsia" w:cs="宋体" w:asciiTheme="minorEastAsia" w:hAnsiTheme="minorEastAsia" w:eastAsiaTheme="minorEastAsia"/>
          <w:color w:val="222A35" w:themeColor="text2" w:themeShade="80"/>
          <w:kern w:val="0"/>
          <w:sz w:val="28"/>
          <w:szCs w:val="28"/>
        </w:rPr>
        <w:t>）价值293.80万元。</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单位价值50万元以上大型设备</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台（套），单位价值100万元以上大型设备</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台（套）。</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2016年乌鲁木齐市第六十四小学预算未安排购置车辆经费，安排购置50万元以上大型设备</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台（套），单位价值100万元以上大型设备</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台（套）。</w:t>
      </w:r>
    </w:p>
    <w:p>
      <w:pPr>
        <w:widowControl/>
        <w:spacing w:line="580" w:lineRule="exact"/>
        <w:ind w:firstLine="642"/>
        <w:jc w:val="left"/>
        <w:rPr>
          <w:rFonts w:ascii="楷体" w:hAnsi="楷体" w:eastAsia="楷体" w:cs="宋体"/>
          <w:b/>
          <w:color w:val="222A35" w:themeColor="text2" w:themeShade="80"/>
          <w:kern w:val="0"/>
          <w:sz w:val="32"/>
          <w:szCs w:val="32"/>
        </w:rPr>
      </w:pPr>
      <w:r>
        <w:rPr>
          <w:rFonts w:hint="eastAsia" w:ascii="楷体" w:hAnsi="楷体" w:eastAsia="楷体" w:cs="宋体"/>
          <w:b/>
          <w:color w:val="222A35" w:themeColor="text2" w:themeShade="80"/>
          <w:kern w:val="0"/>
          <w:sz w:val="32"/>
          <w:szCs w:val="32"/>
        </w:rPr>
        <w:t>（三）预算绩效情况</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2016年度，本年度实行绩效管理的项目</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个，涉及预算金额</w:t>
      </w:r>
      <w:r>
        <w:rPr>
          <w:rFonts w:cs="宋体" w:asciiTheme="minorEastAsia" w:hAnsiTheme="minorEastAsia" w:eastAsiaTheme="minorEastAsia"/>
          <w:color w:val="222A35" w:themeColor="text2" w:themeShade="80"/>
          <w:kern w:val="0"/>
          <w:sz w:val="28"/>
          <w:szCs w:val="28"/>
        </w:rPr>
        <w:t>0</w:t>
      </w:r>
      <w:r>
        <w:rPr>
          <w:rFonts w:hint="eastAsia" w:cs="宋体" w:asciiTheme="minorEastAsia" w:hAnsiTheme="minorEastAsia" w:eastAsiaTheme="minorEastAsia"/>
          <w:color w:val="222A35" w:themeColor="text2" w:themeShade="80"/>
          <w:kern w:val="0"/>
          <w:sz w:val="28"/>
          <w:szCs w:val="28"/>
        </w:rPr>
        <w:t>万元。具体情况见下表（按项目分别填报）：</w:t>
      </w:r>
    </w:p>
    <w:p>
      <w:pPr>
        <w:widowControl/>
        <w:jc w:val="left"/>
        <w:rPr>
          <w:rFonts w:cs="宋体" w:asciiTheme="minorEastAsia" w:hAnsiTheme="minorEastAsia" w:eastAsiaTheme="minorEastAsia"/>
          <w:color w:val="222A35" w:themeColor="text2" w:themeShade="80"/>
          <w:kern w:val="0"/>
          <w:sz w:val="28"/>
          <w:szCs w:val="28"/>
        </w:rPr>
      </w:pPr>
      <w:r>
        <w:rPr>
          <w:rFonts w:cs="宋体" w:asciiTheme="minorEastAsia" w:hAnsiTheme="minorEastAsia" w:eastAsiaTheme="minorEastAsia"/>
          <w:color w:val="222A35" w:themeColor="text2" w:themeShade="80"/>
          <w:kern w:val="0"/>
          <w:sz w:val="28"/>
          <w:szCs w:val="28"/>
        </w:rPr>
        <w:br w:type="page"/>
      </w:r>
    </w:p>
    <w:p>
      <w:pPr>
        <w:spacing w:line="500" w:lineRule="exact"/>
        <w:jc w:val="center"/>
        <w:rPr>
          <w:rFonts w:ascii="宋体" w:hAnsi="宋体" w:cs="宋体"/>
          <w:b/>
          <w:color w:val="222A35" w:themeColor="text2" w:themeShade="80"/>
          <w:kern w:val="0"/>
          <w:sz w:val="36"/>
          <w:szCs w:val="36"/>
        </w:rPr>
      </w:pPr>
      <w:r>
        <w:rPr>
          <w:rFonts w:hint="eastAsia" w:ascii="宋体" w:hAnsi="宋体" w:cs="宋体"/>
          <w:b/>
          <w:color w:val="222A35" w:themeColor="text2" w:themeShade="80"/>
          <w:kern w:val="0"/>
          <w:sz w:val="36"/>
          <w:szCs w:val="36"/>
        </w:rPr>
        <w:t>财政支出绩效目标申报表</w:t>
      </w:r>
    </w:p>
    <w:p>
      <w:pPr>
        <w:spacing w:line="500" w:lineRule="exact"/>
        <w:jc w:val="center"/>
        <w:rPr>
          <w:rFonts w:ascii="仿宋_GB2312" w:hAnsi="宋体" w:eastAsia="仿宋_GB2312" w:cs="宋体"/>
          <w:color w:val="222A35" w:themeColor="text2" w:themeShade="80"/>
          <w:kern w:val="0"/>
          <w:sz w:val="36"/>
          <w:szCs w:val="36"/>
        </w:rPr>
      </w:pPr>
      <w:r>
        <w:rPr>
          <w:rFonts w:hint="eastAsia" w:ascii="仿宋_GB2312" w:hAnsi="宋体" w:eastAsia="仿宋_GB2312" w:cs="宋体"/>
          <w:color w:val="222A35" w:themeColor="text2" w:themeShade="80"/>
          <w:kern w:val="0"/>
          <w:sz w:val="36"/>
          <w:szCs w:val="36"/>
        </w:rPr>
        <w:t>（   年度）</w:t>
      </w:r>
    </w:p>
    <w:p>
      <w:pPr>
        <w:rPr>
          <w:rFonts w:ascii="仿宋_GB2312" w:hAnsi="宋体" w:eastAsia="仿宋_GB2312" w:cs="宋体"/>
          <w:color w:val="222A35" w:themeColor="text2" w:themeShade="80"/>
          <w:kern w:val="0"/>
          <w:sz w:val="32"/>
          <w:szCs w:val="32"/>
        </w:rPr>
      </w:pPr>
      <w:r>
        <w:rPr>
          <w:rFonts w:hint="eastAsia" w:ascii="仿宋_GB2312" w:hAnsi="宋体" w:eastAsia="仿宋_GB2312" w:cs="宋体"/>
          <w:color w:val="222A35" w:themeColor="text2" w:themeShade="80"/>
          <w:kern w:val="0"/>
          <w:sz w:val="32"/>
          <w:szCs w:val="32"/>
        </w:rPr>
        <w:t>填报单位：</w:t>
      </w:r>
    </w:p>
    <w:tbl>
      <w:tblPr>
        <w:tblStyle w:val="10"/>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乌鲁木齐市第六十四小学</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其他</w:t>
            </w:r>
          </w:p>
        </w:tc>
      </w:tr>
      <w:tr>
        <w:tblPrEx>
          <w:tblLayout w:type="fixed"/>
          <w:tblCellMar>
            <w:top w:w="0" w:type="dxa"/>
            <w:left w:w="108" w:type="dxa"/>
            <w:bottom w:w="0" w:type="dxa"/>
            <w:right w:w="108" w:type="dxa"/>
          </w:tblCellMar>
        </w:tblPrEx>
        <w:trPr>
          <w:trHeight w:val="783"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rPr>
                <w:rFonts w:ascii="仿宋_GB2312" w:hAnsi="宋体" w:eastAsia="仿宋_GB2312" w:cs="宋体"/>
                <w:color w:val="222A35" w:themeColor="text2" w:themeShade="80"/>
                <w:sz w:val="24"/>
              </w:rPr>
            </w:pPr>
          </w:p>
        </w:tc>
      </w:tr>
      <w:tr>
        <w:tblPrEx>
          <w:tblLayout w:type="fixed"/>
          <w:tblCellMar>
            <w:top w:w="0" w:type="dxa"/>
            <w:left w:w="108" w:type="dxa"/>
            <w:bottom w:w="0" w:type="dxa"/>
            <w:right w:w="108" w:type="dxa"/>
          </w:tblCellMar>
        </w:tblPrEx>
        <w:trPr>
          <w:trHeight w:val="865"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222A35" w:themeColor="text2" w:themeShade="80"/>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222A35" w:themeColor="text2" w:themeShade="80"/>
                <w:kern w:val="0"/>
                <w:sz w:val="24"/>
              </w:rPr>
            </w:pPr>
            <w:r>
              <w:rPr>
                <w:rFonts w:hint="eastAsia" w:ascii="仿宋_GB2312" w:hAnsi="宋体" w:eastAsia="仿宋_GB2312" w:cs="宋体"/>
                <w:color w:val="222A35" w:themeColor="text2" w:themeShade="80"/>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222A35" w:themeColor="text2" w:themeShade="80"/>
                <w:kern w:val="0"/>
                <w:sz w:val="24"/>
              </w:rPr>
            </w:pPr>
          </w:p>
        </w:tc>
      </w:tr>
    </w:tbl>
    <w:p>
      <w:pPr>
        <w:widowControl/>
        <w:spacing w:line="560" w:lineRule="exact"/>
        <w:ind w:firstLine="630" w:firstLineChars="196"/>
        <w:jc w:val="left"/>
        <w:rPr>
          <w:rFonts w:ascii="楷体" w:hAnsi="楷体" w:eastAsia="楷体" w:cs="宋体"/>
          <w:b/>
          <w:color w:val="222A35" w:themeColor="text2" w:themeShade="80"/>
          <w:kern w:val="0"/>
          <w:sz w:val="32"/>
          <w:szCs w:val="32"/>
        </w:rPr>
      </w:pPr>
    </w:p>
    <w:p>
      <w:pPr>
        <w:widowControl/>
        <w:jc w:val="left"/>
        <w:rPr>
          <w:rFonts w:ascii="楷体" w:hAnsi="楷体" w:eastAsia="楷体" w:cs="宋体"/>
          <w:b/>
          <w:color w:val="222A35" w:themeColor="text2" w:themeShade="80"/>
          <w:kern w:val="0"/>
          <w:sz w:val="32"/>
          <w:szCs w:val="32"/>
        </w:rPr>
      </w:pPr>
      <w:r>
        <w:rPr>
          <w:rFonts w:ascii="楷体" w:hAnsi="楷体" w:eastAsia="楷体" w:cs="宋体"/>
          <w:b/>
          <w:color w:val="222A35" w:themeColor="text2" w:themeShade="80"/>
          <w:kern w:val="0"/>
          <w:sz w:val="32"/>
          <w:szCs w:val="32"/>
        </w:rPr>
        <w:br w:type="page"/>
      </w:r>
    </w:p>
    <w:p>
      <w:pPr>
        <w:widowControl/>
        <w:spacing w:line="560" w:lineRule="exact"/>
        <w:ind w:firstLine="630" w:firstLineChars="196"/>
        <w:jc w:val="left"/>
        <w:rPr>
          <w:rFonts w:ascii="楷体" w:hAnsi="楷体" w:eastAsia="楷体" w:cs="宋体"/>
          <w:b/>
          <w:color w:val="222A35" w:themeColor="text2" w:themeShade="80"/>
          <w:kern w:val="0"/>
          <w:sz w:val="32"/>
          <w:szCs w:val="32"/>
        </w:rPr>
      </w:pPr>
      <w:r>
        <w:rPr>
          <w:rFonts w:hint="eastAsia" w:ascii="楷体" w:hAnsi="楷体" w:eastAsia="楷体" w:cs="宋体"/>
          <w:b/>
          <w:color w:val="222A35" w:themeColor="text2" w:themeShade="80"/>
          <w:kern w:val="0"/>
          <w:sz w:val="32"/>
          <w:szCs w:val="32"/>
        </w:rPr>
        <w:t>（四）其他需说明的事项</w:t>
      </w:r>
    </w:p>
    <w:p>
      <w:pPr>
        <w:widowControl/>
        <w:spacing w:line="560" w:lineRule="exact"/>
        <w:ind w:firstLine="560" w:firstLineChars="200"/>
        <w:jc w:val="left"/>
        <w:rPr>
          <w:rFonts w:cs="宋体" w:asciiTheme="minorEastAsia" w:hAnsiTheme="minorEastAsia" w:eastAsiaTheme="minorEastAsia"/>
          <w:color w:val="222A35" w:themeColor="text2" w:themeShade="80"/>
          <w:kern w:val="0"/>
          <w:sz w:val="28"/>
          <w:szCs w:val="28"/>
        </w:rPr>
      </w:pPr>
      <w:r>
        <w:rPr>
          <w:rFonts w:hint="eastAsia" w:cs="宋体" w:asciiTheme="minorEastAsia" w:hAnsiTheme="minorEastAsia" w:eastAsiaTheme="minorEastAsia"/>
          <w:color w:val="222A35" w:themeColor="text2" w:themeShade="80"/>
          <w:kern w:val="0"/>
          <w:sz w:val="28"/>
          <w:szCs w:val="28"/>
        </w:rPr>
        <w:t>……</w:t>
      </w:r>
    </w:p>
    <w:p>
      <w:pPr>
        <w:widowControl/>
        <w:spacing w:before="217" w:beforeLines="50"/>
        <w:jc w:val="center"/>
        <w:outlineLvl w:val="1"/>
        <w:rPr>
          <w:rFonts w:ascii="黑体" w:hAnsi="黑体" w:eastAsia="黑体"/>
          <w:color w:val="222A35" w:themeColor="text2" w:themeShade="80"/>
          <w:kern w:val="0"/>
          <w:sz w:val="32"/>
          <w:szCs w:val="32"/>
        </w:rPr>
      </w:pPr>
    </w:p>
    <w:p>
      <w:pPr>
        <w:widowControl/>
        <w:spacing w:before="217" w:beforeLines="50"/>
        <w:jc w:val="center"/>
        <w:outlineLvl w:val="1"/>
        <w:rPr>
          <w:rFonts w:ascii="黑体" w:hAnsi="黑体" w:eastAsia="黑体"/>
          <w:color w:val="222A35" w:themeColor="text2" w:themeShade="80"/>
          <w:kern w:val="0"/>
          <w:sz w:val="32"/>
          <w:szCs w:val="32"/>
        </w:rPr>
      </w:pPr>
      <w:r>
        <w:rPr>
          <w:rFonts w:hint="eastAsia" w:ascii="黑体" w:hAnsi="黑体" w:eastAsia="黑体"/>
          <w:color w:val="222A35" w:themeColor="text2" w:themeShade="80"/>
          <w:kern w:val="0"/>
          <w:sz w:val="32"/>
          <w:szCs w:val="32"/>
        </w:rPr>
        <w:t>第四部分  名词解释</w:t>
      </w:r>
    </w:p>
    <w:p>
      <w:pPr>
        <w:widowControl/>
        <w:spacing w:line="560" w:lineRule="exact"/>
        <w:ind w:firstLine="640"/>
        <w:jc w:val="left"/>
        <w:rPr>
          <w:rFonts w:ascii="黑体" w:hAnsi="宋体" w:eastAsia="黑体" w:cs="宋体"/>
          <w:color w:val="222A35" w:themeColor="text2" w:themeShade="80"/>
          <w:kern w:val="0"/>
          <w:sz w:val="32"/>
          <w:szCs w:val="32"/>
        </w:rPr>
      </w:pPr>
      <w:r>
        <w:rPr>
          <w:rFonts w:hint="eastAsia" w:ascii="黑体" w:hAnsi="宋体" w:eastAsia="黑体" w:cs="宋体"/>
          <w:color w:val="222A35" w:themeColor="text2" w:themeShade="80"/>
          <w:kern w:val="0"/>
          <w:sz w:val="32"/>
          <w:szCs w:val="32"/>
        </w:rPr>
        <w:t>名词解释：</w:t>
      </w:r>
    </w:p>
    <w:p>
      <w:pPr>
        <w:spacing w:line="56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一、财政拨款：</w:t>
      </w:r>
      <w:r>
        <w:rPr>
          <w:rFonts w:hint="eastAsia" w:asciiTheme="minorEastAsia" w:hAnsiTheme="minorEastAsia" w:eastAsiaTheme="minorEastAsia"/>
          <w:color w:val="222A35" w:themeColor="text2" w:themeShade="80"/>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二、一般公共预算：</w:t>
      </w:r>
      <w:r>
        <w:rPr>
          <w:rFonts w:hint="eastAsia" w:asciiTheme="minorEastAsia" w:hAnsiTheme="minorEastAsia" w:eastAsiaTheme="minorEastAsia"/>
          <w:color w:val="222A35" w:themeColor="text2" w:themeShade="80"/>
          <w:sz w:val="28"/>
          <w:szCs w:val="28"/>
        </w:rPr>
        <w:t>包括公共财政拨款（补助）资金、专项收入。</w:t>
      </w:r>
    </w:p>
    <w:p>
      <w:pPr>
        <w:spacing w:line="560" w:lineRule="exact"/>
        <w:ind w:firstLine="640" w:firstLineChars="200"/>
        <w:jc w:val="left"/>
        <w:rPr>
          <w:rFonts w:ascii="仿宋_GB2312" w:eastAsia="仿宋_GB2312"/>
          <w:color w:val="222A35" w:themeColor="text2" w:themeShade="80"/>
          <w:sz w:val="32"/>
          <w:szCs w:val="32"/>
        </w:rPr>
      </w:pPr>
      <w:r>
        <w:rPr>
          <w:rFonts w:hint="eastAsia" w:ascii="黑体" w:hAnsi="黑体" w:eastAsia="黑体"/>
          <w:color w:val="222A35" w:themeColor="text2" w:themeShade="80"/>
          <w:sz w:val="32"/>
          <w:szCs w:val="32"/>
        </w:rPr>
        <w:t>三、非税收入：</w:t>
      </w:r>
      <w:r>
        <w:rPr>
          <w:rFonts w:hint="eastAsia" w:asciiTheme="minorEastAsia" w:hAnsiTheme="minorEastAsia" w:eastAsiaTheme="minorEastAsia"/>
          <w:color w:val="222A35" w:themeColor="text2" w:themeShade="80"/>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四、其他资金：</w:t>
      </w:r>
      <w:r>
        <w:rPr>
          <w:rFonts w:hint="eastAsia" w:asciiTheme="minorEastAsia" w:hAnsiTheme="minorEastAsia" w:eastAsiaTheme="minorEastAsia"/>
          <w:color w:val="222A35" w:themeColor="text2" w:themeShade="80"/>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五、基本支出：</w:t>
      </w:r>
      <w:r>
        <w:rPr>
          <w:rFonts w:hint="eastAsia" w:asciiTheme="minorEastAsia" w:hAnsiTheme="minorEastAsia" w:eastAsiaTheme="minorEastAsia"/>
          <w:color w:val="222A35" w:themeColor="text2" w:themeShade="80"/>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六、项目支出：</w:t>
      </w:r>
      <w:r>
        <w:rPr>
          <w:rFonts w:hint="eastAsia" w:asciiTheme="minorEastAsia" w:hAnsiTheme="minorEastAsia" w:eastAsiaTheme="minorEastAsia"/>
          <w:color w:val="222A35" w:themeColor="text2" w:themeShade="80"/>
          <w:sz w:val="28"/>
          <w:szCs w:val="28"/>
        </w:rPr>
        <w:t>乌鲁木齐市第六十四小学支出预算的组成部分，是本级乌鲁木齐市第六十四小学为完成其特定的行政任务或事业发展目标，在基本支出预算之外编制的年度项目支出计划。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222A35" w:themeColor="text2" w:themeShade="80"/>
          <w:sz w:val="28"/>
          <w:szCs w:val="28"/>
        </w:rPr>
      </w:pPr>
      <w:r>
        <w:rPr>
          <w:rFonts w:hint="eastAsia" w:ascii="黑体" w:hAnsi="黑体" w:eastAsia="黑体"/>
          <w:color w:val="222A35" w:themeColor="text2" w:themeShade="80"/>
          <w:sz w:val="32"/>
          <w:szCs w:val="32"/>
        </w:rPr>
        <w:t>七、“三公”经费：</w:t>
      </w:r>
      <w:r>
        <w:rPr>
          <w:rFonts w:hint="eastAsia" w:asciiTheme="minorEastAsia" w:hAnsiTheme="minorEastAsia" w:eastAsiaTheme="minorEastAsia"/>
          <w:color w:val="222A35" w:themeColor="text2" w:themeShade="80"/>
          <w:sz w:val="28"/>
          <w:szCs w:val="28"/>
        </w:rPr>
        <w:t>指乌鲁木齐市第六十四小学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仿宋_GB2312" w:eastAsia="仿宋_GB2312"/>
          <w:color w:val="222A35" w:themeColor="text2" w:themeShade="80"/>
          <w:sz w:val="32"/>
          <w:szCs w:val="32"/>
        </w:rPr>
      </w:pPr>
      <w:r>
        <w:rPr>
          <w:rFonts w:hint="eastAsia" w:ascii="黑体" w:hAnsi="黑体" w:eastAsia="黑体"/>
          <w:color w:val="222A35" w:themeColor="text2" w:themeShade="80"/>
          <w:sz w:val="32"/>
          <w:szCs w:val="32"/>
        </w:rPr>
        <w:t>八、机关运行经费：</w:t>
      </w:r>
      <w:r>
        <w:rPr>
          <w:rFonts w:hint="eastAsia" w:asciiTheme="minorEastAsia" w:hAnsiTheme="minorEastAsia" w:eastAsiaTheme="minorEastAsia"/>
          <w:color w:val="222A35" w:themeColor="text2" w:themeShade="80"/>
          <w:sz w:val="28"/>
          <w:szCs w:val="28"/>
        </w:rPr>
        <w:t>指乌鲁木齐市第六十四小学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hAnsi="宋体" w:eastAsia="仿宋_GB2312" w:cs="宋体"/>
          <w:color w:val="222A35" w:themeColor="text2" w:themeShade="80"/>
          <w:kern w:val="0"/>
          <w:sz w:val="32"/>
          <w:szCs w:val="32"/>
        </w:rPr>
      </w:pPr>
      <w:r>
        <w:rPr>
          <w:rFonts w:hint="eastAsia" w:ascii="仿宋_GB2312" w:eastAsia="仿宋_GB2312"/>
          <w:color w:val="222A35" w:themeColor="text2" w:themeShade="80"/>
          <w:sz w:val="32"/>
          <w:szCs w:val="32"/>
        </w:rPr>
        <w:t>乌鲁木齐市第六十四小学</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2016</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spacing w:line="560" w:lineRule="exact"/>
        <w:jc w:val="left"/>
      </w:pPr>
      <w:bookmarkStart w:id="0" w:name="_GoBack"/>
      <w:bookmarkEnd w:id="0"/>
    </w:p>
    <w:sectPr>
      <w:footerReference r:id="rId5" w:type="default"/>
      <w:footerReference r:id="rId6"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14</w:t>
    </w:r>
    <w:r>
      <w:rPr>
        <w:rStyle w:val="9"/>
        <w:sz w:val="28"/>
        <w:szCs w:val="28"/>
      </w:rPr>
      <w:fldChar w:fldCharType="end"/>
    </w:r>
    <w:r>
      <w:rPr>
        <w:rStyle w:val="9"/>
        <w:rFonts w:hint="eastAsia"/>
      </w:rPr>
      <w:t>—</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383"/>
    <w:rsid w:val="00015A9E"/>
    <w:rsid w:val="0003134B"/>
    <w:rsid w:val="000514D5"/>
    <w:rsid w:val="00062EF1"/>
    <w:rsid w:val="00072E87"/>
    <w:rsid w:val="0009084C"/>
    <w:rsid w:val="00090F9F"/>
    <w:rsid w:val="000A206E"/>
    <w:rsid w:val="000A4568"/>
    <w:rsid w:val="000A5A80"/>
    <w:rsid w:val="000B5B6B"/>
    <w:rsid w:val="000C28FE"/>
    <w:rsid w:val="000C505C"/>
    <w:rsid w:val="000C537D"/>
    <w:rsid w:val="000C7C83"/>
    <w:rsid w:val="000F0FA3"/>
    <w:rsid w:val="00100514"/>
    <w:rsid w:val="001010F1"/>
    <w:rsid w:val="0012217B"/>
    <w:rsid w:val="00127843"/>
    <w:rsid w:val="0013218A"/>
    <w:rsid w:val="0013298F"/>
    <w:rsid w:val="00133420"/>
    <w:rsid w:val="00141A8D"/>
    <w:rsid w:val="001520E4"/>
    <w:rsid w:val="00152CCD"/>
    <w:rsid w:val="001558E7"/>
    <w:rsid w:val="001968AC"/>
    <w:rsid w:val="001A2442"/>
    <w:rsid w:val="001C3CFC"/>
    <w:rsid w:val="001C7B0D"/>
    <w:rsid w:val="001E3D51"/>
    <w:rsid w:val="001F2466"/>
    <w:rsid w:val="00205596"/>
    <w:rsid w:val="00214F44"/>
    <w:rsid w:val="002233DF"/>
    <w:rsid w:val="002328B0"/>
    <w:rsid w:val="00243E31"/>
    <w:rsid w:val="00256832"/>
    <w:rsid w:val="002747F2"/>
    <w:rsid w:val="002808A4"/>
    <w:rsid w:val="00285BEB"/>
    <w:rsid w:val="00292FB0"/>
    <w:rsid w:val="002A5FD8"/>
    <w:rsid w:val="002F100D"/>
    <w:rsid w:val="00307894"/>
    <w:rsid w:val="0031599B"/>
    <w:rsid w:val="00321693"/>
    <w:rsid w:val="0032324A"/>
    <w:rsid w:val="0032432E"/>
    <w:rsid w:val="00324DBC"/>
    <w:rsid w:val="00333F9C"/>
    <w:rsid w:val="00352BFB"/>
    <w:rsid w:val="003545F0"/>
    <w:rsid w:val="00363EE3"/>
    <w:rsid w:val="0037014D"/>
    <w:rsid w:val="0039631C"/>
    <w:rsid w:val="003A69B5"/>
    <w:rsid w:val="003B7B19"/>
    <w:rsid w:val="003C4590"/>
    <w:rsid w:val="003F7937"/>
    <w:rsid w:val="00412C8A"/>
    <w:rsid w:val="00416889"/>
    <w:rsid w:val="00416D08"/>
    <w:rsid w:val="00423128"/>
    <w:rsid w:val="00452C21"/>
    <w:rsid w:val="00472862"/>
    <w:rsid w:val="00472D3C"/>
    <w:rsid w:val="004947F6"/>
    <w:rsid w:val="004C5408"/>
    <w:rsid w:val="004C78DF"/>
    <w:rsid w:val="004E43F3"/>
    <w:rsid w:val="004F2A80"/>
    <w:rsid w:val="00505F21"/>
    <w:rsid w:val="005134C7"/>
    <w:rsid w:val="00524E8B"/>
    <w:rsid w:val="00531E79"/>
    <w:rsid w:val="00534720"/>
    <w:rsid w:val="00536BF2"/>
    <w:rsid w:val="00537ECD"/>
    <w:rsid w:val="00551343"/>
    <w:rsid w:val="00554107"/>
    <w:rsid w:val="00561CB1"/>
    <w:rsid w:val="00571ACD"/>
    <w:rsid w:val="005B158B"/>
    <w:rsid w:val="005C0752"/>
    <w:rsid w:val="005F1D86"/>
    <w:rsid w:val="005F28E3"/>
    <w:rsid w:val="005F6DE9"/>
    <w:rsid w:val="006003EA"/>
    <w:rsid w:val="006074DD"/>
    <w:rsid w:val="00614B1C"/>
    <w:rsid w:val="00626695"/>
    <w:rsid w:val="00633ED9"/>
    <w:rsid w:val="00643BC9"/>
    <w:rsid w:val="00645335"/>
    <w:rsid w:val="00646BF1"/>
    <w:rsid w:val="00651B3C"/>
    <w:rsid w:val="006522E6"/>
    <w:rsid w:val="006663E3"/>
    <w:rsid w:val="006839D0"/>
    <w:rsid w:val="00687296"/>
    <w:rsid w:val="006873C2"/>
    <w:rsid w:val="006B13E8"/>
    <w:rsid w:val="006B4645"/>
    <w:rsid w:val="006D1413"/>
    <w:rsid w:val="006D45C9"/>
    <w:rsid w:val="006F142B"/>
    <w:rsid w:val="00723F6D"/>
    <w:rsid w:val="00733FBF"/>
    <w:rsid w:val="0076051F"/>
    <w:rsid w:val="00785328"/>
    <w:rsid w:val="00785465"/>
    <w:rsid w:val="007B51DF"/>
    <w:rsid w:val="007F3C81"/>
    <w:rsid w:val="007F41A2"/>
    <w:rsid w:val="007F786A"/>
    <w:rsid w:val="008109E1"/>
    <w:rsid w:val="00810A45"/>
    <w:rsid w:val="00811616"/>
    <w:rsid w:val="008435D5"/>
    <w:rsid w:val="00843EA3"/>
    <w:rsid w:val="0086017A"/>
    <w:rsid w:val="008818ED"/>
    <w:rsid w:val="008919F8"/>
    <w:rsid w:val="008978F0"/>
    <w:rsid w:val="008A4EC3"/>
    <w:rsid w:val="008A56D1"/>
    <w:rsid w:val="008C15CA"/>
    <w:rsid w:val="008C4D6C"/>
    <w:rsid w:val="008C518F"/>
    <w:rsid w:val="008D4BCE"/>
    <w:rsid w:val="008F5D28"/>
    <w:rsid w:val="00901B7A"/>
    <w:rsid w:val="0090774D"/>
    <w:rsid w:val="00907B0E"/>
    <w:rsid w:val="00920488"/>
    <w:rsid w:val="009228E8"/>
    <w:rsid w:val="009505FA"/>
    <w:rsid w:val="009625BD"/>
    <w:rsid w:val="00981D5D"/>
    <w:rsid w:val="00985F7B"/>
    <w:rsid w:val="009923AD"/>
    <w:rsid w:val="009954D5"/>
    <w:rsid w:val="009A0A21"/>
    <w:rsid w:val="009A10B7"/>
    <w:rsid w:val="009A7347"/>
    <w:rsid w:val="009B013C"/>
    <w:rsid w:val="009B5ABA"/>
    <w:rsid w:val="009C7FC3"/>
    <w:rsid w:val="009E62C8"/>
    <w:rsid w:val="009E6D3B"/>
    <w:rsid w:val="009F7453"/>
    <w:rsid w:val="00A41DD8"/>
    <w:rsid w:val="00A5294A"/>
    <w:rsid w:val="00A64D0D"/>
    <w:rsid w:val="00A839A7"/>
    <w:rsid w:val="00A83BA2"/>
    <w:rsid w:val="00A8609B"/>
    <w:rsid w:val="00A91BBC"/>
    <w:rsid w:val="00A944BB"/>
    <w:rsid w:val="00A966D1"/>
    <w:rsid w:val="00AA0B85"/>
    <w:rsid w:val="00AB6178"/>
    <w:rsid w:val="00AD115B"/>
    <w:rsid w:val="00AD31F0"/>
    <w:rsid w:val="00AE1429"/>
    <w:rsid w:val="00AE19B3"/>
    <w:rsid w:val="00AE3E97"/>
    <w:rsid w:val="00B063BC"/>
    <w:rsid w:val="00B06533"/>
    <w:rsid w:val="00B138C6"/>
    <w:rsid w:val="00B31735"/>
    <w:rsid w:val="00B33375"/>
    <w:rsid w:val="00B46D1D"/>
    <w:rsid w:val="00B82808"/>
    <w:rsid w:val="00B9668E"/>
    <w:rsid w:val="00BA4FB9"/>
    <w:rsid w:val="00BD5383"/>
    <w:rsid w:val="00C10839"/>
    <w:rsid w:val="00C1143E"/>
    <w:rsid w:val="00C1630E"/>
    <w:rsid w:val="00C20B1B"/>
    <w:rsid w:val="00C25C5D"/>
    <w:rsid w:val="00C45F86"/>
    <w:rsid w:val="00C662E5"/>
    <w:rsid w:val="00C87C66"/>
    <w:rsid w:val="00C90C45"/>
    <w:rsid w:val="00CA55E6"/>
    <w:rsid w:val="00CB4EA1"/>
    <w:rsid w:val="00CF3E0D"/>
    <w:rsid w:val="00D01507"/>
    <w:rsid w:val="00D07D9D"/>
    <w:rsid w:val="00D07E0B"/>
    <w:rsid w:val="00D3056D"/>
    <w:rsid w:val="00D3373F"/>
    <w:rsid w:val="00D82EA6"/>
    <w:rsid w:val="00D8438B"/>
    <w:rsid w:val="00DA4536"/>
    <w:rsid w:val="00DC3354"/>
    <w:rsid w:val="00DE189C"/>
    <w:rsid w:val="00DF3A77"/>
    <w:rsid w:val="00DF7B26"/>
    <w:rsid w:val="00E1198D"/>
    <w:rsid w:val="00E15F79"/>
    <w:rsid w:val="00E42932"/>
    <w:rsid w:val="00E43485"/>
    <w:rsid w:val="00E50607"/>
    <w:rsid w:val="00E52978"/>
    <w:rsid w:val="00E61538"/>
    <w:rsid w:val="00E6619B"/>
    <w:rsid w:val="00E76440"/>
    <w:rsid w:val="00EA00F0"/>
    <w:rsid w:val="00EC63C2"/>
    <w:rsid w:val="00EE1775"/>
    <w:rsid w:val="00F10691"/>
    <w:rsid w:val="00F13FBE"/>
    <w:rsid w:val="00F20536"/>
    <w:rsid w:val="00F422F8"/>
    <w:rsid w:val="00F50ECF"/>
    <w:rsid w:val="00F80B62"/>
    <w:rsid w:val="00F875EB"/>
    <w:rsid w:val="00FA1108"/>
    <w:rsid w:val="00FC1A60"/>
    <w:rsid w:val="00FD019F"/>
    <w:rsid w:val="00FF5BF1"/>
    <w:rsid w:val="6A327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iPriority w:val="0"/>
    <w:rPr>
      <w:sz w:val="18"/>
      <w:szCs w:val="18"/>
    </w:rPr>
  </w:style>
  <w:style w:type="paragraph" w:styleId="3">
    <w:name w:val="footer"/>
    <w:basedOn w:val="1"/>
    <w:link w:val="12"/>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uiPriority w:val="0"/>
  </w:style>
  <w:style w:type="table" w:styleId="11">
    <w:name w:val="Table Grid"/>
    <w:basedOn w:val="10"/>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uiPriority w:val="99"/>
    <w:rPr>
      <w:rFonts w:ascii="Times New Roman" w:hAnsi="Times New Roman" w:eastAsia="黑体" w:cs="Times New Roman"/>
      <w:snapToGrid w:val="0"/>
      <w:kern w:val="0"/>
      <w:sz w:val="18"/>
      <w:szCs w:val="18"/>
    </w:rPr>
  </w:style>
  <w:style w:type="paragraph" w:customStyle="1" w:styleId="13">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uiPriority w:val="0"/>
    <w:rPr>
      <w:rFonts w:ascii="Times New Roman" w:hAnsi="Times New Roman" w:eastAsia="宋体" w:cs="Times New Roman"/>
      <w:sz w:val="18"/>
      <w:szCs w:val="18"/>
    </w:rPr>
  </w:style>
  <w:style w:type="character" w:customStyle="1" w:styleId="15">
    <w:name w:val="页眉 Char"/>
    <w:basedOn w:val="7"/>
    <w:link w:val="4"/>
    <w:uiPriority w:val="0"/>
    <w:rPr>
      <w:rFonts w:ascii="Times New Roman" w:hAnsi="Times New Roman" w:eastAsia="宋体" w:cs="Times New Roman"/>
      <w:sz w:val="18"/>
      <w:szCs w:val="18"/>
    </w:rPr>
  </w:style>
  <w:style w:type="character" w:customStyle="1" w:styleId="16">
    <w:name w:val="正文文本缩进 3 Char"/>
    <w:basedOn w:val="7"/>
    <w:link w:val="5"/>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uiPriority w:val="0"/>
    <w:rPr>
      <w:rFonts w:ascii="Calibri" w:hAnsi="Calibri" w:cs="黑体"/>
      <w:sz w:val="24"/>
    </w:rPr>
  </w:style>
  <w:style w:type="table" w:customStyle="1" w:styleId="19">
    <w:name w:val="网格型1"/>
    <w:basedOn w:val="10"/>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普通(网站)2"/>
    <w:basedOn w:val="1"/>
    <w:uiPriority w:val="0"/>
    <w:rPr>
      <w:rFonts w:ascii="Calibri" w:hAnsi="Calibri" w:cs="黑体"/>
      <w:sz w:val="24"/>
    </w:rPr>
  </w:style>
  <w:style w:type="paragraph" w:customStyle="1" w:styleId="21">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1241</Words>
  <Characters>7079</Characters>
  <Lines>58</Lines>
  <Paragraphs>16</Paragraphs>
  <TotalTime>73</TotalTime>
  <ScaleCrop>false</ScaleCrop>
  <LinksUpToDate>false</LinksUpToDate>
  <CharactersWithSpaces>8304</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2018-03-22T08:28:00Z</dcterms:created>
  <dc:creator>Administrator</dc:creator>
  <cp:lastModifiedBy>zx</cp:lastModifiedBy>
  <dcterms:modified xsi:type="dcterms:W3CDTF">2018-12-16T21:24:55Z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