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rPr>
          <w:rFonts w:ascii="黑体" w:hAnsi="黑体" w:eastAsia="黑体"/>
          <w:color w:val="181717" w:themeColor="background2" w:themeShade="1A"/>
          <w:sz w:val="44"/>
          <w:szCs w:val="44"/>
          <w:highlight w:val="none"/>
        </w:rPr>
      </w:pPr>
      <w:r>
        <w:rPr>
          <w:rFonts w:hint="eastAsia" w:ascii="黑体" w:hAnsi="黑体" w:eastAsia="黑体"/>
          <w:color w:val="181717" w:themeColor="background2" w:themeShade="1A"/>
          <w:sz w:val="44"/>
          <w:szCs w:val="44"/>
          <w:highlight w:val="none"/>
        </w:rPr>
        <w:t>附件：</w:t>
      </w:r>
    </w:p>
    <w:p>
      <w:pPr>
        <w:widowControl/>
        <w:spacing w:before="100" w:beforeAutospacing="1" w:after="100" w:afterAutospacing="1" w:line="300" w:lineRule="auto"/>
        <w:jc w:val="center"/>
        <w:outlineLvl w:val="1"/>
        <w:rPr>
          <w:rFonts w:ascii="黑体" w:hAnsi="黑体" w:eastAsia="黑体"/>
          <w:color w:val="181717" w:themeColor="background2" w:themeShade="1A"/>
          <w:kern w:val="0"/>
          <w:sz w:val="44"/>
          <w:szCs w:val="44"/>
          <w:highlight w:val="none"/>
        </w:rPr>
      </w:pPr>
    </w:p>
    <w:p>
      <w:pPr>
        <w:widowControl/>
        <w:spacing w:before="100" w:beforeAutospacing="1" w:after="100" w:afterAutospacing="1" w:line="300" w:lineRule="auto"/>
        <w:jc w:val="center"/>
        <w:outlineLvl w:val="1"/>
        <w:rPr>
          <w:rFonts w:ascii="黑体" w:hAnsi="黑体" w:eastAsia="黑体"/>
          <w:color w:val="181717" w:themeColor="background2" w:themeShade="1A"/>
          <w:kern w:val="0"/>
          <w:sz w:val="44"/>
          <w:szCs w:val="44"/>
          <w:highlight w:val="none"/>
        </w:rPr>
      </w:pPr>
      <w:bookmarkStart w:id="0" w:name="_GoBack"/>
      <w:bookmarkEnd w:id="0"/>
    </w:p>
    <w:p>
      <w:pPr>
        <w:widowControl/>
        <w:spacing w:before="100" w:beforeAutospacing="1" w:after="100" w:afterAutospacing="1" w:line="300" w:lineRule="auto"/>
        <w:jc w:val="center"/>
        <w:outlineLvl w:val="1"/>
        <w:rPr>
          <w:rFonts w:ascii="黑体" w:hAnsi="黑体" w:eastAsia="黑体"/>
          <w:color w:val="181717" w:themeColor="background2" w:themeShade="1A"/>
          <w:kern w:val="0"/>
          <w:sz w:val="44"/>
          <w:szCs w:val="44"/>
          <w:highlight w:val="none"/>
        </w:rPr>
      </w:pPr>
    </w:p>
    <w:p>
      <w:pPr>
        <w:widowControl/>
        <w:spacing w:before="100" w:beforeAutospacing="1" w:after="100" w:afterAutospacing="1" w:line="300" w:lineRule="auto"/>
        <w:jc w:val="center"/>
        <w:outlineLvl w:val="1"/>
        <w:rPr>
          <w:rFonts w:ascii="黑体" w:hAnsi="黑体" w:eastAsia="黑体"/>
          <w:color w:val="181717" w:themeColor="background2" w:themeShade="1A"/>
          <w:kern w:val="0"/>
          <w:sz w:val="44"/>
          <w:szCs w:val="44"/>
          <w:highlight w:val="none"/>
        </w:rPr>
      </w:pPr>
      <w:r>
        <w:rPr>
          <w:rFonts w:hint="eastAsia" w:ascii="黑体" w:hAnsi="黑体" w:eastAsia="黑体"/>
          <w:color w:val="181717" w:themeColor="background2" w:themeShade="1A"/>
          <w:kern w:val="0"/>
          <w:sz w:val="44"/>
          <w:szCs w:val="44"/>
          <w:highlight w:val="none"/>
        </w:rPr>
        <w:t>乌鲁木齐市水磨沟区妇女联合会201</w:t>
      </w:r>
      <w:r>
        <w:rPr>
          <w:rFonts w:hint="eastAsia" w:ascii="黑体" w:hAnsi="黑体" w:eastAsia="黑体"/>
          <w:color w:val="181717" w:themeColor="background2" w:themeShade="1A"/>
          <w:kern w:val="0"/>
          <w:sz w:val="44"/>
          <w:szCs w:val="44"/>
          <w:highlight w:val="none"/>
          <w:lang w:val="en-US" w:eastAsia="zh-CN"/>
        </w:rPr>
        <w:t>6</w:t>
      </w:r>
      <w:r>
        <w:rPr>
          <w:rFonts w:hint="eastAsia" w:ascii="黑体" w:hAnsi="黑体" w:eastAsia="黑体"/>
          <w:color w:val="181717" w:themeColor="background2" w:themeShade="1A"/>
          <w:kern w:val="0"/>
          <w:sz w:val="44"/>
          <w:szCs w:val="44"/>
          <w:highlight w:val="none"/>
        </w:rPr>
        <w:t>年预算公开</w:t>
      </w: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20" w:firstLineChars="50"/>
        <w:outlineLvl w:val="1"/>
        <w:rPr>
          <w:rFonts w:asciiTheme="minorEastAsia" w:hAnsiTheme="minorEastAsia" w:eastAsiaTheme="minorEastAsia"/>
          <w:b/>
          <w:color w:val="181717" w:themeColor="background2" w:themeShade="1A"/>
          <w:kern w:val="0"/>
          <w:sz w:val="24"/>
          <w:highlight w:val="none"/>
        </w:rPr>
      </w:pPr>
    </w:p>
    <w:p>
      <w:pPr>
        <w:widowControl/>
        <w:spacing w:line="300" w:lineRule="auto"/>
        <w:outlineLvl w:val="1"/>
        <w:rPr>
          <w:rFonts w:asciiTheme="minorEastAsia" w:hAnsiTheme="minorEastAsia" w:eastAsiaTheme="minorEastAsia"/>
          <w:b/>
          <w:color w:val="181717" w:themeColor="background2" w:themeShade="1A"/>
          <w:kern w:val="0"/>
          <w:sz w:val="24"/>
          <w:highlight w:val="none"/>
        </w:rPr>
      </w:pPr>
    </w:p>
    <w:p>
      <w:pPr>
        <w:widowControl/>
        <w:spacing w:line="300" w:lineRule="auto"/>
        <w:ind w:firstLine="1920" w:firstLineChars="800"/>
        <w:outlineLvl w:val="1"/>
        <w:rPr>
          <w:rFonts w:asciiTheme="minorEastAsia" w:hAnsiTheme="minorEastAsia" w:eastAsiaTheme="minorEastAsia"/>
          <w:color w:val="181717" w:themeColor="background2" w:themeShade="1A"/>
          <w:kern w:val="0"/>
          <w:sz w:val="24"/>
          <w:highlight w:val="none"/>
        </w:rPr>
      </w:pPr>
    </w:p>
    <w:p>
      <w:pPr>
        <w:widowControl/>
        <w:spacing w:line="300" w:lineRule="auto"/>
        <w:ind w:firstLine="1920" w:firstLineChars="800"/>
        <w:outlineLvl w:val="1"/>
        <w:rPr>
          <w:rFonts w:asciiTheme="minorEastAsia" w:hAnsiTheme="minorEastAsia" w:eastAsiaTheme="minorEastAsia"/>
          <w:color w:val="181717" w:themeColor="background2" w:themeShade="1A"/>
          <w:kern w:val="0"/>
          <w:sz w:val="24"/>
          <w:highlight w:val="none"/>
        </w:rPr>
      </w:pPr>
    </w:p>
    <w:p>
      <w:pPr>
        <w:widowControl/>
        <w:spacing w:before="100" w:beforeAutospacing="1" w:after="100" w:afterAutospacing="1" w:line="300" w:lineRule="auto"/>
        <w:outlineLvl w:val="1"/>
        <w:rPr>
          <w:rFonts w:asciiTheme="minorEastAsia" w:hAnsiTheme="minorEastAsia" w:eastAsiaTheme="minorEastAsia"/>
          <w:color w:val="181717" w:themeColor="background2" w:themeShade="1A"/>
          <w:kern w:val="0"/>
          <w:sz w:val="24"/>
          <w:highlight w:val="none"/>
        </w:rPr>
      </w:pPr>
    </w:p>
    <w:p>
      <w:pPr>
        <w:widowControl/>
        <w:spacing w:before="100" w:beforeAutospacing="1" w:after="100" w:afterAutospacing="1" w:line="300" w:lineRule="auto"/>
        <w:outlineLvl w:val="1"/>
        <w:rPr>
          <w:rFonts w:asciiTheme="minorEastAsia" w:hAnsiTheme="minorEastAsia" w:eastAsiaTheme="minorEastAsia"/>
          <w:color w:val="181717" w:themeColor="background2" w:themeShade="1A"/>
          <w:kern w:val="0"/>
          <w:sz w:val="24"/>
          <w:highlight w:val="none"/>
        </w:rPr>
      </w:pPr>
    </w:p>
    <w:p>
      <w:pPr>
        <w:widowControl/>
        <w:spacing w:before="100" w:beforeAutospacing="1" w:after="100" w:afterAutospacing="1" w:line="300" w:lineRule="auto"/>
        <w:outlineLvl w:val="1"/>
        <w:rPr>
          <w:rFonts w:asciiTheme="minorEastAsia" w:hAnsiTheme="minorEastAsia" w:eastAsiaTheme="minorEastAsia"/>
          <w:color w:val="181717" w:themeColor="background2" w:themeShade="1A"/>
          <w:kern w:val="0"/>
          <w:sz w:val="24"/>
          <w:highlight w:val="none"/>
        </w:rPr>
      </w:pPr>
    </w:p>
    <w:p>
      <w:pPr>
        <w:widowControl/>
        <w:spacing w:before="100" w:beforeAutospacing="1" w:after="100" w:afterAutospacing="1" w:line="300" w:lineRule="auto"/>
        <w:outlineLvl w:val="1"/>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spacing w:line="300" w:lineRule="auto"/>
        <w:jc w:val="center"/>
        <w:outlineLvl w:val="1"/>
        <w:rPr>
          <w:rFonts w:ascii="黑体" w:hAnsi="黑体" w:eastAsia="黑体"/>
          <w:color w:val="181717" w:themeColor="background2" w:themeShade="1A"/>
          <w:kern w:val="0"/>
          <w:sz w:val="44"/>
          <w:szCs w:val="44"/>
          <w:highlight w:val="none"/>
        </w:rPr>
      </w:pPr>
      <w:r>
        <w:rPr>
          <w:rFonts w:hint="eastAsia" w:ascii="黑体" w:hAnsi="黑体" w:eastAsia="黑体"/>
          <w:color w:val="181717" w:themeColor="background2" w:themeShade="1A"/>
          <w:kern w:val="0"/>
          <w:sz w:val="44"/>
          <w:szCs w:val="44"/>
          <w:highlight w:val="none"/>
        </w:rPr>
        <w:t>目录</w:t>
      </w:r>
    </w:p>
    <w:p>
      <w:pPr>
        <w:widowControl/>
        <w:spacing w:line="300" w:lineRule="auto"/>
        <w:jc w:val="center"/>
        <w:outlineLvl w:val="1"/>
        <w:rPr>
          <w:rFonts w:ascii="黑体" w:hAnsi="黑体" w:eastAsia="黑体"/>
          <w:color w:val="181717" w:themeColor="background2" w:themeShade="1A"/>
          <w:kern w:val="0"/>
          <w:sz w:val="44"/>
          <w:szCs w:val="44"/>
          <w:highlight w:val="none"/>
        </w:rPr>
      </w:pPr>
    </w:p>
    <w:p>
      <w:pPr>
        <w:widowControl/>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第一部分  乌鲁木齐市水磨沟区妇女联合会单位概况</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一、主要职能</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二、机构设置及人员情况</w:t>
      </w:r>
    </w:p>
    <w:p>
      <w:pPr>
        <w:widowControl/>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第二部分  乌鲁木齐市水磨沟区妇女联合会201</w:t>
      </w:r>
      <w:r>
        <w:rPr>
          <w:rFonts w:hint="eastAsia" w:ascii="仿宋_GB2312" w:eastAsia="仿宋_GB2312" w:hAnsiTheme="minorEastAsia"/>
          <w:b/>
          <w:color w:val="181717" w:themeColor="background2" w:themeShade="1A"/>
          <w:kern w:val="0"/>
          <w:sz w:val="32"/>
          <w:szCs w:val="32"/>
          <w:highlight w:val="none"/>
          <w:lang w:val="en-US" w:eastAsia="zh-CN"/>
        </w:rPr>
        <w:t>6</w:t>
      </w:r>
      <w:r>
        <w:rPr>
          <w:rFonts w:hint="eastAsia" w:ascii="仿宋_GB2312" w:eastAsia="仿宋_GB2312" w:hAnsiTheme="minorEastAsia"/>
          <w:b/>
          <w:color w:val="181717" w:themeColor="background2" w:themeShade="1A"/>
          <w:kern w:val="0"/>
          <w:sz w:val="32"/>
          <w:szCs w:val="32"/>
          <w:highlight w:val="none"/>
        </w:rPr>
        <w:t>年部门预算公开表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一、部门收支总体情况表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二、部门收入总体情况表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三、部门支出总体情况表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四、财政拨款收支总体情况表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五、一般公共预算支出情况表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六、一般公共预算基本支出情况表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七、项目支出情况表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八、一般公共预算“三公”经费支出情况表</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九、政府性基金预算支出情况表</w:t>
      </w:r>
    </w:p>
    <w:p>
      <w:pPr>
        <w:widowControl/>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第三部分  乌鲁木齐市水磨沟区妇女联合会</w:t>
      </w:r>
      <w:r>
        <w:rPr>
          <w:rFonts w:hint="eastAsia" w:ascii="仿宋_GB2312" w:eastAsia="仿宋_GB2312" w:hAnsiTheme="minorEastAsia"/>
          <w:b/>
          <w:color w:val="181717" w:themeColor="background2" w:themeShade="1A"/>
          <w:kern w:val="0"/>
          <w:sz w:val="32"/>
          <w:szCs w:val="32"/>
          <w:highlight w:val="none"/>
          <w:lang w:val="en-US" w:eastAsia="zh-CN"/>
        </w:rPr>
        <w:t>2016</w:t>
      </w:r>
      <w:r>
        <w:rPr>
          <w:rFonts w:hint="eastAsia" w:ascii="仿宋_GB2312" w:eastAsia="仿宋_GB2312" w:hAnsiTheme="minorEastAsia"/>
          <w:b/>
          <w:color w:val="181717" w:themeColor="background2" w:themeShade="1A"/>
          <w:kern w:val="0"/>
          <w:sz w:val="32"/>
          <w:szCs w:val="32"/>
          <w:highlight w:val="none"/>
        </w:rPr>
        <w:t>年部门预算情况说明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一、关于乌鲁木齐市水磨沟区妇女联合会201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年收支预算情况的总体说明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二、关于乌鲁木齐市水磨沟区妇女联合会201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年收入预算情况说明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三、关于乌鲁木齐市水磨沟区妇女联合会201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年支出预算情况说明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四、关于乌鲁木齐市水磨沟区妇女联合会201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年财政拨款收支预算情况的总体说明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五、关于乌鲁木齐市水磨沟区妇女联合会201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年一般公共预算当年拨款情况说明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六、关于乌鲁木齐市水磨沟区妇女联合会201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年一般公共预算基本支出情况说明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七、关于乌鲁木齐市水磨沟区妇女联合会201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年项目支出情况说明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八、关于乌鲁木齐市水磨沟区妇女联合会201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年一般公共预算“三公”经费预算情况说明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九、关于乌鲁木齐市水磨沟区妇女联合会201</w:t>
      </w:r>
      <w:r>
        <w:rPr>
          <w:rFonts w:hint="eastAsia" w:ascii="仿宋_GB2312" w:eastAsia="仿宋_GB2312" w:hAnsiTheme="minorEastAsia"/>
          <w:color w:val="181717" w:themeColor="background2" w:themeShade="1A"/>
          <w:kern w:val="0"/>
          <w:sz w:val="32"/>
          <w:szCs w:val="32"/>
          <w:highlight w:val="none"/>
          <w:lang w:val="en-US" w:eastAsia="zh-CN"/>
        </w:rPr>
        <w:t>6</w:t>
      </w:r>
      <w:r>
        <w:rPr>
          <w:rFonts w:hint="eastAsia" w:ascii="仿宋_GB2312" w:eastAsia="仿宋_GB2312" w:hAnsiTheme="minorEastAsia"/>
          <w:color w:val="181717" w:themeColor="background2" w:themeShade="1A"/>
          <w:kern w:val="0"/>
          <w:sz w:val="32"/>
          <w:szCs w:val="32"/>
          <w:highlight w:val="none"/>
        </w:rPr>
        <w:t>年政府性基金预算拨款情况说明</w:t>
      </w:r>
    </w:p>
    <w:p>
      <w:pPr>
        <w:widowControl/>
        <w:jc w:val="left"/>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十、其他重要事项的情况说明</w:t>
      </w:r>
    </w:p>
    <w:p>
      <w:pPr>
        <w:widowControl/>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第四部分  名词解释</w:t>
      </w: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pStyle w:val="2"/>
        <w:spacing w:before="240"/>
        <w:rPr>
          <w:rFonts w:ascii="黑体" w:hAnsi="黑体" w:eastAsia="黑体"/>
          <w:b w:val="0"/>
          <w:color w:val="181717" w:themeColor="background2" w:themeShade="1A"/>
          <w:szCs w:val="32"/>
          <w:highlight w:val="none"/>
        </w:rPr>
      </w:pPr>
      <w:r>
        <w:rPr>
          <w:rFonts w:hint="eastAsia" w:ascii="黑体" w:hAnsi="黑体" w:eastAsia="黑体"/>
          <w:b w:val="0"/>
          <w:color w:val="181717" w:themeColor="background2" w:themeShade="1A"/>
          <w:szCs w:val="32"/>
          <w:highlight w:val="none"/>
        </w:rPr>
        <w:t>第一部分  乌鲁木齐市水磨沟区妇女联合会单位概况</w:t>
      </w:r>
    </w:p>
    <w:p>
      <w:pPr>
        <w:pStyle w:val="3"/>
        <w:ind w:firstLine="32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一、主要职能</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1、宣传贯彻党和国家关于妇女儿童工作的方针、政策，指导全区各级妇联按章程开展工作，促进地区妇女工作的开展。</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2、坚持正确的政治方向，团结教育全区各族各界妇女同党中央在政治上、思想上、行动上保持高度一致，维护祖国统一，反对民族分裂主义和非法宗教活动。</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3、宣传马克思主义妇女观和男女平等思想，教育、引导妇女群众树立正确的世界观、人生观、价值观，弘扬“自尊、自信、自立、自强”的精神，积极推动和开展对妇女的科技文化和生产劳动技能教育，全面提高妇女素质。</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4、紧紧围绕区委、区人民政府的中心任务开展工作，团结、动员、组织妇女群众投身改革开放和社会主义精神闻名、物质文明建设，积极促进经济发展和社会进步，为维护改革、发展、稳定的大局服务。</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5、指导全区妇联组织依据《中华全国妇女联合会章程》和妇女代表大会的任务，开展妇女儿童工作。</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6、代表妇女参与社会事物的民主管理、民主监督；关注解决涉及妇女切身利益的“热点、难点”问题。</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7、维护妇女儿童合法权益，坚持为妇女儿童服务，为基层服务。</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8、开展家庭美德建设及“五好家庭”创建活动。</w:t>
      </w:r>
    </w:p>
    <w:p>
      <w:pPr>
        <w:pStyle w:val="9"/>
        <w:shd w:val="clear" w:color="auto" w:fill="FFFFFF"/>
        <w:spacing w:before="0" w:beforeAutospacing="0" w:after="0" w:afterAutospacing="0" w:line="560" w:lineRule="exact"/>
        <w:ind w:firstLine="560" w:firstLineChars="200"/>
        <w:rPr>
          <w:rFonts w:asciiTheme="minorEastAsia" w:hAnsiTheme="minorEastAsia" w:eastAsiaTheme="minorEastAsia"/>
          <w:color w:val="181717" w:themeColor="background2" w:themeShade="1A"/>
          <w:sz w:val="28"/>
          <w:szCs w:val="28"/>
          <w:highlight w:val="none"/>
        </w:rPr>
      </w:pPr>
      <w:r>
        <w:rPr>
          <w:rFonts w:hint="eastAsia" w:asciiTheme="minorEastAsia" w:hAnsiTheme="minorEastAsia" w:eastAsiaTheme="minorEastAsia"/>
          <w:color w:val="181717" w:themeColor="background2" w:themeShade="1A"/>
          <w:sz w:val="28"/>
          <w:szCs w:val="28"/>
          <w:highlight w:val="none"/>
        </w:rPr>
        <w:t>9、调查研究全区妇女儿童工作的建议和意见。</w:t>
      </w:r>
    </w:p>
    <w:p>
      <w:pPr>
        <w:widowControl/>
        <w:spacing w:line="560" w:lineRule="exact"/>
        <w:ind w:firstLine="560" w:firstLineChars="200"/>
        <w:jc w:val="left"/>
        <w:rPr>
          <w:rFonts w:cs="宋体" w:asciiTheme="minorEastAsia" w:hAnsiTheme="minorEastAsia" w:eastAsiaTheme="minorEastAsia"/>
          <w:bCs/>
          <w:color w:val="181717" w:themeColor="background2" w:themeShade="1A"/>
          <w:kern w:val="0"/>
          <w:sz w:val="28"/>
          <w:szCs w:val="28"/>
          <w:highlight w:val="none"/>
        </w:rPr>
      </w:pPr>
      <w:r>
        <w:rPr>
          <w:rFonts w:hint="eastAsia" w:asciiTheme="minorEastAsia" w:hAnsiTheme="minorEastAsia" w:eastAsiaTheme="minorEastAsia"/>
          <w:color w:val="181717" w:themeColor="background2" w:themeShade="1A"/>
          <w:sz w:val="28"/>
          <w:szCs w:val="28"/>
          <w:highlight w:val="none"/>
        </w:rPr>
        <w:t>10、承办区委、区人民政府交办的其他事项。</w:t>
      </w:r>
    </w:p>
    <w:p>
      <w:pPr>
        <w:pStyle w:val="3"/>
        <w:ind w:firstLine="32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二、机构设置及人员情况</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shd w:val="clear" w:color="auto" w:fill="FFFFFF"/>
        </w:rPr>
      </w:pPr>
      <w:r>
        <w:rPr>
          <w:rFonts w:hint="eastAsia" w:asciiTheme="minorEastAsia" w:hAnsiTheme="minorEastAsia" w:eastAsiaTheme="minorEastAsia"/>
          <w:color w:val="181717" w:themeColor="background2" w:themeShade="1A"/>
          <w:sz w:val="28"/>
          <w:szCs w:val="28"/>
          <w:highlight w:val="none"/>
        </w:rPr>
        <w:t>根据职责，纳入乌鲁木齐市水磨沟区妇女联合会201</w:t>
      </w:r>
      <w:r>
        <w:rPr>
          <w:rFonts w:hint="eastAsia" w:asciiTheme="minorEastAsia" w:hAnsiTheme="minorEastAsia" w:eastAsiaTheme="minorEastAsia"/>
          <w:color w:val="181717" w:themeColor="background2" w:themeShade="1A"/>
          <w:sz w:val="28"/>
          <w:szCs w:val="28"/>
          <w:highlight w:val="none"/>
          <w:lang w:val="en-US" w:eastAsia="zh-CN"/>
        </w:rPr>
        <w:t>6</w:t>
      </w:r>
      <w:r>
        <w:rPr>
          <w:rFonts w:hint="eastAsia" w:asciiTheme="minorEastAsia" w:hAnsiTheme="minorEastAsia" w:eastAsiaTheme="minorEastAsia"/>
          <w:color w:val="181717" w:themeColor="background2" w:themeShade="1A"/>
          <w:sz w:val="28"/>
          <w:szCs w:val="28"/>
          <w:highlight w:val="none"/>
        </w:rPr>
        <w:t>年部门决算编制范围的有厅机关内设的1个机构。</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shd w:val="clear" w:color="auto" w:fill="FFFFFF"/>
        </w:rPr>
      </w:pPr>
      <w:r>
        <w:rPr>
          <w:rFonts w:hint="eastAsia" w:asciiTheme="minorEastAsia" w:hAnsiTheme="minorEastAsia" w:eastAsiaTheme="minorEastAsia"/>
          <w:color w:val="181717" w:themeColor="background2" w:themeShade="1A"/>
          <w:sz w:val="28"/>
          <w:szCs w:val="28"/>
          <w:highlight w:val="none"/>
        </w:rPr>
        <w:t>乌鲁木齐市水磨沟区妇女联合会编制人数3人（其中领导职数1名），其中：行政人员编制3人。乌鲁木齐市水磨沟区妇女联合会实有在职人数4人，其中：行政在职人员4人。</w:t>
      </w:r>
    </w:p>
    <w:p>
      <w:pPr>
        <w:widowControl/>
        <w:spacing w:line="300" w:lineRule="auto"/>
        <w:jc w:val="left"/>
        <w:rPr>
          <w:rFonts w:cs="宋体" w:asciiTheme="minorEastAsia" w:hAnsiTheme="minorEastAsia" w:eastAsiaTheme="minorEastAsia"/>
          <w:color w:val="181717" w:themeColor="background2" w:themeShade="1A"/>
          <w:kern w:val="0"/>
          <w:sz w:val="24"/>
          <w:highlight w:val="none"/>
        </w:rPr>
      </w:pPr>
    </w:p>
    <w:p>
      <w:pPr>
        <w:widowControl/>
        <w:spacing w:line="300" w:lineRule="auto"/>
        <w:jc w:val="left"/>
        <w:rPr>
          <w:rFonts w:cs="宋体"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pStyle w:val="2"/>
        <w:spacing w:before="240"/>
        <w:rPr>
          <w:rFonts w:ascii="黑体" w:hAnsi="黑体" w:eastAsia="黑体"/>
          <w:b w:val="0"/>
          <w:color w:val="181717" w:themeColor="background2" w:themeShade="1A"/>
          <w:highlight w:val="none"/>
        </w:rPr>
      </w:pPr>
      <w:r>
        <w:rPr>
          <w:rFonts w:hint="eastAsia" w:ascii="黑体" w:hAnsi="黑体" w:eastAsia="黑体"/>
          <w:b w:val="0"/>
          <w:color w:val="181717" w:themeColor="background2" w:themeShade="1A"/>
          <w:highlight w:val="none"/>
        </w:rPr>
        <w:t>第二部分  乌鲁木齐市水磨沟区妇女联合会201</w:t>
      </w:r>
      <w:r>
        <w:rPr>
          <w:rFonts w:hint="eastAsia" w:ascii="黑体" w:hAnsi="黑体" w:eastAsia="黑体"/>
          <w:b w:val="0"/>
          <w:color w:val="181717" w:themeColor="background2" w:themeShade="1A"/>
          <w:highlight w:val="none"/>
          <w:lang w:val="en-US" w:eastAsia="zh-CN"/>
        </w:rPr>
        <w:t>6</w:t>
      </w:r>
      <w:r>
        <w:rPr>
          <w:rFonts w:hint="eastAsia" w:ascii="黑体" w:hAnsi="黑体" w:eastAsia="黑体"/>
          <w:b w:val="0"/>
          <w:color w:val="181717" w:themeColor="background2" w:themeShade="1A"/>
          <w:highlight w:val="none"/>
        </w:rPr>
        <w:t>年部门预算公开表</w:t>
      </w:r>
    </w:p>
    <w:p>
      <w:pPr>
        <w:widowControl/>
        <w:spacing w:before="120" w:beforeLines="50" w:line="300" w:lineRule="auto"/>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表一：</w:t>
      </w:r>
    </w:p>
    <w:p>
      <w:pPr>
        <w:widowControl/>
        <w:spacing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部门收支总体情况表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8931" w:type="dxa"/>
        <w:jc w:val="center"/>
        <w:tblInd w:w="-176" w:type="dxa"/>
        <w:tblLayout w:type="fixed"/>
        <w:tblCellMar>
          <w:top w:w="0" w:type="dxa"/>
          <w:left w:w="108" w:type="dxa"/>
          <w:bottom w:w="0" w:type="dxa"/>
          <w:right w:w="108" w:type="dxa"/>
        </w:tblCellMar>
      </w:tblPr>
      <w:tblGrid>
        <w:gridCol w:w="2549"/>
        <w:gridCol w:w="1704"/>
        <w:gridCol w:w="2977"/>
        <w:gridCol w:w="1701"/>
      </w:tblGrid>
      <w:tr>
        <w:tblPrEx>
          <w:tblLayout w:type="fixed"/>
          <w:tblCellMar>
            <w:top w:w="0" w:type="dxa"/>
            <w:left w:w="108" w:type="dxa"/>
            <w:bottom w:w="0" w:type="dxa"/>
            <w:right w:w="108" w:type="dxa"/>
          </w:tblCellMar>
        </w:tblPrEx>
        <w:trPr>
          <w:trHeight w:val="360" w:hRule="atLeast"/>
          <w:jc w:val="center"/>
        </w:trPr>
        <w:tc>
          <w:tcPr>
            <w:tcW w:w="4253" w:type="dxa"/>
            <w:gridSpan w:val="2"/>
            <w:tcBorders>
              <w:top w:val="single" w:color="auto" w:sz="4" w:space="0"/>
              <w:left w:val="single" w:color="auto" w:sz="4" w:space="0"/>
              <w:bottom w:val="single" w:color="auto" w:sz="4" w:space="0"/>
              <w:right w:val="single" w:color="000000" w:sz="4" w:space="0"/>
            </w:tcBorders>
            <w:shd w:val="clear" w:color="auto" w:fill="auto"/>
            <w:vAlign w:val="bottom"/>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收     入</w:t>
            </w:r>
          </w:p>
        </w:tc>
        <w:tc>
          <w:tcPr>
            <w:tcW w:w="4678" w:type="dxa"/>
            <w:gridSpan w:val="2"/>
            <w:tcBorders>
              <w:top w:val="single" w:color="auto" w:sz="4" w:space="0"/>
              <w:left w:val="nil"/>
              <w:bottom w:val="single" w:color="auto" w:sz="4" w:space="0"/>
              <w:right w:val="single" w:color="auto" w:sz="4" w:space="0"/>
            </w:tcBorders>
            <w:shd w:val="clear" w:color="auto" w:fill="auto"/>
            <w:vAlign w:val="bottom"/>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支     出</w:t>
            </w: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项     目</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预算数</w:t>
            </w:r>
          </w:p>
        </w:tc>
        <w:tc>
          <w:tcPr>
            <w:tcW w:w="297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功能分类</w:t>
            </w: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预算数</w:t>
            </w: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财政拨款（补助）</w:t>
            </w:r>
          </w:p>
        </w:tc>
        <w:tc>
          <w:tcPr>
            <w:tcW w:w="1704"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93.98</w:t>
            </w: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201 一般公共服务支出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93.98</w:t>
            </w: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 xml:space="preserve">    一般公共预算</w:t>
            </w:r>
          </w:p>
        </w:tc>
        <w:tc>
          <w:tcPr>
            <w:tcW w:w="1704" w:type="dxa"/>
            <w:tcBorders>
              <w:top w:val="nil"/>
              <w:left w:val="nil"/>
              <w:bottom w:val="single" w:color="auto" w:sz="4" w:space="0"/>
              <w:right w:val="single" w:color="auto" w:sz="4" w:space="0"/>
            </w:tcBorders>
            <w:shd w:val="clear" w:color="auto" w:fill="auto"/>
            <w:vAlign w:val="center"/>
          </w:tcPr>
          <w:p>
            <w:pPr>
              <w:jc w:val="center"/>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 xml:space="preserve">           93.98</w:t>
            </w: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202 外交支出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 xml:space="preserve">    政府性基金预算</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203 国防支出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 xml:space="preserve">    非税收入</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204 公共安全支出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其他资金</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205 教育支出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财政预算拨款结余结转</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206 科学技术支出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 xml:space="preserve">    结转</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207 文化体育与传媒支出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 xml:space="preserve">    结余</w:t>
            </w:r>
          </w:p>
        </w:tc>
        <w:tc>
          <w:tcPr>
            <w:tcW w:w="170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208 社会保障和就业支出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209 社会保险基金支出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210 医疗卫生与计划生育支出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211 节能环保支出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212 城乡社区支出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213 农林水支出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214 交通运输支出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215 资源勘探信息等支出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216 商业服务业等支出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217 金融支出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219 援助其他地区支出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220 国土资源气象等支出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221 住房保障支出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222 粮油物资管理支出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223 国有资本经营预算支出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227 预备费</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229 其他支出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231 债务还本支出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232 债务付息支出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2549" w:type="dxa"/>
            <w:tcBorders>
              <w:top w:val="nil"/>
              <w:left w:val="single" w:color="auto" w:sz="4" w:space="0"/>
              <w:bottom w:val="single" w:color="auto" w:sz="4" w:space="0"/>
              <w:right w:val="single" w:color="auto" w:sz="4" w:space="0"/>
            </w:tcBorders>
            <w:shd w:val="clear" w:color="auto" w:fill="auto"/>
            <w:vAlign w:val="bottom"/>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4"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233 债务发行费支出</w:t>
            </w:r>
          </w:p>
        </w:tc>
        <w:tc>
          <w:tcPr>
            <w:tcW w:w="170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65" w:hRule="atLeast"/>
          <w:jc w:val="center"/>
        </w:trPr>
        <w:tc>
          <w:tcPr>
            <w:tcW w:w="2549" w:type="dxa"/>
            <w:tcBorders>
              <w:top w:val="nil"/>
              <w:left w:val="single" w:color="auto" w:sz="4" w:space="0"/>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收  入  总  计</w:t>
            </w:r>
          </w:p>
        </w:tc>
        <w:tc>
          <w:tcPr>
            <w:tcW w:w="1704" w:type="dxa"/>
            <w:tcBorders>
              <w:top w:val="nil"/>
              <w:left w:val="single" w:color="auto" w:sz="4" w:space="0"/>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93.98</w:t>
            </w:r>
          </w:p>
        </w:tc>
        <w:tc>
          <w:tcPr>
            <w:tcW w:w="2977" w:type="dxa"/>
            <w:tcBorders>
              <w:top w:val="nil"/>
              <w:left w:val="nil"/>
              <w:bottom w:val="single" w:color="auto" w:sz="4" w:space="0"/>
              <w:right w:val="nil"/>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支  出  合  计</w:t>
            </w:r>
          </w:p>
        </w:tc>
        <w:tc>
          <w:tcPr>
            <w:tcW w:w="1701" w:type="dxa"/>
            <w:tcBorders>
              <w:top w:val="nil"/>
              <w:left w:val="single" w:color="auto" w:sz="4" w:space="0"/>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93.98</w:t>
            </w:r>
          </w:p>
        </w:tc>
      </w:tr>
    </w:tbl>
    <w:p>
      <w:pPr>
        <w:widowControl/>
        <w:spacing w:line="300" w:lineRule="auto"/>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表二：</w:t>
      </w:r>
    </w:p>
    <w:p>
      <w:pPr>
        <w:widowControl/>
        <w:spacing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部门收入总体情况表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8976" w:type="dxa"/>
        <w:jc w:val="center"/>
        <w:tblInd w:w="93" w:type="dxa"/>
        <w:tblLayout w:type="fixed"/>
        <w:tblCellMar>
          <w:top w:w="0" w:type="dxa"/>
          <w:left w:w="108" w:type="dxa"/>
          <w:bottom w:w="0" w:type="dxa"/>
          <w:right w:w="108" w:type="dxa"/>
        </w:tblCellMar>
      </w:tblPr>
      <w:tblGrid>
        <w:gridCol w:w="545"/>
        <w:gridCol w:w="453"/>
        <w:gridCol w:w="454"/>
        <w:gridCol w:w="1868"/>
        <w:gridCol w:w="820"/>
        <w:gridCol w:w="756"/>
        <w:gridCol w:w="680"/>
        <w:gridCol w:w="680"/>
        <w:gridCol w:w="680"/>
        <w:gridCol w:w="680"/>
        <w:gridCol w:w="680"/>
        <w:gridCol w:w="680"/>
      </w:tblGrid>
      <w:tr>
        <w:tblPrEx>
          <w:tblLayout w:type="fixed"/>
          <w:tblCellMar>
            <w:top w:w="0" w:type="dxa"/>
            <w:left w:w="108" w:type="dxa"/>
            <w:bottom w:w="0" w:type="dxa"/>
            <w:right w:w="108" w:type="dxa"/>
          </w:tblCellMar>
        </w:tblPrEx>
        <w:trPr>
          <w:trHeight w:val="510" w:hRule="atLeast"/>
          <w:jc w:val="center"/>
        </w:trPr>
        <w:tc>
          <w:tcPr>
            <w:tcW w:w="145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功能分类科目编码</w:t>
            </w:r>
          </w:p>
        </w:tc>
        <w:tc>
          <w:tcPr>
            <w:tcW w:w="1868"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功能分类科目名称</w:t>
            </w:r>
          </w:p>
        </w:tc>
        <w:tc>
          <w:tcPr>
            <w:tcW w:w="82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总  计</w:t>
            </w:r>
          </w:p>
        </w:tc>
        <w:tc>
          <w:tcPr>
            <w:tcW w:w="756"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一般公共预算拨款</w:t>
            </w:r>
          </w:p>
        </w:tc>
        <w:tc>
          <w:tcPr>
            <w:tcW w:w="68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政府性基金预算拨款</w:t>
            </w:r>
          </w:p>
        </w:tc>
        <w:tc>
          <w:tcPr>
            <w:tcW w:w="68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非税收入拨款</w:t>
            </w:r>
          </w:p>
        </w:tc>
        <w:tc>
          <w:tcPr>
            <w:tcW w:w="68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其他资金</w:t>
            </w:r>
          </w:p>
        </w:tc>
        <w:tc>
          <w:tcPr>
            <w:tcW w:w="68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事业单位经营收入</w:t>
            </w:r>
          </w:p>
        </w:tc>
        <w:tc>
          <w:tcPr>
            <w:tcW w:w="13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uto"/>
              <w:jc w:val="center"/>
              <w:rPr>
                <w:rFonts w:ascii="仿宋_GB2312" w:eastAsia="仿宋_GB2312" w:cs="宋体" w:hAnsiTheme="minorEastAsia"/>
                <w:b/>
                <w:color w:val="181717" w:themeColor="background2" w:themeShade="1A"/>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财政预算拨款结余结转</w:t>
            </w:r>
          </w:p>
        </w:tc>
      </w:tr>
      <w:tr>
        <w:tblPrEx>
          <w:tblLayout w:type="fixed"/>
          <w:tblCellMar>
            <w:top w:w="0" w:type="dxa"/>
            <w:left w:w="108" w:type="dxa"/>
            <w:bottom w:w="0" w:type="dxa"/>
            <w:right w:w="108" w:type="dxa"/>
          </w:tblCellMar>
        </w:tblPrEx>
        <w:trPr>
          <w:trHeight w:val="1870"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类</w:t>
            </w: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款</w:t>
            </w: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b/>
                <w:color w:val="181717" w:themeColor="background2" w:themeShade="1A"/>
                <w:sz w:val="18"/>
                <w:szCs w:val="18"/>
                <w:highlight w:val="none"/>
              </w:rPr>
            </w:pPr>
            <w:r>
              <w:rPr>
                <w:rFonts w:hint="eastAsia" w:ascii="仿宋_GB2312" w:eastAsia="仿宋_GB2312" w:hAnsiTheme="minorEastAsia"/>
                <w:b/>
                <w:color w:val="181717" w:themeColor="background2" w:themeShade="1A"/>
                <w:sz w:val="18"/>
                <w:szCs w:val="18"/>
                <w:highlight w:val="none"/>
              </w:rPr>
              <w:t>项</w:t>
            </w:r>
          </w:p>
        </w:tc>
        <w:tc>
          <w:tcPr>
            <w:tcW w:w="1868"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820"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756"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680"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680"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680"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680" w:type="dxa"/>
            <w:vMerge w:val="continue"/>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680" w:type="dxa"/>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b/>
                <w:color w:val="181717" w:themeColor="background2" w:themeShade="1A"/>
                <w:sz w:val="18"/>
                <w:szCs w:val="18"/>
                <w:highlight w:val="none"/>
              </w:rPr>
            </w:pPr>
            <w:r>
              <w:rPr>
                <w:rFonts w:hint="eastAsia" w:ascii="仿宋_GB2312" w:eastAsia="仿宋_GB2312" w:cs="宋体" w:hAnsiTheme="minorEastAsia"/>
                <w:b/>
                <w:color w:val="181717" w:themeColor="background2" w:themeShade="1A"/>
                <w:sz w:val="18"/>
                <w:szCs w:val="18"/>
                <w:highlight w:val="none"/>
              </w:rPr>
              <w:t>结转</w:t>
            </w:r>
          </w:p>
        </w:tc>
        <w:tc>
          <w:tcPr>
            <w:tcW w:w="680" w:type="dxa"/>
            <w:tcBorders>
              <w:top w:val="single" w:color="auto" w:sz="4" w:space="0"/>
              <w:left w:val="single" w:color="auto" w:sz="4" w:space="0"/>
              <w:bottom w:val="single" w:color="000000" w:sz="4" w:space="0"/>
              <w:right w:val="single" w:color="auto" w:sz="4" w:space="0"/>
            </w:tcBorders>
            <w:vAlign w:val="center"/>
          </w:tcPr>
          <w:p>
            <w:pPr>
              <w:spacing w:line="300" w:lineRule="auto"/>
              <w:rPr>
                <w:rFonts w:ascii="仿宋_GB2312" w:eastAsia="仿宋_GB2312" w:cs="宋体" w:hAnsiTheme="minorEastAsia"/>
                <w:b/>
                <w:color w:val="181717" w:themeColor="background2" w:themeShade="1A"/>
                <w:sz w:val="18"/>
                <w:szCs w:val="18"/>
                <w:highlight w:val="none"/>
              </w:rPr>
            </w:pPr>
            <w:r>
              <w:rPr>
                <w:rFonts w:hint="eastAsia" w:ascii="仿宋_GB2312" w:eastAsia="仿宋_GB2312" w:cs="宋体" w:hAnsiTheme="minorEastAsia"/>
                <w:b/>
                <w:color w:val="181717" w:themeColor="background2" w:themeShade="1A"/>
                <w:sz w:val="18"/>
                <w:szCs w:val="18"/>
                <w:highlight w:val="none"/>
              </w:rPr>
              <w:t>结余</w:t>
            </w: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201</w:t>
            </w:r>
          </w:p>
        </w:tc>
        <w:tc>
          <w:tcPr>
            <w:tcW w:w="453"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w:t>
            </w:r>
          </w:p>
        </w:tc>
        <w:tc>
          <w:tcPr>
            <w:tcW w:w="1868" w:type="dxa"/>
            <w:tcBorders>
              <w:top w:val="nil"/>
              <w:left w:val="nil"/>
              <w:bottom w:val="single" w:color="auto" w:sz="4" w:space="0"/>
              <w:right w:val="single" w:color="auto" w:sz="4" w:space="0"/>
            </w:tcBorders>
            <w:shd w:val="clear" w:color="auto" w:fill="auto"/>
            <w:vAlign w:val="center"/>
          </w:tcPr>
          <w:p>
            <w:pPr>
              <w:jc w:val="lef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行政运行（群众团体事务）</w:t>
            </w:r>
          </w:p>
        </w:tc>
        <w:tc>
          <w:tcPr>
            <w:tcW w:w="820" w:type="dxa"/>
            <w:tcBorders>
              <w:top w:val="nil"/>
              <w:left w:val="nil"/>
              <w:bottom w:val="single" w:color="auto" w:sz="4" w:space="0"/>
              <w:right w:val="single" w:color="auto" w:sz="4" w:space="0"/>
            </w:tcBorders>
            <w:shd w:val="clear" w:color="000000" w:fill="FFFFFF"/>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60.</w:t>
            </w:r>
            <w:r>
              <w:rPr>
                <w:rFonts w:hint="eastAsia" w:ascii="仿宋_GB2312" w:eastAsia="仿宋_GB2312" w:hAnsiTheme="minorEastAsia"/>
                <w:color w:val="181717" w:themeColor="background2" w:themeShade="1A"/>
                <w:sz w:val="18"/>
                <w:szCs w:val="18"/>
                <w:highlight w:val="none"/>
                <w:lang w:val="en-US" w:eastAsia="zh-CN"/>
              </w:rPr>
              <w:t>73</w:t>
            </w:r>
          </w:p>
        </w:tc>
        <w:tc>
          <w:tcPr>
            <w:tcW w:w="756" w:type="dxa"/>
            <w:tcBorders>
              <w:top w:val="nil"/>
              <w:left w:val="nil"/>
              <w:bottom w:val="single" w:color="auto" w:sz="4" w:space="0"/>
              <w:right w:val="single" w:color="auto" w:sz="4" w:space="0"/>
            </w:tcBorders>
            <w:shd w:val="clear" w:color="000000" w:fill="FFFFFF"/>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60.</w:t>
            </w:r>
            <w:r>
              <w:rPr>
                <w:rFonts w:hint="eastAsia" w:ascii="仿宋_GB2312" w:eastAsia="仿宋_GB2312" w:hAnsiTheme="minorEastAsia"/>
                <w:color w:val="181717" w:themeColor="background2" w:themeShade="1A"/>
                <w:sz w:val="18"/>
                <w:szCs w:val="18"/>
                <w:highlight w:val="none"/>
                <w:lang w:val="en-US" w:eastAsia="zh-CN"/>
              </w:rPr>
              <w:t>73</w:t>
            </w: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000000" w:fill="FFFFFF"/>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53"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29</w:t>
            </w: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99</w:t>
            </w:r>
          </w:p>
        </w:tc>
        <w:tc>
          <w:tcPr>
            <w:tcW w:w="1868" w:type="dxa"/>
            <w:tcBorders>
              <w:top w:val="nil"/>
              <w:left w:val="nil"/>
              <w:bottom w:val="single" w:color="auto" w:sz="4" w:space="0"/>
              <w:right w:val="single" w:color="auto" w:sz="4" w:space="0"/>
            </w:tcBorders>
            <w:shd w:val="clear" w:color="auto" w:fill="auto"/>
            <w:vAlign w:val="center"/>
          </w:tcPr>
          <w:p>
            <w:pPr>
              <w:jc w:val="lef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其他群众团体事务支出</w:t>
            </w:r>
          </w:p>
        </w:tc>
        <w:tc>
          <w:tcPr>
            <w:tcW w:w="820"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3</w:t>
            </w:r>
            <w:r>
              <w:rPr>
                <w:rFonts w:hint="eastAsia" w:ascii="仿宋_GB2312" w:eastAsia="仿宋_GB2312" w:hAnsiTheme="minorEastAsia"/>
                <w:color w:val="181717" w:themeColor="background2" w:themeShade="1A"/>
                <w:sz w:val="18"/>
                <w:szCs w:val="18"/>
                <w:highlight w:val="none"/>
                <w:lang w:val="en-US" w:eastAsia="zh-CN"/>
              </w:rPr>
              <w:t>3.25</w:t>
            </w:r>
          </w:p>
        </w:tc>
        <w:tc>
          <w:tcPr>
            <w:tcW w:w="756"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3</w:t>
            </w:r>
            <w:r>
              <w:rPr>
                <w:rFonts w:hint="eastAsia" w:ascii="仿宋_GB2312" w:eastAsia="仿宋_GB2312" w:hAnsiTheme="minorEastAsia"/>
                <w:color w:val="181717" w:themeColor="background2" w:themeShade="1A"/>
                <w:sz w:val="18"/>
                <w:szCs w:val="18"/>
                <w:highlight w:val="none"/>
                <w:lang w:val="en-US" w:eastAsia="zh-CN"/>
              </w:rPr>
              <w:t>3.25</w:t>
            </w: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p>
        </w:tc>
        <w:tc>
          <w:tcPr>
            <w:tcW w:w="756"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lang w:val="en-US"/>
              </w:rPr>
            </w:pPr>
          </w:p>
        </w:tc>
        <w:tc>
          <w:tcPr>
            <w:tcW w:w="756"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spacing w:line="300" w:lineRule="auto"/>
              <w:rPr>
                <w:rFonts w:ascii="仿宋_GB2312" w:eastAsia="仿宋_GB2312" w:cs="宋体" w:hAnsiTheme="minorEastAsia"/>
                <w:color w:val="181717" w:themeColor="background2" w:themeShade="1A"/>
                <w:sz w:val="18"/>
                <w:szCs w:val="18"/>
                <w:highlight w:val="none"/>
              </w:rPr>
            </w:pPr>
          </w:p>
        </w:tc>
        <w:tc>
          <w:tcPr>
            <w:tcW w:w="82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756"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65" w:hRule="atLeast"/>
          <w:jc w:val="center"/>
        </w:trPr>
        <w:tc>
          <w:tcPr>
            <w:tcW w:w="545" w:type="dxa"/>
            <w:tcBorders>
              <w:top w:val="nil"/>
              <w:left w:val="single" w:color="auto" w:sz="4" w:space="0"/>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3"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454"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1868" w:type="dxa"/>
            <w:tcBorders>
              <w:top w:val="nil"/>
              <w:left w:val="nil"/>
              <w:bottom w:val="single" w:color="auto" w:sz="4" w:space="0"/>
              <w:right w:val="single" w:color="auto" w:sz="4" w:space="0"/>
            </w:tcBorders>
            <w:shd w:val="clear" w:color="auto" w:fill="auto"/>
            <w:vAlign w:val="center"/>
          </w:tcPr>
          <w:p>
            <w:pPr>
              <w:spacing w:line="300" w:lineRule="auto"/>
              <w:jc w:val="center"/>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合计</w:t>
            </w:r>
          </w:p>
        </w:tc>
        <w:tc>
          <w:tcPr>
            <w:tcW w:w="820"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93.98</w:t>
            </w:r>
          </w:p>
        </w:tc>
        <w:tc>
          <w:tcPr>
            <w:tcW w:w="756"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93.98</w:t>
            </w: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c>
          <w:tcPr>
            <w:tcW w:w="680" w:type="dxa"/>
            <w:tcBorders>
              <w:top w:val="nil"/>
              <w:left w:val="nil"/>
              <w:bottom w:val="single" w:color="auto" w:sz="4" w:space="0"/>
              <w:right w:val="single" w:color="auto" w:sz="4" w:space="0"/>
            </w:tcBorders>
            <w:shd w:val="clear" w:color="auto" w:fill="auto"/>
            <w:vAlign w:val="center"/>
          </w:tcPr>
          <w:p>
            <w:pPr>
              <w:spacing w:line="300" w:lineRule="auto"/>
              <w:jc w:val="right"/>
              <w:rPr>
                <w:rFonts w:ascii="仿宋_GB2312" w:eastAsia="仿宋_GB2312" w:cs="宋体" w:hAnsiTheme="minorEastAsia"/>
                <w:color w:val="181717" w:themeColor="background2" w:themeShade="1A"/>
                <w:sz w:val="18"/>
                <w:szCs w:val="18"/>
                <w:highlight w:val="none"/>
              </w:rPr>
            </w:pPr>
          </w:p>
        </w:tc>
      </w:tr>
    </w:tbl>
    <w:p>
      <w:pPr>
        <w:widowControl/>
        <w:spacing w:line="300" w:lineRule="auto"/>
        <w:outlineLvl w:val="1"/>
        <w:rPr>
          <w:rFonts w:ascii="仿宋_GB2312" w:eastAsia="仿宋_GB2312" w:hAnsiTheme="minorEastAsia"/>
          <w:color w:val="181717" w:themeColor="background2" w:themeShade="1A"/>
          <w:kern w:val="0"/>
          <w:sz w:val="18"/>
          <w:szCs w:val="18"/>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表三：</w:t>
      </w:r>
    </w:p>
    <w:p>
      <w:pPr>
        <w:widowControl/>
        <w:spacing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部门支出总体情况表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9229" w:type="dxa"/>
        <w:tblInd w:w="93" w:type="dxa"/>
        <w:tblLayout w:type="fixed"/>
        <w:tblCellMar>
          <w:top w:w="0" w:type="dxa"/>
          <w:left w:w="108" w:type="dxa"/>
          <w:bottom w:w="0" w:type="dxa"/>
          <w:right w:w="108" w:type="dxa"/>
        </w:tblCellMar>
      </w:tblPr>
      <w:tblGrid>
        <w:gridCol w:w="531"/>
        <w:gridCol w:w="457"/>
        <w:gridCol w:w="457"/>
        <w:gridCol w:w="2518"/>
        <w:gridCol w:w="1802"/>
        <w:gridCol w:w="1799"/>
        <w:gridCol w:w="1665"/>
      </w:tblGrid>
      <w:tr>
        <w:tblPrEx>
          <w:tblLayout w:type="fixed"/>
          <w:tblCellMar>
            <w:top w:w="0" w:type="dxa"/>
            <w:left w:w="108" w:type="dxa"/>
            <w:bottom w:w="0" w:type="dxa"/>
            <w:right w:w="108" w:type="dxa"/>
          </w:tblCellMar>
        </w:tblPrEx>
        <w:trPr>
          <w:trHeight w:val="345" w:hRule="atLeast"/>
        </w:trPr>
        <w:tc>
          <w:tcPr>
            <w:tcW w:w="3963"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w:t>
            </w:r>
          </w:p>
        </w:tc>
        <w:tc>
          <w:tcPr>
            <w:tcW w:w="5266"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支出预算</w:t>
            </w:r>
          </w:p>
        </w:tc>
      </w:tr>
      <w:tr>
        <w:tblPrEx>
          <w:tblLayout w:type="fixed"/>
          <w:tblCellMar>
            <w:top w:w="0" w:type="dxa"/>
            <w:left w:w="108" w:type="dxa"/>
            <w:bottom w:w="0" w:type="dxa"/>
            <w:right w:w="108" w:type="dxa"/>
          </w:tblCellMar>
        </w:tblPrEx>
        <w:trPr>
          <w:trHeight w:val="480" w:hRule="atLeast"/>
        </w:trPr>
        <w:tc>
          <w:tcPr>
            <w:tcW w:w="1445"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功能分类科目编码</w:t>
            </w:r>
          </w:p>
        </w:tc>
        <w:tc>
          <w:tcPr>
            <w:tcW w:w="2518"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功能分类科目名称</w:t>
            </w:r>
          </w:p>
        </w:tc>
        <w:tc>
          <w:tcPr>
            <w:tcW w:w="1802"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合计</w:t>
            </w:r>
          </w:p>
        </w:tc>
        <w:tc>
          <w:tcPr>
            <w:tcW w:w="1799"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基本支出</w:t>
            </w:r>
          </w:p>
        </w:tc>
        <w:tc>
          <w:tcPr>
            <w:tcW w:w="1665"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项目支出</w:t>
            </w:r>
          </w:p>
        </w:tc>
      </w:tr>
      <w:tr>
        <w:tblPrEx>
          <w:tblLayout w:type="fixed"/>
          <w:tblCellMar>
            <w:top w:w="0" w:type="dxa"/>
            <w:left w:w="108" w:type="dxa"/>
            <w:bottom w:w="0" w:type="dxa"/>
            <w:right w:w="108" w:type="dxa"/>
          </w:tblCellMar>
        </w:tblPrEx>
        <w:trPr>
          <w:trHeight w:val="270"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类</w:t>
            </w: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款</w:t>
            </w: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w:t>
            </w:r>
          </w:p>
        </w:tc>
        <w:tc>
          <w:tcPr>
            <w:tcW w:w="2518"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799"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665"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w:t>
            </w:r>
          </w:p>
        </w:tc>
        <w:tc>
          <w:tcPr>
            <w:tcW w:w="251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行政运行（群众团体事务）</w:t>
            </w:r>
          </w:p>
        </w:tc>
        <w:tc>
          <w:tcPr>
            <w:tcW w:w="1802"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799"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665"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99</w:t>
            </w:r>
          </w:p>
        </w:tc>
        <w:tc>
          <w:tcPr>
            <w:tcW w:w="251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其他群众团体事务支出</w:t>
            </w:r>
          </w:p>
        </w:tc>
        <w:tc>
          <w:tcPr>
            <w:tcW w:w="1802"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33.25</w:t>
            </w:r>
          </w:p>
        </w:tc>
        <w:tc>
          <w:tcPr>
            <w:tcW w:w="1799"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b/>
                <w:bCs/>
                <w:color w:val="181717" w:themeColor="background2" w:themeShade="1A"/>
                <w:kern w:val="0"/>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33.25</w:t>
            </w: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80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9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05" w:hRule="atLeast"/>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2518"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合计</w:t>
            </w:r>
          </w:p>
        </w:tc>
        <w:tc>
          <w:tcPr>
            <w:tcW w:w="1802"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93.98</w:t>
            </w:r>
          </w:p>
        </w:tc>
        <w:tc>
          <w:tcPr>
            <w:tcW w:w="1799"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665"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33.25</w:t>
            </w:r>
          </w:p>
        </w:tc>
      </w:tr>
    </w:tbl>
    <w:p>
      <w:pPr>
        <w:widowControl/>
        <w:spacing w:before="120" w:beforeLines="50" w:line="300" w:lineRule="auto"/>
        <w:outlineLvl w:val="1"/>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spacing w:before="120" w:beforeLines="50" w:line="300" w:lineRule="auto"/>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表四：</w:t>
      </w:r>
    </w:p>
    <w:p>
      <w:pPr>
        <w:widowControl/>
        <w:spacing w:before="120" w:beforeLines="50"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财政拨款收支预算总体情况表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9229" w:type="dxa"/>
        <w:jc w:val="center"/>
        <w:tblInd w:w="93" w:type="dxa"/>
        <w:tblLayout w:type="fixed"/>
        <w:tblCellMar>
          <w:top w:w="0" w:type="dxa"/>
          <w:left w:w="108" w:type="dxa"/>
          <w:bottom w:w="0" w:type="dxa"/>
          <w:right w:w="108" w:type="dxa"/>
        </w:tblCellMar>
      </w:tblPr>
      <w:tblGrid>
        <w:gridCol w:w="1858"/>
        <w:gridCol w:w="992"/>
        <w:gridCol w:w="2250"/>
        <w:gridCol w:w="1294"/>
        <w:gridCol w:w="1418"/>
        <w:gridCol w:w="1417"/>
      </w:tblGrid>
      <w:tr>
        <w:tblPrEx>
          <w:tblLayout w:type="fixed"/>
          <w:tblCellMar>
            <w:top w:w="0" w:type="dxa"/>
            <w:left w:w="108" w:type="dxa"/>
            <w:bottom w:w="0" w:type="dxa"/>
            <w:right w:w="108" w:type="dxa"/>
          </w:tblCellMar>
        </w:tblPrEx>
        <w:trPr>
          <w:trHeight w:val="285" w:hRule="atLeast"/>
          <w:jc w:val="center"/>
        </w:trPr>
        <w:tc>
          <w:tcPr>
            <w:tcW w:w="2850" w:type="dxa"/>
            <w:gridSpan w:val="2"/>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财政拨款收入</w:t>
            </w:r>
          </w:p>
        </w:tc>
        <w:tc>
          <w:tcPr>
            <w:tcW w:w="6379" w:type="dxa"/>
            <w:gridSpan w:val="4"/>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财政拨款支出</w:t>
            </w:r>
          </w:p>
        </w:tc>
      </w:tr>
      <w:tr>
        <w:tblPrEx>
          <w:tblLayout w:type="fixed"/>
          <w:tblCellMar>
            <w:top w:w="0" w:type="dxa"/>
            <w:left w:w="108" w:type="dxa"/>
            <w:bottom w:w="0" w:type="dxa"/>
            <w:right w:w="108" w:type="dxa"/>
          </w:tblCellMar>
        </w:tblPrEx>
        <w:trPr>
          <w:trHeight w:val="465" w:hRule="atLeas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项    目</w:t>
            </w: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合计</w:t>
            </w: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功  能  分  类</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合计</w:t>
            </w: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一般公共预算</w:t>
            </w: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color w:val="181717" w:themeColor="background2" w:themeShade="1A"/>
                <w:kern w:val="0"/>
                <w:sz w:val="18"/>
                <w:szCs w:val="18"/>
                <w:highlight w:val="none"/>
              </w:rPr>
            </w:pPr>
            <w:r>
              <w:rPr>
                <w:rFonts w:hint="eastAsia" w:ascii="仿宋_GB2312" w:eastAsia="仿宋_GB2312" w:cs="宋体" w:hAnsiTheme="minorEastAsia"/>
                <w:b/>
                <w:color w:val="181717" w:themeColor="background2" w:themeShade="1A"/>
                <w:kern w:val="0"/>
                <w:sz w:val="18"/>
                <w:szCs w:val="18"/>
                <w:highlight w:val="none"/>
              </w:rPr>
              <w:t>政府性基金预算</w:t>
            </w: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财政拨款（补助）</w:t>
            </w:r>
          </w:p>
        </w:tc>
        <w:tc>
          <w:tcPr>
            <w:tcW w:w="992" w:type="dxa"/>
            <w:tcBorders>
              <w:top w:val="nil"/>
              <w:left w:val="nil"/>
              <w:bottom w:val="single" w:color="auto" w:sz="4" w:space="0"/>
              <w:right w:val="single" w:color="auto" w:sz="4" w:space="0"/>
            </w:tcBorders>
            <w:shd w:val="clear" w:color="auto" w:fill="auto"/>
            <w:vAlign w:val="center"/>
          </w:tcPr>
          <w:p>
            <w:pPr>
              <w:jc w:val="right"/>
              <w:rPr>
                <w:rFonts w:hint="eastAsia" w:ascii="仿宋_GB2312" w:hAnsi="宋体" w:eastAsia="仿宋_GB2312" w:cs="宋体"/>
                <w:color w:val="181717" w:themeColor="background2" w:themeShade="1A"/>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201 一般公共服务支出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一般公共预算</w:t>
            </w:r>
          </w:p>
        </w:tc>
        <w:tc>
          <w:tcPr>
            <w:tcW w:w="992" w:type="dxa"/>
            <w:tcBorders>
              <w:top w:val="nil"/>
              <w:left w:val="nil"/>
              <w:bottom w:val="single" w:color="auto" w:sz="4" w:space="0"/>
              <w:right w:val="single" w:color="auto" w:sz="4" w:space="0"/>
            </w:tcBorders>
            <w:shd w:val="clear" w:color="auto" w:fill="auto"/>
            <w:vAlign w:val="center"/>
          </w:tcPr>
          <w:p>
            <w:pPr>
              <w:jc w:val="right"/>
              <w:rPr>
                <w:rFonts w:hint="eastAsia" w:ascii="仿宋_GB2312" w:hAnsi="宋体" w:eastAsia="仿宋_GB2312" w:cs="宋体"/>
                <w:color w:val="181717" w:themeColor="background2" w:themeShade="1A"/>
                <w:sz w:val="18"/>
                <w:szCs w:val="18"/>
                <w:highlight w:val="none"/>
                <w:lang w:val="en-US" w:eastAsia="zh-CN"/>
              </w:rPr>
            </w:pPr>
            <w:r>
              <w:rPr>
                <w:rFonts w:hint="eastAsia" w:ascii="仿宋_GB2312" w:hAnsi="宋体" w:eastAsia="仿宋_GB2312" w:cs="宋体"/>
                <w:color w:val="181717" w:themeColor="background2" w:themeShade="1A"/>
                <w:sz w:val="18"/>
                <w:szCs w:val="18"/>
                <w:highlight w:val="none"/>
                <w:lang w:val="en-US" w:eastAsia="zh-CN"/>
              </w:rPr>
              <w:t>93.98</w:t>
            </w: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202 外交支出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政府性基金预算</w:t>
            </w: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203 国防支出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204 公共安全支出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205 教育支出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206 科学技术支出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207 文化体育与传媒支出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208 社会保障和就业支出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jc w:val="right"/>
              <w:rPr>
                <w:rFonts w:ascii="仿宋_GB2312" w:hAnsi="宋体" w:eastAsia="仿宋_GB2312" w:cs="宋体"/>
                <w:color w:val="181717" w:themeColor="background2" w:themeShade="1A"/>
                <w:sz w:val="18"/>
                <w:szCs w:val="18"/>
                <w:highlight w:val="none"/>
              </w:rPr>
            </w:pPr>
          </w:p>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209 社会保险基金支出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210 医疗卫生与计划生育支出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211 节能环保支出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212 城乡社区支出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213 农林水支出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214 交通运输支出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215 资源勘探信息等支出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216 商业服务业等支出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217 金融支出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219 援助其他地区支出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220 国土资源气象等支出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221 住房保障支出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222 粮油物资管理支出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223 国有资本经营预算支出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227 预备费</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229 其他支出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231 债务还本支出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232 债务付息支出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bottom"/>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233 债务发行费支出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小       计</w:t>
            </w: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小           计</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s="宋体" w:hAnsiTheme="minorEastAsia"/>
                <w:color w:val="181717" w:themeColor="background2" w:themeShade="1A"/>
                <w:kern w:val="0"/>
                <w:sz w:val="18"/>
                <w:szCs w:val="18"/>
                <w:highlight w:val="none"/>
                <w:lang w:val="en-US" w:eastAsia="zh-CN"/>
              </w:rPr>
              <w:t>93.98</w:t>
            </w: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color w:val="181717" w:themeColor="background2" w:themeShade="1A"/>
                <w:kern w:val="0"/>
                <w:sz w:val="18"/>
                <w:szCs w:val="18"/>
                <w:highlight w:val="none"/>
              </w:rPr>
            </w:pP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230 转移性支出</w:t>
            </w:r>
          </w:p>
        </w:tc>
        <w:tc>
          <w:tcPr>
            <w:tcW w:w="129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312" w:hRule="exact"/>
          <w:jc w:val="center"/>
        </w:trPr>
        <w:tc>
          <w:tcPr>
            <w:tcW w:w="18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收  入  总  计</w:t>
            </w: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hint="eastAsia" w:ascii="仿宋_GB2312" w:eastAsia="仿宋_GB2312" w:cs="宋体" w:hAnsiTheme="minorEastAsia"/>
                <w:color w:val="181717" w:themeColor="background2" w:themeShade="1A"/>
                <w:kern w:val="0"/>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2250"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支  出  总  计</w:t>
            </w:r>
          </w:p>
        </w:tc>
        <w:tc>
          <w:tcPr>
            <w:tcW w:w="1294" w:type="dxa"/>
            <w:tcBorders>
              <w:top w:val="nil"/>
              <w:left w:val="nil"/>
              <w:bottom w:val="single" w:color="auto" w:sz="4" w:space="0"/>
              <w:right w:val="single" w:color="auto" w:sz="4" w:space="0"/>
            </w:tcBorders>
            <w:shd w:val="clear" w:color="auto" w:fill="auto"/>
          </w:tcPr>
          <w:p>
            <w:pPr>
              <w:jc w:val="right"/>
              <w:rPr>
                <w:rFonts w:hint="eastAsia" w:ascii="仿宋_GB2312" w:eastAsia="仿宋_GB2312"/>
                <w:color w:val="181717" w:themeColor="background2" w:themeShade="1A"/>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1418" w:type="dxa"/>
            <w:tcBorders>
              <w:top w:val="nil"/>
              <w:left w:val="nil"/>
              <w:bottom w:val="single" w:color="auto" w:sz="4" w:space="0"/>
              <w:right w:val="single" w:color="auto" w:sz="4" w:space="0"/>
            </w:tcBorders>
            <w:shd w:val="clear" w:color="auto" w:fill="auto"/>
          </w:tcPr>
          <w:p>
            <w:pPr>
              <w:jc w:val="right"/>
              <w:rPr>
                <w:rFonts w:hint="eastAsia" w:ascii="仿宋_GB2312" w:eastAsia="仿宋_GB2312"/>
                <w:color w:val="181717" w:themeColor="background2" w:themeShade="1A"/>
                <w:sz w:val="18"/>
                <w:szCs w:val="18"/>
                <w:highlight w:val="none"/>
                <w:lang w:val="en-US" w:eastAsia="zh-CN"/>
              </w:rPr>
            </w:pPr>
            <w:r>
              <w:rPr>
                <w:rFonts w:hint="eastAsia" w:ascii="仿宋_GB2312" w:eastAsia="仿宋_GB2312"/>
                <w:color w:val="181717" w:themeColor="background2" w:themeShade="1A"/>
                <w:sz w:val="18"/>
                <w:szCs w:val="18"/>
                <w:highlight w:val="none"/>
                <w:lang w:val="en-US" w:eastAsia="zh-CN"/>
              </w:rPr>
              <w:t>93.98</w:t>
            </w: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bl>
    <w:p>
      <w:pPr>
        <w:widowControl/>
        <w:spacing w:line="300" w:lineRule="auto"/>
        <w:jc w:val="left"/>
        <w:outlineLvl w:val="1"/>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spacing w:line="300" w:lineRule="auto"/>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表五：</w:t>
      </w:r>
    </w:p>
    <w:tbl>
      <w:tblPr>
        <w:tblStyle w:val="13"/>
        <w:tblW w:w="9144" w:type="dxa"/>
        <w:jc w:val="center"/>
        <w:tblInd w:w="93" w:type="dxa"/>
        <w:tblLayout w:type="fixed"/>
        <w:tblCellMar>
          <w:top w:w="0" w:type="dxa"/>
          <w:left w:w="108" w:type="dxa"/>
          <w:bottom w:w="0" w:type="dxa"/>
          <w:right w:w="108" w:type="dxa"/>
        </w:tblCellMar>
      </w:tblPr>
      <w:tblGrid>
        <w:gridCol w:w="531"/>
        <w:gridCol w:w="492"/>
        <w:gridCol w:w="457"/>
        <w:gridCol w:w="2505"/>
        <w:gridCol w:w="1684"/>
        <w:gridCol w:w="1827"/>
        <w:gridCol w:w="1648"/>
      </w:tblGrid>
      <w:tr>
        <w:tblPrEx>
          <w:tblLayout w:type="fixed"/>
          <w:tblCellMar>
            <w:top w:w="0" w:type="dxa"/>
            <w:left w:w="108" w:type="dxa"/>
            <w:bottom w:w="0" w:type="dxa"/>
            <w:right w:w="108" w:type="dxa"/>
          </w:tblCellMar>
        </w:tblPrEx>
        <w:trPr>
          <w:trHeight w:val="450" w:hRule="atLeast"/>
          <w:jc w:val="center"/>
        </w:trPr>
        <w:tc>
          <w:tcPr>
            <w:tcW w:w="9144" w:type="dxa"/>
            <w:gridSpan w:val="7"/>
            <w:tcBorders>
              <w:top w:val="nil"/>
              <w:left w:val="nil"/>
              <w:bottom w:val="nil"/>
              <w:right w:val="nil"/>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32"/>
                <w:szCs w:val="32"/>
                <w:highlight w:val="none"/>
              </w:rPr>
            </w:pPr>
            <w:r>
              <w:rPr>
                <w:rFonts w:hint="eastAsia" w:ascii="仿宋_GB2312" w:eastAsia="仿宋_GB2312" w:cs="宋体" w:hAnsiTheme="minorEastAsia"/>
                <w:b/>
                <w:bCs/>
                <w:color w:val="181717" w:themeColor="background2" w:themeShade="1A"/>
                <w:kern w:val="0"/>
                <w:sz w:val="32"/>
                <w:szCs w:val="32"/>
                <w:highlight w:val="none"/>
              </w:rPr>
              <w:t>一般公共预算支出情况表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c>
      </w:tr>
      <w:tr>
        <w:tblPrEx>
          <w:tblLayout w:type="fixed"/>
          <w:tblCellMar>
            <w:top w:w="0" w:type="dxa"/>
            <w:left w:w="108" w:type="dxa"/>
            <w:bottom w:w="0" w:type="dxa"/>
            <w:right w:w="108" w:type="dxa"/>
          </w:tblCellMar>
        </w:tblPrEx>
        <w:trPr>
          <w:trHeight w:val="405" w:hRule="atLeast"/>
          <w:jc w:val="center"/>
        </w:trPr>
        <w:tc>
          <w:tcPr>
            <w:tcW w:w="3985" w:type="dxa"/>
            <w:gridSpan w:val="4"/>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w:t>
            </w:r>
          </w:p>
        </w:tc>
        <w:tc>
          <w:tcPr>
            <w:tcW w:w="5159"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一般公共预算支出</w:t>
            </w:r>
          </w:p>
        </w:tc>
      </w:tr>
      <w:tr>
        <w:tblPrEx>
          <w:tblLayout w:type="fixed"/>
          <w:tblCellMar>
            <w:top w:w="0" w:type="dxa"/>
            <w:left w:w="108" w:type="dxa"/>
            <w:bottom w:w="0" w:type="dxa"/>
            <w:right w:w="108" w:type="dxa"/>
          </w:tblCellMar>
        </w:tblPrEx>
        <w:trPr>
          <w:trHeight w:val="465" w:hRule="atLeast"/>
          <w:jc w:val="center"/>
        </w:trPr>
        <w:tc>
          <w:tcPr>
            <w:tcW w:w="1480" w:type="dxa"/>
            <w:gridSpan w:val="3"/>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功能分类科目编码</w:t>
            </w:r>
          </w:p>
        </w:tc>
        <w:tc>
          <w:tcPr>
            <w:tcW w:w="2505"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功能分类科目名称</w:t>
            </w:r>
          </w:p>
        </w:tc>
        <w:tc>
          <w:tcPr>
            <w:tcW w:w="1684"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小计</w:t>
            </w:r>
          </w:p>
        </w:tc>
        <w:tc>
          <w:tcPr>
            <w:tcW w:w="1827"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基本支出</w:t>
            </w:r>
          </w:p>
        </w:tc>
        <w:tc>
          <w:tcPr>
            <w:tcW w:w="1648"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项目支出</w:t>
            </w:r>
          </w:p>
        </w:tc>
      </w:tr>
      <w:tr>
        <w:tblPrEx>
          <w:tblLayout w:type="fixed"/>
          <w:tblCellMar>
            <w:top w:w="0" w:type="dxa"/>
            <w:left w:w="108" w:type="dxa"/>
            <w:bottom w:w="0" w:type="dxa"/>
            <w:right w:w="108" w:type="dxa"/>
          </w:tblCellMar>
        </w:tblPrEx>
        <w:trPr>
          <w:trHeight w:val="30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类</w:t>
            </w: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款</w:t>
            </w: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w:t>
            </w:r>
          </w:p>
        </w:tc>
        <w:tc>
          <w:tcPr>
            <w:tcW w:w="2505"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684"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827"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648"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92"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w:t>
            </w:r>
          </w:p>
        </w:tc>
        <w:tc>
          <w:tcPr>
            <w:tcW w:w="250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行政运行（群众团体事务）</w:t>
            </w:r>
          </w:p>
        </w:tc>
        <w:tc>
          <w:tcPr>
            <w:tcW w:w="168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82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648"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92"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99</w:t>
            </w:r>
          </w:p>
        </w:tc>
        <w:tc>
          <w:tcPr>
            <w:tcW w:w="250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其他群众团体事务支出</w:t>
            </w:r>
          </w:p>
        </w:tc>
        <w:tc>
          <w:tcPr>
            <w:tcW w:w="168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33.25</w:t>
            </w:r>
          </w:p>
        </w:tc>
        <w:tc>
          <w:tcPr>
            <w:tcW w:w="182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33.25</w:t>
            </w: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jc w:val="center"/>
              <w:rPr>
                <w:rFonts w:ascii="仿宋_GB2312" w:eastAsia="仿宋_GB2312" w:cs="宋体" w:hAnsiTheme="minorEastAsia"/>
                <w:color w:val="181717" w:themeColor="background2" w:themeShade="1A"/>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9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684"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82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450" w:hRule="atLeast"/>
          <w:jc w:val="center"/>
        </w:trPr>
        <w:tc>
          <w:tcPr>
            <w:tcW w:w="531"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92"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505"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合计</w:t>
            </w:r>
          </w:p>
        </w:tc>
        <w:tc>
          <w:tcPr>
            <w:tcW w:w="1684"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93.98</w:t>
            </w:r>
          </w:p>
        </w:tc>
        <w:tc>
          <w:tcPr>
            <w:tcW w:w="1827"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cs="宋体" w:hAnsiTheme="minorEastAsia"/>
                <w:color w:val="181717" w:themeColor="background2" w:themeShade="1A"/>
                <w:sz w:val="18"/>
                <w:szCs w:val="18"/>
                <w:highlight w:val="none"/>
                <w:lang w:val="en-US" w:eastAsia="zh-CN"/>
              </w:rPr>
              <w:t>60.73</w:t>
            </w:r>
          </w:p>
        </w:tc>
        <w:tc>
          <w:tcPr>
            <w:tcW w:w="164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hAnsiTheme="minorEastAsia"/>
                <w:color w:val="181717" w:themeColor="background2" w:themeShade="1A"/>
                <w:sz w:val="18"/>
                <w:szCs w:val="18"/>
                <w:highlight w:val="none"/>
                <w:lang w:val="en-US" w:eastAsia="zh-CN"/>
              </w:rPr>
              <w:t>33.25</w:t>
            </w:r>
          </w:p>
        </w:tc>
      </w:tr>
    </w:tbl>
    <w:p>
      <w:pPr>
        <w:widowControl/>
        <w:spacing w:line="300" w:lineRule="auto"/>
        <w:jc w:val="left"/>
        <w:outlineLvl w:val="1"/>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spacing w:line="300" w:lineRule="auto"/>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表六：</w:t>
      </w:r>
    </w:p>
    <w:tbl>
      <w:tblPr>
        <w:tblStyle w:val="13"/>
        <w:tblW w:w="10788" w:type="dxa"/>
        <w:tblInd w:w="0" w:type="dxa"/>
        <w:tblLayout w:type="fixed"/>
        <w:tblCellMar>
          <w:top w:w="0" w:type="dxa"/>
          <w:left w:w="108" w:type="dxa"/>
          <w:bottom w:w="0" w:type="dxa"/>
          <w:right w:w="108" w:type="dxa"/>
        </w:tblCellMar>
      </w:tblPr>
      <w:tblGrid>
        <w:gridCol w:w="576"/>
        <w:gridCol w:w="577"/>
        <w:gridCol w:w="2891"/>
        <w:gridCol w:w="1701"/>
        <w:gridCol w:w="1701"/>
        <w:gridCol w:w="1641"/>
        <w:gridCol w:w="1701"/>
      </w:tblGrid>
      <w:tr>
        <w:tblPrEx>
          <w:tblLayout w:type="fixed"/>
          <w:tblCellMar>
            <w:top w:w="0" w:type="dxa"/>
            <w:left w:w="108" w:type="dxa"/>
            <w:bottom w:w="0" w:type="dxa"/>
            <w:right w:w="108" w:type="dxa"/>
          </w:tblCellMar>
        </w:tblPrEx>
        <w:trPr>
          <w:gridAfter w:val="1"/>
          <w:wAfter w:w="1701" w:type="dxa"/>
          <w:trHeight w:val="375" w:hRule="atLeast"/>
        </w:trPr>
        <w:tc>
          <w:tcPr>
            <w:tcW w:w="9087" w:type="dxa"/>
            <w:gridSpan w:val="6"/>
            <w:tcBorders>
              <w:top w:val="nil"/>
              <w:left w:val="nil"/>
              <w:bottom w:val="nil"/>
              <w:right w:val="nil"/>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32"/>
                <w:szCs w:val="32"/>
                <w:highlight w:val="none"/>
              </w:rPr>
            </w:pPr>
            <w:r>
              <w:rPr>
                <w:rFonts w:hint="eastAsia" w:ascii="仿宋_GB2312" w:eastAsia="仿宋_GB2312" w:cs="宋体" w:hAnsiTheme="minorEastAsia"/>
                <w:b/>
                <w:bCs/>
                <w:color w:val="181717" w:themeColor="background2" w:themeShade="1A"/>
                <w:kern w:val="0"/>
                <w:sz w:val="32"/>
                <w:szCs w:val="32"/>
                <w:highlight w:val="none"/>
              </w:rPr>
              <w:t>一般公共预算基本支出情况表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c>
      </w:tr>
      <w:tr>
        <w:tblPrEx>
          <w:tblLayout w:type="fixed"/>
          <w:tblCellMar>
            <w:top w:w="0" w:type="dxa"/>
            <w:left w:w="108" w:type="dxa"/>
            <w:bottom w:w="0" w:type="dxa"/>
            <w:right w:w="108" w:type="dxa"/>
          </w:tblCellMar>
        </w:tblPrEx>
        <w:trPr>
          <w:gridAfter w:val="1"/>
          <w:wAfter w:w="1701" w:type="dxa"/>
          <w:trHeight w:val="390" w:hRule="atLeast"/>
        </w:trPr>
        <w:tc>
          <w:tcPr>
            <w:tcW w:w="4044" w:type="dxa"/>
            <w:gridSpan w:val="3"/>
            <w:tcBorders>
              <w:top w:val="single" w:color="auto" w:sz="4" w:space="0"/>
              <w:left w:val="single" w:color="auto" w:sz="4" w:space="0"/>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w:t>
            </w:r>
          </w:p>
        </w:tc>
        <w:tc>
          <w:tcPr>
            <w:tcW w:w="5043"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一般公共预算基本支出</w:t>
            </w:r>
          </w:p>
        </w:tc>
      </w:tr>
      <w:tr>
        <w:tblPrEx>
          <w:tblLayout w:type="fixed"/>
          <w:tblCellMar>
            <w:top w:w="0" w:type="dxa"/>
            <w:left w:w="108" w:type="dxa"/>
            <w:bottom w:w="0" w:type="dxa"/>
            <w:right w:w="108" w:type="dxa"/>
          </w:tblCellMar>
        </w:tblPrEx>
        <w:trPr>
          <w:gridAfter w:val="1"/>
          <w:wAfter w:w="1701" w:type="dxa"/>
          <w:trHeight w:val="495" w:hRule="atLeast"/>
        </w:trPr>
        <w:tc>
          <w:tcPr>
            <w:tcW w:w="1153" w:type="dxa"/>
            <w:gridSpan w:val="2"/>
            <w:tcBorders>
              <w:top w:val="single" w:color="auto" w:sz="4" w:space="0"/>
              <w:left w:val="single" w:color="auto" w:sz="4" w:space="0"/>
              <w:bottom w:val="single" w:color="auto" w:sz="4" w:space="0"/>
              <w:right w:val="nil"/>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经济分类科目编码</w:t>
            </w:r>
          </w:p>
        </w:tc>
        <w:tc>
          <w:tcPr>
            <w:tcW w:w="2891"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经济分类科目名称</w:t>
            </w:r>
          </w:p>
        </w:tc>
        <w:tc>
          <w:tcPr>
            <w:tcW w:w="1701"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小计</w:t>
            </w:r>
          </w:p>
        </w:tc>
        <w:tc>
          <w:tcPr>
            <w:tcW w:w="1701"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人员经费</w:t>
            </w:r>
          </w:p>
        </w:tc>
        <w:tc>
          <w:tcPr>
            <w:tcW w:w="1641"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公用经费</w:t>
            </w:r>
          </w:p>
        </w:tc>
      </w:tr>
      <w:tr>
        <w:tblPrEx>
          <w:tblLayout w:type="fixed"/>
          <w:tblCellMar>
            <w:top w:w="0" w:type="dxa"/>
            <w:left w:w="108" w:type="dxa"/>
            <w:bottom w:w="0" w:type="dxa"/>
            <w:right w:w="108" w:type="dxa"/>
          </w:tblCellMar>
        </w:tblPrEx>
        <w:trPr>
          <w:gridAfter w:val="1"/>
          <w:wAfter w:w="1701" w:type="dxa"/>
          <w:trHeight w:val="270"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类</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款</w:t>
            </w:r>
          </w:p>
        </w:tc>
        <w:tc>
          <w:tcPr>
            <w:tcW w:w="2891"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701"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701"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641"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01</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基本工资</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10.44</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10.44</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02</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津贴补助</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14.</w:t>
            </w:r>
            <w:r>
              <w:rPr>
                <w:rFonts w:hint="eastAsia" w:ascii="仿宋_GB2312" w:eastAsia="仿宋_GB2312" w:hAnsiTheme="minorEastAsia"/>
                <w:color w:val="181717" w:themeColor="background2" w:themeShade="1A"/>
                <w:sz w:val="18"/>
                <w:szCs w:val="18"/>
                <w:highlight w:val="none"/>
                <w:lang w:val="en-US" w:eastAsia="zh-CN"/>
              </w:rPr>
              <w:t>6</w:t>
            </w:r>
            <w:r>
              <w:rPr>
                <w:rFonts w:hint="eastAsia" w:ascii="仿宋_GB2312" w:eastAsia="仿宋_GB2312" w:hAnsiTheme="minorEastAsia"/>
                <w:color w:val="181717" w:themeColor="background2" w:themeShade="1A"/>
                <w:sz w:val="18"/>
                <w:szCs w:val="18"/>
                <w:highlight w:val="none"/>
              </w:rPr>
              <w:t>4</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14.</w:t>
            </w:r>
            <w:r>
              <w:rPr>
                <w:rFonts w:hint="eastAsia" w:ascii="仿宋_GB2312" w:eastAsia="仿宋_GB2312" w:hAnsiTheme="minorEastAsia"/>
                <w:color w:val="181717" w:themeColor="background2" w:themeShade="1A"/>
                <w:sz w:val="18"/>
                <w:szCs w:val="18"/>
                <w:highlight w:val="none"/>
                <w:lang w:val="en-US" w:eastAsia="zh-CN"/>
              </w:rPr>
              <w:t>6</w:t>
            </w:r>
            <w:r>
              <w:rPr>
                <w:rFonts w:hint="eastAsia" w:ascii="仿宋_GB2312" w:eastAsia="仿宋_GB2312" w:hAnsiTheme="minorEastAsia"/>
                <w:color w:val="181717" w:themeColor="background2" w:themeShade="1A"/>
                <w:sz w:val="18"/>
                <w:szCs w:val="18"/>
                <w:highlight w:val="none"/>
              </w:rPr>
              <w:t>4</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03</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奖金</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0.87</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0.87</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08</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机关事业单位基本养老保险缴费</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10.33</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10.33</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12</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其他社会保障缴费</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0.74</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0.74</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13</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住房公积金</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3.98</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3.98</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301</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99</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其他工资福利支出</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0.10</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w:t>
            </w:r>
            <w:r>
              <w:rPr>
                <w:rFonts w:hint="eastAsia" w:ascii="仿宋_GB2312" w:eastAsia="仿宋_GB2312" w:hAnsiTheme="minorEastAsia"/>
                <w:color w:val="181717" w:themeColor="background2" w:themeShade="1A"/>
                <w:sz w:val="18"/>
                <w:szCs w:val="18"/>
                <w:highlight w:val="none"/>
                <w:lang w:val="en-US" w:eastAsia="zh-CN"/>
              </w:rPr>
              <w:t>10</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01</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办公费</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0.34</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0.34</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11</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差旅费</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0.63</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0.63</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13</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维修(护)费(含其他维修)</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0.08</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0.08</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16</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培训费</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eastAsia="zh-CN"/>
              </w:rPr>
            </w:pPr>
            <w:r>
              <w:rPr>
                <w:rFonts w:hint="eastAsia" w:ascii="仿宋_GB2312" w:eastAsia="仿宋_GB2312" w:hAnsiTheme="minorEastAsia"/>
                <w:color w:val="181717" w:themeColor="background2" w:themeShade="1A"/>
                <w:sz w:val="18"/>
                <w:szCs w:val="18"/>
                <w:highlight w:val="none"/>
              </w:rPr>
              <w:t>0.2</w:t>
            </w:r>
            <w:r>
              <w:rPr>
                <w:rFonts w:hint="eastAsia" w:ascii="仿宋_GB2312" w:eastAsia="仿宋_GB2312" w:hAnsiTheme="minorEastAsia"/>
                <w:color w:val="181717" w:themeColor="background2" w:themeShade="1A"/>
                <w:sz w:val="18"/>
                <w:szCs w:val="18"/>
                <w:highlight w:val="none"/>
                <w:lang w:val="en-US" w:eastAsia="zh-CN"/>
              </w:rPr>
              <w:t>2</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0.2</w:t>
            </w:r>
            <w:r>
              <w:rPr>
                <w:rFonts w:hint="eastAsia" w:ascii="仿宋_GB2312" w:eastAsia="仿宋_GB2312" w:hAnsiTheme="minorEastAsia"/>
                <w:color w:val="181717" w:themeColor="background2" w:themeShade="1A"/>
                <w:sz w:val="18"/>
                <w:szCs w:val="18"/>
                <w:highlight w:val="none"/>
                <w:lang w:val="en-US" w:eastAsia="zh-CN"/>
              </w:rPr>
              <w:t>2</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17</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公务接待费</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0.01</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0.01</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28</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工会经费</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eastAsia="zh-CN"/>
              </w:rPr>
            </w:pPr>
            <w:r>
              <w:rPr>
                <w:rFonts w:hint="eastAsia" w:ascii="仿宋_GB2312" w:eastAsia="仿宋_GB2312" w:hAnsiTheme="minorEastAsia"/>
                <w:color w:val="181717" w:themeColor="background2" w:themeShade="1A"/>
                <w:sz w:val="18"/>
                <w:szCs w:val="18"/>
                <w:highlight w:val="none"/>
              </w:rPr>
              <w:t>0.1</w:t>
            </w:r>
            <w:r>
              <w:rPr>
                <w:rFonts w:hint="eastAsia" w:ascii="仿宋_GB2312" w:eastAsia="仿宋_GB2312" w:hAnsiTheme="minorEastAsia"/>
                <w:color w:val="181717" w:themeColor="background2" w:themeShade="1A"/>
                <w:sz w:val="18"/>
                <w:szCs w:val="18"/>
                <w:highlight w:val="none"/>
                <w:lang w:val="en-US" w:eastAsia="zh-CN"/>
              </w:rPr>
              <w:t>4</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0.1</w:t>
            </w:r>
            <w:r>
              <w:rPr>
                <w:rFonts w:hint="eastAsia" w:ascii="仿宋_GB2312" w:eastAsia="仿宋_GB2312" w:hAnsiTheme="minorEastAsia"/>
                <w:color w:val="181717" w:themeColor="background2" w:themeShade="1A"/>
                <w:sz w:val="18"/>
                <w:szCs w:val="18"/>
                <w:highlight w:val="none"/>
                <w:lang w:val="en-US" w:eastAsia="zh-CN"/>
              </w:rPr>
              <w:t>4</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29</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福利费</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w:t>
            </w:r>
            <w:r>
              <w:rPr>
                <w:rFonts w:hint="eastAsia" w:ascii="仿宋_GB2312" w:eastAsia="仿宋_GB2312" w:hAnsiTheme="minorEastAsia"/>
                <w:color w:val="181717" w:themeColor="background2" w:themeShade="1A"/>
                <w:sz w:val="18"/>
                <w:szCs w:val="18"/>
                <w:highlight w:val="none"/>
                <w:lang w:val="en-US" w:eastAsia="zh-CN"/>
              </w:rPr>
              <w:t>61</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w:t>
            </w:r>
            <w:r>
              <w:rPr>
                <w:rFonts w:hint="eastAsia" w:ascii="仿宋_GB2312" w:eastAsia="仿宋_GB2312" w:hAnsiTheme="minorEastAsia"/>
                <w:color w:val="181717" w:themeColor="background2" w:themeShade="1A"/>
                <w:sz w:val="18"/>
                <w:szCs w:val="18"/>
                <w:highlight w:val="none"/>
                <w:lang w:val="en-US" w:eastAsia="zh-CN"/>
              </w:rPr>
              <w:t>61</w:t>
            </w:r>
          </w:p>
        </w:tc>
      </w:tr>
      <w:tr>
        <w:tblPrEx>
          <w:tblLayout w:type="fixed"/>
          <w:tblCellMar>
            <w:top w:w="0" w:type="dxa"/>
            <w:left w:w="108" w:type="dxa"/>
            <w:bottom w:w="0" w:type="dxa"/>
            <w:right w:w="108" w:type="dxa"/>
          </w:tblCellMar>
        </w:tblPrEx>
        <w:trPr>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31</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公务用车运行维护费</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2.47</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2.47</w:t>
            </w:r>
          </w:p>
        </w:tc>
        <w:tc>
          <w:tcPr>
            <w:tcW w:w="1701" w:type="dxa"/>
            <w:vAlign w:val="center"/>
          </w:tcPr>
          <w:p>
            <w:pPr>
              <w:widowControl/>
              <w:spacing w:line="300" w:lineRule="auto"/>
              <w:jc w:val="left"/>
              <w:rPr>
                <w:rFonts w:cs="宋体" w:asciiTheme="minorEastAsia" w:hAnsiTheme="minorEastAsia" w:eastAsiaTheme="minorEastAsia"/>
                <w:color w:val="181717" w:themeColor="background2" w:themeShade="1A"/>
                <w:kern w:val="0"/>
                <w:szCs w:val="21"/>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302</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99</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其他商品服务支出</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0.15</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0.15</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303</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07</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邮电费</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0.18</w:t>
            </w:r>
          </w:p>
        </w:tc>
        <w:tc>
          <w:tcPr>
            <w:tcW w:w="170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0.18</w:t>
            </w: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303</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09</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奖励金</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14.4</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14.4</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303</w:t>
            </w: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99</w:t>
            </w: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其他对个人和家庭的补助支出</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w:t>
            </w:r>
            <w:r>
              <w:rPr>
                <w:rFonts w:hint="eastAsia" w:ascii="仿宋_GB2312" w:eastAsia="仿宋_GB2312" w:hAnsiTheme="minorEastAsia"/>
                <w:color w:val="181717" w:themeColor="background2" w:themeShade="1A"/>
                <w:sz w:val="18"/>
                <w:szCs w:val="18"/>
                <w:highlight w:val="none"/>
                <w:lang w:val="en-US" w:eastAsia="zh-CN"/>
              </w:rPr>
              <w:t>4</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0.</w:t>
            </w:r>
            <w:r>
              <w:rPr>
                <w:rFonts w:hint="eastAsia" w:ascii="仿宋_GB2312" w:eastAsia="仿宋_GB2312" w:hAnsiTheme="minorEastAsia"/>
                <w:color w:val="181717" w:themeColor="background2" w:themeShade="1A"/>
                <w:sz w:val="18"/>
                <w:szCs w:val="18"/>
                <w:highlight w:val="none"/>
                <w:lang w:val="en-US" w:eastAsia="zh-CN"/>
              </w:rPr>
              <w:t>4</w:t>
            </w: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64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gridAfter w:val="1"/>
          <w:wAfter w:w="1701" w:type="dxa"/>
          <w:trHeight w:val="402" w:hRule="atLeast"/>
        </w:trPr>
        <w:tc>
          <w:tcPr>
            <w:tcW w:w="576"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57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1"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bCs/>
                <w:color w:val="181717" w:themeColor="background2" w:themeShade="1A"/>
                <w:kern w:val="0"/>
                <w:sz w:val="18"/>
                <w:szCs w:val="18"/>
                <w:highlight w:val="none"/>
              </w:rPr>
              <w:t>合计</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60.73</w:t>
            </w:r>
          </w:p>
        </w:tc>
        <w:tc>
          <w:tcPr>
            <w:tcW w:w="170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55.9</w:t>
            </w:r>
          </w:p>
        </w:tc>
        <w:tc>
          <w:tcPr>
            <w:tcW w:w="1641" w:type="dxa"/>
            <w:tcBorders>
              <w:top w:val="nil"/>
              <w:left w:val="nil"/>
              <w:bottom w:val="single" w:color="auto" w:sz="4" w:space="0"/>
              <w:right w:val="single" w:color="auto" w:sz="4" w:space="0"/>
            </w:tcBorders>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lang w:val="en-US" w:eastAsia="zh-CN"/>
              </w:rPr>
              <w:t>4.83</w:t>
            </w:r>
          </w:p>
        </w:tc>
      </w:tr>
    </w:tbl>
    <w:p>
      <w:pPr>
        <w:widowControl/>
        <w:spacing w:line="300" w:lineRule="auto"/>
        <w:jc w:val="left"/>
        <w:outlineLvl w:val="1"/>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spacing w:line="300" w:lineRule="auto"/>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表七：</w:t>
      </w:r>
    </w:p>
    <w:tbl>
      <w:tblPr>
        <w:tblStyle w:val="13"/>
        <w:tblW w:w="10182" w:type="dxa"/>
        <w:jc w:val="center"/>
        <w:tblInd w:w="0" w:type="dxa"/>
        <w:tblLayout w:type="fixed"/>
        <w:tblCellMar>
          <w:top w:w="0" w:type="dxa"/>
          <w:left w:w="108" w:type="dxa"/>
          <w:bottom w:w="0" w:type="dxa"/>
          <w:right w:w="108" w:type="dxa"/>
        </w:tblCellMar>
      </w:tblPr>
      <w:tblGrid>
        <w:gridCol w:w="11"/>
        <w:gridCol w:w="535"/>
        <w:gridCol w:w="457"/>
        <w:gridCol w:w="457"/>
        <w:gridCol w:w="851"/>
        <w:gridCol w:w="1456"/>
        <w:gridCol w:w="750"/>
        <w:gridCol w:w="601"/>
        <w:gridCol w:w="673"/>
        <w:gridCol w:w="515"/>
        <w:gridCol w:w="652"/>
        <w:gridCol w:w="698"/>
        <w:gridCol w:w="457"/>
        <w:gridCol w:w="698"/>
        <w:gridCol w:w="457"/>
        <w:gridCol w:w="457"/>
        <w:gridCol w:w="389"/>
        <w:gridCol w:w="68"/>
      </w:tblGrid>
      <w:tr>
        <w:tblPrEx>
          <w:tblLayout w:type="fixed"/>
          <w:tblCellMar>
            <w:top w:w="0" w:type="dxa"/>
            <w:left w:w="108" w:type="dxa"/>
            <w:bottom w:w="0" w:type="dxa"/>
            <w:right w:w="108" w:type="dxa"/>
          </w:tblCellMar>
        </w:tblPrEx>
        <w:trPr>
          <w:gridBefore w:val="1"/>
          <w:gridAfter w:val="1"/>
          <w:wBefore w:w="11" w:type="dxa"/>
          <w:wAfter w:w="68" w:type="dxa"/>
          <w:trHeight w:val="375" w:hRule="atLeast"/>
          <w:jc w:val="center"/>
        </w:trPr>
        <w:tc>
          <w:tcPr>
            <w:tcW w:w="10103" w:type="dxa"/>
            <w:gridSpan w:val="16"/>
            <w:tcBorders>
              <w:top w:val="nil"/>
              <w:left w:val="nil"/>
              <w:bottom w:val="nil"/>
              <w:right w:val="nil"/>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32"/>
                <w:szCs w:val="32"/>
                <w:highlight w:val="none"/>
              </w:rPr>
            </w:pPr>
            <w:r>
              <w:rPr>
                <w:rFonts w:hint="eastAsia" w:ascii="仿宋_GB2312" w:eastAsia="仿宋_GB2312" w:cs="宋体" w:hAnsiTheme="minorEastAsia"/>
                <w:b/>
                <w:bCs/>
                <w:color w:val="181717" w:themeColor="background2" w:themeShade="1A"/>
                <w:kern w:val="0"/>
                <w:sz w:val="32"/>
                <w:szCs w:val="32"/>
                <w:highlight w:val="none"/>
              </w:rPr>
              <w:t>一般公共预算项目支出情况表</w:t>
            </w:r>
          </w:p>
          <w:p>
            <w:pPr>
              <w:widowControl/>
              <w:spacing w:line="300" w:lineRule="auto"/>
              <w:jc w:val="center"/>
              <w:rPr>
                <w:rFonts w:ascii="仿宋_GB2312" w:eastAsia="仿宋_GB2312" w:cs="宋体" w:hAnsiTheme="minorEastAsia"/>
                <w:b/>
                <w:bCs/>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0" w:hRule="atLeast"/>
          <w:jc w:val="center"/>
        </w:trPr>
        <w:tc>
          <w:tcPr>
            <w:tcW w:w="1460" w:type="dxa"/>
            <w:gridSpan w:val="4"/>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科 目 编 码</w:t>
            </w:r>
          </w:p>
        </w:tc>
        <w:tc>
          <w:tcPr>
            <w:tcW w:w="851"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科目</w:t>
            </w:r>
          </w:p>
        </w:tc>
        <w:tc>
          <w:tcPr>
            <w:tcW w:w="1456" w:type="dxa"/>
            <w:vMerge w:val="restart"/>
            <w:shd w:val="clear" w:color="auto" w:fill="auto"/>
            <w:vAlign w:val="center"/>
          </w:tcPr>
          <w:p>
            <w:pPr>
              <w:spacing w:line="300" w:lineRule="auto"/>
              <w:jc w:val="center"/>
              <w:rPr>
                <w:rFonts w:ascii="仿宋_GB2312" w:eastAsia="仿宋_GB2312" w:hAnsiTheme="minorEastAsia"/>
                <w:color w:val="181717" w:themeColor="background2" w:themeShade="1A"/>
                <w:sz w:val="18"/>
                <w:szCs w:val="18"/>
                <w:highlight w:val="none"/>
              </w:rPr>
            </w:pPr>
            <w:r>
              <w:rPr>
                <w:rFonts w:hint="eastAsia" w:ascii="仿宋_GB2312" w:eastAsia="仿宋_GB2312" w:hAnsiTheme="minorEastAsia"/>
                <w:b/>
                <w:color w:val="181717" w:themeColor="background2" w:themeShade="1A"/>
                <w:kern w:val="0"/>
                <w:sz w:val="18"/>
                <w:szCs w:val="18"/>
                <w:highlight w:val="none"/>
              </w:rPr>
              <w:t>项目名称</w:t>
            </w:r>
          </w:p>
        </w:tc>
        <w:tc>
          <w:tcPr>
            <w:tcW w:w="750"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项目支出合计</w:t>
            </w:r>
          </w:p>
        </w:tc>
        <w:tc>
          <w:tcPr>
            <w:tcW w:w="601"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工资福利支出</w:t>
            </w:r>
          </w:p>
        </w:tc>
        <w:tc>
          <w:tcPr>
            <w:tcW w:w="673"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商品和服务支出</w:t>
            </w:r>
          </w:p>
        </w:tc>
        <w:tc>
          <w:tcPr>
            <w:tcW w:w="515"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对个人和家庭的补助</w:t>
            </w:r>
          </w:p>
        </w:tc>
        <w:tc>
          <w:tcPr>
            <w:tcW w:w="652"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债务利息及费用支出</w:t>
            </w:r>
          </w:p>
        </w:tc>
        <w:tc>
          <w:tcPr>
            <w:tcW w:w="698"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资本性支出（基本建设）</w:t>
            </w:r>
          </w:p>
        </w:tc>
        <w:tc>
          <w:tcPr>
            <w:tcW w:w="457"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资本性支出</w:t>
            </w:r>
          </w:p>
        </w:tc>
        <w:tc>
          <w:tcPr>
            <w:tcW w:w="698"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对企业补助（基本建设）</w:t>
            </w:r>
          </w:p>
        </w:tc>
        <w:tc>
          <w:tcPr>
            <w:tcW w:w="457"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对企业补助</w:t>
            </w:r>
          </w:p>
        </w:tc>
        <w:tc>
          <w:tcPr>
            <w:tcW w:w="457" w:type="dxa"/>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对社会保障基金补助</w:t>
            </w:r>
          </w:p>
        </w:tc>
        <w:tc>
          <w:tcPr>
            <w:tcW w:w="457" w:type="dxa"/>
            <w:gridSpan w:val="2"/>
            <w:vMerge w:val="restart"/>
            <w:shd w:val="clear" w:color="auto" w:fill="auto"/>
            <w:vAlign w:val="center"/>
          </w:tcPr>
          <w:p>
            <w:pPr>
              <w:widowControl/>
              <w:spacing w:line="300" w:lineRule="auto"/>
              <w:jc w:val="center"/>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其他支出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7" w:hRule="atLeast"/>
          <w:jc w:val="center"/>
        </w:trPr>
        <w:tc>
          <w:tcPr>
            <w:tcW w:w="546" w:type="dxa"/>
            <w:gridSpan w:val="2"/>
            <w:tcBorders>
              <w:bottom w:val="single" w:color="auto" w:sz="4" w:space="0"/>
            </w:tcBorders>
            <w:shd w:val="clear" w:color="auto" w:fill="auto"/>
            <w:vAlign w:val="center"/>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类</w:t>
            </w:r>
          </w:p>
        </w:tc>
        <w:tc>
          <w:tcPr>
            <w:tcW w:w="457" w:type="dxa"/>
            <w:tcBorders>
              <w:bottom w:val="single" w:color="auto" w:sz="4" w:space="0"/>
            </w:tcBorders>
            <w:shd w:val="clear" w:color="auto" w:fill="auto"/>
            <w:vAlign w:val="center"/>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款</w:t>
            </w:r>
          </w:p>
        </w:tc>
        <w:tc>
          <w:tcPr>
            <w:tcW w:w="457" w:type="dxa"/>
            <w:tcBorders>
              <w:bottom w:val="single" w:color="auto" w:sz="4" w:space="0"/>
            </w:tcBorders>
            <w:shd w:val="clear" w:color="auto" w:fill="auto"/>
            <w:vAlign w:val="center"/>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r>
              <w:rPr>
                <w:rFonts w:hint="eastAsia" w:ascii="仿宋_GB2312" w:eastAsia="仿宋_GB2312" w:hAnsiTheme="minorEastAsia"/>
                <w:b/>
                <w:color w:val="181717" w:themeColor="background2" w:themeShade="1A"/>
                <w:kern w:val="0"/>
                <w:sz w:val="18"/>
                <w:szCs w:val="18"/>
                <w:highlight w:val="none"/>
              </w:rPr>
              <w:t>项</w:t>
            </w:r>
          </w:p>
        </w:tc>
        <w:tc>
          <w:tcPr>
            <w:tcW w:w="851" w:type="dxa"/>
            <w:vMerge w:val="continue"/>
            <w:tcBorders>
              <w:bottom w:val="single" w:color="auto" w:sz="4" w:space="0"/>
            </w:tcBorders>
            <w:shd w:val="clear" w:color="auto" w:fill="auto"/>
            <w:vAlign w:val="center"/>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1456"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750"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601"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673"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515"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652"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698"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457"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698"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457"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457" w:type="dxa"/>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c>
          <w:tcPr>
            <w:tcW w:w="457" w:type="dxa"/>
            <w:gridSpan w:val="2"/>
            <w:vMerge w:val="continue"/>
            <w:tcBorders>
              <w:bottom w:val="single" w:color="auto" w:sz="4" w:space="0"/>
            </w:tcBorders>
            <w:shd w:val="clear" w:color="auto" w:fill="auto"/>
          </w:tcPr>
          <w:p>
            <w:pPr>
              <w:widowControl/>
              <w:spacing w:line="300" w:lineRule="auto"/>
              <w:jc w:val="left"/>
              <w:outlineLvl w:val="1"/>
              <w:rPr>
                <w:rFonts w:ascii="仿宋_GB2312" w:eastAsia="仿宋_GB2312" w:hAnsiTheme="minorEastAsia"/>
                <w:b/>
                <w:color w:val="181717" w:themeColor="background2" w:themeShade="1A"/>
                <w:kern w:val="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546" w:type="dxa"/>
            <w:gridSpan w:val="2"/>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57"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99</w:t>
            </w:r>
          </w:p>
        </w:tc>
        <w:tc>
          <w:tcPr>
            <w:tcW w:w="851" w:type="dxa"/>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其他群众团体事务支出</w:t>
            </w:r>
          </w:p>
        </w:tc>
        <w:tc>
          <w:tcPr>
            <w:tcW w:w="1456" w:type="dxa"/>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妇女工作专项经费</w:t>
            </w:r>
          </w:p>
        </w:tc>
        <w:tc>
          <w:tcPr>
            <w:tcW w:w="750"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30</w:t>
            </w:r>
          </w:p>
        </w:tc>
        <w:tc>
          <w:tcPr>
            <w:tcW w:w="601"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673" w:type="dxa"/>
            <w:shd w:val="clear" w:color="auto" w:fill="auto"/>
            <w:vAlign w:val="center"/>
          </w:tcPr>
          <w:p>
            <w:pPr>
              <w:jc w:val="center"/>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30</w:t>
            </w:r>
          </w:p>
        </w:tc>
        <w:tc>
          <w:tcPr>
            <w:tcW w:w="515"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52"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546" w:type="dxa"/>
            <w:gridSpan w:val="2"/>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w:t>
            </w:r>
          </w:p>
        </w:tc>
        <w:tc>
          <w:tcPr>
            <w:tcW w:w="457"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29</w:t>
            </w:r>
          </w:p>
        </w:tc>
        <w:tc>
          <w:tcPr>
            <w:tcW w:w="457"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99</w:t>
            </w:r>
          </w:p>
        </w:tc>
        <w:tc>
          <w:tcPr>
            <w:tcW w:w="851" w:type="dxa"/>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其他群众团体事务支出</w:t>
            </w:r>
          </w:p>
        </w:tc>
        <w:tc>
          <w:tcPr>
            <w:tcW w:w="1456" w:type="dxa"/>
            <w:shd w:val="clear" w:color="auto" w:fill="auto"/>
            <w:vAlign w:val="center"/>
          </w:tcPr>
          <w:p>
            <w:pPr>
              <w:jc w:val="left"/>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2018年临时聘用人员经费</w:t>
            </w:r>
          </w:p>
        </w:tc>
        <w:tc>
          <w:tcPr>
            <w:tcW w:w="750" w:type="dxa"/>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eastAsia="zh-CN"/>
              </w:rPr>
            </w:pPr>
            <w:r>
              <w:rPr>
                <w:rFonts w:hint="eastAsia" w:ascii="仿宋_GB2312" w:eastAsia="仿宋_GB2312" w:hAnsiTheme="minorEastAsia"/>
                <w:color w:val="181717" w:themeColor="background2" w:themeShade="1A"/>
                <w:sz w:val="18"/>
                <w:szCs w:val="18"/>
                <w:highlight w:val="none"/>
              </w:rPr>
              <w:t>3.2</w:t>
            </w:r>
            <w:r>
              <w:rPr>
                <w:rFonts w:hint="eastAsia" w:ascii="仿宋_GB2312" w:eastAsia="仿宋_GB2312" w:hAnsiTheme="minorEastAsia"/>
                <w:color w:val="181717" w:themeColor="background2" w:themeShade="1A"/>
                <w:sz w:val="18"/>
                <w:szCs w:val="18"/>
                <w:highlight w:val="none"/>
                <w:lang w:val="en-US" w:eastAsia="zh-CN"/>
              </w:rPr>
              <w:t>5</w:t>
            </w:r>
          </w:p>
        </w:tc>
        <w:tc>
          <w:tcPr>
            <w:tcW w:w="601" w:type="dxa"/>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eastAsia="zh-CN"/>
              </w:rPr>
            </w:pPr>
          </w:p>
        </w:tc>
        <w:tc>
          <w:tcPr>
            <w:tcW w:w="673" w:type="dxa"/>
            <w:shd w:val="clear" w:color="auto" w:fill="auto"/>
            <w:vAlign w:val="center"/>
          </w:tcPr>
          <w:p>
            <w:pPr>
              <w:jc w:val="both"/>
              <w:rPr>
                <w:rFonts w:ascii="仿宋_GB2312" w:eastAsia="仿宋_GB2312" w:cs="宋体" w:hAnsiTheme="minorEastAsia"/>
                <w:color w:val="181717" w:themeColor="background2" w:themeShade="1A"/>
                <w:sz w:val="18"/>
                <w:szCs w:val="18"/>
                <w:highlight w:val="none"/>
              </w:rPr>
            </w:pPr>
            <w:r>
              <w:rPr>
                <w:rFonts w:hint="eastAsia" w:ascii="仿宋_GB2312" w:eastAsia="仿宋_GB2312" w:hAnsiTheme="minorEastAsia"/>
                <w:color w:val="181717" w:themeColor="background2" w:themeShade="1A"/>
                <w:sz w:val="18"/>
                <w:szCs w:val="18"/>
                <w:highlight w:val="none"/>
              </w:rPr>
              <w:t>3.</w:t>
            </w:r>
            <w:r>
              <w:rPr>
                <w:rFonts w:hint="eastAsia" w:ascii="仿宋_GB2312" w:eastAsia="仿宋_GB2312" w:hAnsiTheme="minorEastAsia"/>
                <w:color w:val="181717" w:themeColor="background2" w:themeShade="1A"/>
                <w:sz w:val="18"/>
                <w:szCs w:val="18"/>
                <w:highlight w:val="none"/>
                <w:lang w:val="en-US" w:eastAsia="zh-CN"/>
              </w:rPr>
              <w:t>25</w:t>
            </w:r>
          </w:p>
        </w:tc>
        <w:tc>
          <w:tcPr>
            <w:tcW w:w="515"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52"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546"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851" w:type="dxa"/>
            <w:shd w:val="clear" w:color="auto" w:fill="auto"/>
          </w:tcPr>
          <w:p>
            <w:pPr>
              <w:widowControl/>
              <w:spacing w:line="300" w:lineRule="auto"/>
              <w:jc w:val="left"/>
              <w:outlineLvl w:val="1"/>
              <w:rPr>
                <w:rFonts w:ascii="仿宋_GB2312" w:eastAsia="仿宋_GB2312" w:hAnsiTheme="minorEastAsia"/>
                <w:color w:val="181717" w:themeColor="background2" w:themeShade="1A"/>
                <w:kern w:val="0"/>
                <w:sz w:val="18"/>
                <w:szCs w:val="18"/>
                <w:highlight w:val="none"/>
              </w:rPr>
            </w:pPr>
          </w:p>
        </w:tc>
        <w:tc>
          <w:tcPr>
            <w:tcW w:w="1456" w:type="dxa"/>
            <w:shd w:val="clear" w:color="auto" w:fill="auto"/>
          </w:tcPr>
          <w:p>
            <w:pPr>
              <w:widowControl/>
              <w:spacing w:line="300" w:lineRule="auto"/>
              <w:jc w:val="left"/>
              <w:outlineLvl w:val="1"/>
              <w:rPr>
                <w:rFonts w:ascii="仿宋_GB2312" w:eastAsia="仿宋_GB2312" w:hAnsiTheme="minorEastAsia"/>
                <w:color w:val="181717" w:themeColor="background2" w:themeShade="1A"/>
                <w:kern w:val="0"/>
                <w:sz w:val="18"/>
                <w:szCs w:val="18"/>
                <w:highlight w:val="none"/>
              </w:rPr>
            </w:pPr>
          </w:p>
        </w:tc>
        <w:tc>
          <w:tcPr>
            <w:tcW w:w="750"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01"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73"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515"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52"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546"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851" w:type="dxa"/>
            <w:shd w:val="clear" w:color="auto" w:fill="auto"/>
          </w:tcPr>
          <w:p>
            <w:pPr>
              <w:widowControl/>
              <w:spacing w:line="300" w:lineRule="auto"/>
              <w:jc w:val="left"/>
              <w:outlineLvl w:val="1"/>
              <w:rPr>
                <w:rFonts w:ascii="仿宋_GB2312" w:eastAsia="仿宋_GB2312" w:hAnsiTheme="minorEastAsia"/>
                <w:color w:val="181717" w:themeColor="background2" w:themeShade="1A"/>
                <w:kern w:val="0"/>
                <w:sz w:val="18"/>
                <w:szCs w:val="18"/>
                <w:highlight w:val="none"/>
              </w:rPr>
            </w:pPr>
          </w:p>
        </w:tc>
        <w:tc>
          <w:tcPr>
            <w:tcW w:w="1456" w:type="dxa"/>
            <w:shd w:val="clear" w:color="auto" w:fill="auto"/>
            <w:vAlign w:val="center"/>
          </w:tcPr>
          <w:p>
            <w:pPr>
              <w:widowControl/>
              <w:spacing w:line="300" w:lineRule="auto"/>
              <w:jc w:val="center"/>
              <w:outlineLvl w:val="1"/>
              <w:rPr>
                <w:rFonts w:ascii="仿宋_GB2312" w:eastAsia="仿宋_GB2312" w:hAnsiTheme="minorEastAsia"/>
                <w:color w:val="181717" w:themeColor="background2" w:themeShade="1A"/>
                <w:kern w:val="0"/>
                <w:sz w:val="18"/>
                <w:szCs w:val="18"/>
                <w:highlight w:val="none"/>
              </w:rPr>
            </w:pPr>
            <w:r>
              <w:rPr>
                <w:rFonts w:hint="eastAsia" w:ascii="仿宋_GB2312" w:eastAsia="仿宋_GB2312" w:hAnsiTheme="minorEastAsia"/>
                <w:color w:val="181717" w:themeColor="background2" w:themeShade="1A"/>
                <w:kern w:val="0"/>
                <w:sz w:val="18"/>
                <w:szCs w:val="18"/>
                <w:highlight w:val="none"/>
              </w:rPr>
              <w:t>合计</w:t>
            </w:r>
          </w:p>
        </w:tc>
        <w:tc>
          <w:tcPr>
            <w:tcW w:w="750" w:type="dxa"/>
            <w:shd w:val="clear" w:color="auto" w:fill="auto"/>
            <w:vAlign w:val="center"/>
          </w:tcPr>
          <w:p>
            <w:pPr>
              <w:jc w:val="right"/>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hAnsiTheme="minorEastAsia"/>
                <w:color w:val="181717" w:themeColor="background2" w:themeShade="1A"/>
                <w:sz w:val="18"/>
                <w:szCs w:val="18"/>
                <w:highlight w:val="none"/>
              </w:rPr>
              <w:t>3</w:t>
            </w:r>
            <w:r>
              <w:rPr>
                <w:rFonts w:hint="eastAsia" w:ascii="仿宋_GB2312" w:eastAsia="仿宋_GB2312" w:hAnsiTheme="minorEastAsia"/>
                <w:color w:val="181717" w:themeColor="background2" w:themeShade="1A"/>
                <w:sz w:val="18"/>
                <w:szCs w:val="18"/>
                <w:highlight w:val="none"/>
                <w:lang w:val="en-US" w:eastAsia="zh-CN"/>
              </w:rPr>
              <w:t>3.25</w:t>
            </w:r>
          </w:p>
        </w:tc>
        <w:tc>
          <w:tcPr>
            <w:tcW w:w="601" w:type="dxa"/>
            <w:shd w:val="clear" w:color="auto" w:fill="auto"/>
            <w:vAlign w:val="center"/>
          </w:tcPr>
          <w:p>
            <w:pPr>
              <w:jc w:val="right"/>
              <w:rPr>
                <w:rFonts w:ascii="仿宋_GB2312" w:eastAsia="仿宋_GB2312" w:cs="宋体" w:hAnsiTheme="minorEastAsia"/>
                <w:color w:val="181717" w:themeColor="background2" w:themeShade="1A"/>
                <w:sz w:val="18"/>
                <w:szCs w:val="18"/>
                <w:highlight w:val="none"/>
              </w:rPr>
            </w:pPr>
          </w:p>
        </w:tc>
        <w:tc>
          <w:tcPr>
            <w:tcW w:w="673" w:type="dxa"/>
            <w:shd w:val="clear" w:color="auto" w:fill="auto"/>
            <w:vAlign w:val="center"/>
          </w:tcPr>
          <w:p>
            <w:pPr>
              <w:jc w:val="center"/>
              <w:rPr>
                <w:rFonts w:hint="eastAsia" w:ascii="仿宋_GB2312" w:eastAsia="仿宋_GB2312" w:cs="宋体" w:hAnsiTheme="minorEastAsia"/>
                <w:color w:val="181717" w:themeColor="background2" w:themeShade="1A"/>
                <w:sz w:val="18"/>
                <w:szCs w:val="18"/>
                <w:highlight w:val="none"/>
                <w:lang w:val="en-US" w:eastAsia="zh-CN"/>
              </w:rPr>
            </w:pPr>
            <w:r>
              <w:rPr>
                <w:rFonts w:hint="eastAsia" w:ascii="仿宋_GB2312" w:eastAsia="仿宋_GB2312" w:cs="宋体" w:hAnsiTheme="minorEastAsia"/>
                <w:color w:val="181717" w:themeColor="background2" w:themeShade="1A"/>
                <w:sz w:val="18"/>
                <w:szCs w:val="18"/>
                <w:highlight w:val="none"/>
                <w:lang w:val="en-US" w:eastAsia="zh-CN"/>
              </w:rPr>
              <w:t>33.25</w:t>
            </w:r>
          </w:p>
        </w:tc>
        <w:tc>
          <w:tcPr>
            <w:tcW w:w="515"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52"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698"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c>
          <w:tcPr>
            <w:tcW w:w="457" w:type="dxa"/>
            <w:gridSpan w:val="2"/>
            <w:shd w:val="clear" w:color="auto" w:fill="auto"/>
            <w:vAlign w:val="center"/>
          </w:tcPr>
          <w:p>
            <w:pPr>
              <w:widowControl/>
              <w:spacing w:line="300" w:lineRule="auto"/>
              <w:jc w:val="right"/>
              <w:outlineLvl w:val="1"/>
              <w:rPr>
                <w:rFonts w:ascii="仿宋_GB2312" w:eastAsia="仿宋_GB2312" w:hAnsiTheme="minorEastAsia"/>
                <w:color w:val="181717" w:themeColor="background2" w:themeShade="1A"/>
                <w:kern w:val="0"/>
                <w:sz w:val="18"/>
                <w:szCs w:val="18"/>
                <w:highlight w:val="none"/>
              </w:rPr>
            </w:pPr>
          </w:p>
        </w:tc>
      </w:tr>
    </w:tbl>
    <w:p>
      <w:pPr>
        <w:widowControl/>
        <w:spacing w:line="300" w:lineRule="auto"/>
        <w:jc w:val="left"/>
        <w:outlineLvl w:val="1"/>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jc w:val="left"/>
        <w:rPr>
          <w:rFonts w:asciiTheme="minorEastAsia" w:hAnsiTheme="minorEastAsia" w:eastAsiaTheme="minorEastAsia"/>
          <w:b/>
          <w:color w:val="181717" w:themeColor="background2" w:themeShade="1A"/>
          <w:kern w:val="0"/>
          <w:sz w:val="24"/>
          <w:highlight w:val="none"/>
        </w:rPr>
      </w:pPr>
    </w:p>
    <w:p>
      <w:pPr>
        <w:widowControl/>
        <w:spacing w:line="300" w:lineRule="auto"/>
        <w:jc w:val="left"/>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表八：</w:t>
      </w:r>
    </w:p>
    <w:p>
      <w:pPr>
        <w:widowControl/>
        <w:spacing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一般公共预算“三公”经费支出情况表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9087" w:type="dxa"/>
        <w:jc w:val="center"/>
        <w:tblInd w:w="93" w:type="dxa"/>
        <w:tblLayout w:type="fixed"/>
        <w:tblCellMar>
          <w:top w:w="0" w:type="dxa"/>
          <w:left w:w="108" w:type="dxa"/>
          <w:bottom w:w="0" w:type="dxa"/>
          <w:right w:w="108" w:type="dxa"/>
        </w:tblCellMar>
      </w:tblPr>
      <w:tblGrid>
        <w:gridCol w:w="1575"/>
        <w:gridCol w:w="1417"/>
        <w:gridCol w:w="1559"/>
        <w:gridCol w:w="1418"/>
        <w:gridCol w:w="1559"/>
        <w:gridCol w:w="1559"/>
      </w:tblGrid>
      <w:tr>
        <w:tblPrEx>
          <w:tblLayout w:type="fixed"/>
          <w:tblCellMar>
            <w:top w:w="0" w:type="dxa"/>
            <w:left w:w="108" w:type="dxa"/>
            <w:bottom w:w="0" w:type="dxa"/>
            <w:right w:w="108" w:type="dxa"/>
          </w:tblCellMar>
        </w:tblPrEx>
        <w:trPr>
          <w:trHeight w:val="546" w:hRule="atLeast"/>
          <w:jc w:val="center"/>
        </w:trPr>
        <w:tc>
          <w:tcPr>
            <w:tcW w:w="157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合计</w:t>
            </w:r>
          </w:p>
        </w:tc>
        <w:tc>
          <w:tcPr>
            <w:tcW w:w="141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因公出国（境）费</w:t>
            </w:r>
          </w:p>
        </w:tc>
        <w:tc>
          <w:tcPr>
            <w:tcW w:w="4536" w:type="dxa"/>
            <w:gridSpan w:val="3"/>
            <w:tcBorders>
              <w:top w:val="single" w:color="auto" w:sz="4" w:space="0"/>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公务用车购置及运行费</w:t>
            </w:r>
          </w:p>
        </w:tc>
        <w:tc>
          <w:tcPr>
            <w:tcW w:w="155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公务接待费</w:t>
            </w:r>
          </w:p>
        </w:tc>
      </w:tr>
      <w:tr>
        <w:tblPrEx>
          <w:tblLayout w:type="fixed"/>
          <w:tblCellMar>
            <w:top w:w="0" w:type="dxa"/>
            <w:left w:w="108" w:type="dxa"/>
            <w:bottom w:w="0" w:type="dxa"/>
            <w:right w:w="108" w:type="dxa"/>
          </w:tblCellMar>
        </w:tblPrEx>
        <w:trPr>
          <w:trHeight w:val="810" w:hRule="atLeast"/>
          <w:jc w:val="center"/>
        </w:trPr>
        <w:tc>
          <w:tcPr>
            <w:tcW w:w="15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417"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小计</w:t>
            </w: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公务用车购置费</w:t>
            </w: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公务用车运行费</w:t>
            </w:r>
          </w:p>
        </w:tc>
        <w:tc>
          <w:tcPr>
            <w:tcW w:w="155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92" w:hRule="atLeast"/>
          <w:jc w:val="center"/>
        </w:trPr>
        <w:tc>
          <w:tcPr>
            <w:tcW w:w="1575"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2.48</w:t>
            </w: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hAnsiTheme="minorEastAsia"/>
                <w:color w:val="181717" w:themeColor="background2" w:themeShade="1A"/>
                <w:sz w:val="18"/>
                <w:szCs w:val="18"/>
                <w:highlight w:val="none"/>
              </w:rPr>
              <w:t>2.47</w:t>
            </w: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hAnsiTheme="minorEastAsia"/>
                <w:color w:val="181717" w:themeColor="background2" w:themeShade="1A"/>
                <w:sz w:val="18"/>
                <w:szCs w:val="18"/>
                <w:highlight w:val="none"/>
              </w:rPr>
              <w:t>2.47</w:t>
            </w: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hAnsiTheme="minorEastAsia"/>
                <w:color w:val="181717" w:themeColor="background2" w:themeShade="1A"/>
                <w:sz w:val="18"/>
                <w:szCs w:val="18"/>
                <w:highlight w:val="none"/>
              </w:rPr>
              <w:t>0.01</w:t>
            </w:r>
          </w:p>
        </w:tc>
      </w:tr>
      <w:tr>
        <w:tblPrEx>
          <w:tblLayout w:type="fixed"/>
          <w:tblCellMar>
            <w:top w:w="0" w:type="dxa"/>
            <w:left w:w="108" w:type="dxa"/>
            <w:bottom w:w="0" w:type="dxa"/>
            <w:right w:w="108" w:type="dxa"/>
          </w:tblCellMar>
        </w:tblPrEx>
        <w:trPr>
          <w:trHeight w:val="558" w:hRule="atLeast"/>
          <w:jc w:val="center"/>
        </w:trPr>
        <w:tc>
          <w:tcPr>
            <w:tcW w:w="1575"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55" w:hRule="atLeast"/>
          <w:jc w:val="center"/>
        </w:trPr>
        <w:tc>
          <w:tcPr>
            <w:tcW w:w="1575"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63" w:hRule="atLeast"/>
          <w:jc w:val="center"/>
        </w:trPr>
        <w:tc>
          <w:tcPr>
            <w:tcW w:w="1575"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83" w:hRule="atLeast"/>
          <w:jc w:val="center"/>
        </w:trPr>
        <w:tc>
          <w:tcPr>
            <w:tcW w:w="1575"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418"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bl>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jc w:val="left"/>
        <w:rPr>
          <w:rFonts w:asciiTheme="minorEastAsia" w:hAnsiTheme="minorEastAsia" w:eastAsiaTheme="minorEastAsia"/>
          <w:color w:val="181717" w:themeColor="background2" w:themeShade="1A"/>
          <w:kern w:val="0"/>
          <w:sz w:val="24"/>
          <w:highlight w:val="none"/>
        </w:rPr>
      </w:pPr>
    </w:p>
    <w:p>
      <w:pPr>
        <w:widowControl/>
        <w:spacing w:line="300" w:lineRule="auto"/>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表九：</w:t>
      </w:r>
    </w:p>
    <w:p>
      <w:pPr>
        <w:widowControl/>
        <w:spacing w:line="300" w:lineRule="auto"/>
        <w:jc w:val="center"/>
        <w:outlineLvl w:val="1"/>
        <w:rPr>
          <w:rFonts w:ascii="仿宋_GB2312" w:eastAsia="仿宋_GB2312" w:hAnsiTheme="minorEastAsia"/>
          <w:b/>
          <w:color w:val="181717" w:themeColor="background2" w:themeShade="1A"/>
          <w:kern w:val="0"/>
          <w:sz w:val="32"/>
          <w:szCs w:val="32"/>
          <w:highlight w:val="none"/>
        </w:rPr>
      </w:pPr>
      <w:r>
        <w:rPr>
          <w:rFonts w:hint="eastAsia" w:ascii="仿宋_GB2312" w:eastAsia="仿宋_GB2312" w:hAnsiTheme="minorEastAsia"/>
          <w:b/>
          <w:color w:val="181717" w:themeColor="background2" w:themeShade="1A"/>
          <w:kern w:val="0"/>
          <w:sz w:val="32"/>
          <w:szCs w:val="32"/>
          <w:highlight w:val="none"/>
        </w:rPr>
        <w:t>政府性基金预算支出情况表</w:t>
      </w:r>
    </w:p>
    <w:p>
      <w:pPr>
        <w:widowControl/>
        <w:spacing w:line="300" w:lineRule="auto"/>
        <w:outlineLvl w:val="1"/>
        <w:rPr>
          <w:rFonts w:ascii="仿宋_GB2312" w:eastAsia="仿宋_GB2312" w:hAnsiTheme="minorEastAsia"/>
          <w:color w:val="181717" w:themeColor="background2" w:themeShade="1A"/>
          <w:kern w:val="0"/>
          <w:sz w:val="24"/>
          <w:highlight w:val="none"/>
        </w:rPr>
      </w:pPr>
      <w:r>
        <w:rPr>
          <w:rFonts w:hint="eastAsia" w:ascii="仿宋_GB2312" w:eastAsia="仿宋_GB2312" w:hAnsiTheme="minorEastAsia"/>
          <w:color w:val="181717" w:themeColor="background2" w:themeShade="1A"/>
          <w:kern w:val="0"/>
          <w:sz w:val="24"/>
          <w:highlight w:val="none"/>
        </w:rPr>
        <w:t>编制部门：乌鲁木齐市水磨沟区妇女联合会                           单位：万元</w:t>
      </w:r>
    </w:p>
    <w:tbl>
      <w:tblPr>
        <w:tblStyle w:val="13"/>
        <w:tblW w:w="9087" w:type="dxa"/>
        <w:jc w:val="center"/>
        <w:tblInd w:w="93" w:type="dxa"/>
        <w:tblLayout w:type="fixed"/>
        <w:tblCellMar>
          <w:top w:w="0" w:type="dxa"/>
          <w:left w:w="108" w:type="dxa"/>
          <w:bottom w:w="0" w:type="dxa"/>
          <w:right w:w="108" w:type="dxa"/>
        </w:tblCellMar>
      </w:tblPr>
      <w:tblGrid>
        <w:gridCol w:w="458"/>
        <w:gridCol w:w="457"/>
        <w:gridCol w:w="457"/>
        <w:gridCol w:w="2896"/>
        <w:gridCol w:w="1559"/>
        <w:gridCol w:w="1701"/>
        <w:gridCol w:w="1559"/>
      </w:tblGrid>
      <w:tr>
        <w:tblPrEx>
          <w:tblLayout w:type="fixed"/>
          <w:tblCellMar>
            <w:top w:w="0" w:type="dxa"/>
            <w:left w:w="108" w:type="dxa"/>
            <w:bottom w:w="0" w:type="dxa"/>
            <w:right w:w="108" w:type="dxa"/>
          </w:tblCellMar>
        </w:tblPrEx>
        <w:trPr>
          <w:trHeight w:val="465" w:hRule="atLeast"/>
          <w:jc w:val="center"/>
        </w:trPr>
        <w:tc>
          <w:tcPr>
            <w:tcW w:w="4268"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  目</w:t>
            </w:r>
          </w:p>
        </w:tc>
        <w:tc>
          <w:tcPr>
            <w:tcW w:w="4819" w:type="dxa"/>
            <w:gridSpan w:val="3"/>
            <w:tcBorders>
              <w:top w:val="single" w:color="auto" w:sz="4" w:space="0"/>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政府性基金预算支出</w:t>
            </w:r>
          </w:p>
        </w:tc>
      </w:tr>
      <w:tr>
        <w:tblPrEx>
          <w:tblLayout w:type="fixed"/>
          <w:tblCellMar>
            <w:top w:w="0" w:type="dxa"/>
            <w:left w:w="108" w:type="dxa"/>
            <w:bottom w:w="0" w:type="dxa"/>
            <w:right w:w="108" w:type="dxa"/>
          </w:tblCellMar>
        </w:tblPrEx>
        <w:trPr>
          <w:trHeight w:val="360" w:hRule="atLeast"/>
          <w:jc w:val="center"/>
        </w:trPr>
        <w:tc>
          <w:tcPr>
            <w:tcW w:w="1372"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功能分类科目编码</w:t>
            </w:r>
          </w:p>
        </w:tc>
        <w:tc>
          <w:tcPr>
            <w:tcW w:w="2896"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功能分类科目名称</w:t>
            </w:r>
          </w:p>
        </w:tc>
        <w:tc>
          <w:tcPr>
            <w:tcW w:w="1559"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小计</w:t>
            </w:r>
          </w:p>
        </w:tc>
        <w:tc>
          <w:tcPr>
            <w:tcW w:w="1701"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基本支出</w:t>
            </w:r>
          </w:p>
        </w:tc>
        <w:tc>
          <w:tcPr>
            <w:tcW w:w="1559"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项目支出</w:t>
            </w:r>
          </w:p>
        </w:tc>
      </w:tr>
      <w:tr>
        <w:tblPrEx>
          <w:tblLayout w:type="fixed"/>
          <w:tblCellMar>
            <w:top w:w="0" w:type="dxa"/>
            <w:left w:w="108" w:type="dxa"/>
            <w:bottom w:w="0" w:type="dxa"/>
            <w:right w:w="108" w:type="dxa"/>
          </w:tblCellMar>
        </w:tblPrEx>
        <w:trPr>
          <w:trHeight w:val="315"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类</w:t>
            </w: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款</w:t>
            </w: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b/>
                <w:bCs/>
                <w:color w:val="181717" w:themeColor="background2" w:themeShade="1A"/>
                <w:kern w:val="0"/>
                <w:sz w:val="18"/>
                <w:szCs w:val="18"/>
                <w:highlight w:val="none"/>
              </w:rPr>
            </w:pPr>
            <w:r>
              <w:rPr>
                <w:rFonts w:hint="eastAsia" w:ascii="仿宋_GB2312" w:eastAsia="仿宋_GB2312" w:cs="宋体" w:hAnsiTheme="minorEastAsia"/>
                <w:b/>
                <w:bCs/>
                <w:color w:val="181717" w:themeColor="background2" w:themeShade="1A"/>
                <w:kern w:val="0"/>
                <w:sz w:val="18"/>
                <w:szCs w:val="18"/>
                <w:highlight w:val="none"/>
              </w:rPr>
              <w:t>项</w:t>
            </w:r>
          </w:p>
        </w:tc>
        <w:tc>
          <w:tcPr>
            <w:tcW w:w="2896"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559"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701"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c>
          <w:tcPr>
            <w:tcW w:w="1559"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b/>
                <w:bCs/>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r>
        <w:tblPrEx>
          <w:tblLayout w:type="fixed"/>
          <w:tblCellMar>
            <w:top w:w="0" w:type="dxa"/>
            <w:left w:w="108" w:type="dxa"/>
            <w:bottom w:w="0" w:type="dxa"/>
            <w:right w:w="108" w:type="dxa"/>
          </w:tblCellMar>
        </w:tblPrEx>
        <w:trPr>
          <w:trHeight w:val="510" w:hRule="atLeast"/>
          <w:jc w:val="center"/>
        </w:trPr>
        <w:tc>
          <w:tcPr>
            <w:tcW w:w="458"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457"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2896" w:type="dxa"/>
            <w:tcBorders>
              <w:top w:val="nil"/>
              <w:left w:val="nil"/>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18"/>
                <w:szCs w:val="18"/>
                <w:highlight w:val="none"/>
              </w:rPr>
            </w:pPr>
            <w:r>
              <w:rPr>
                <w:rFonts w:hint="eastAsia" w:ascii="仿宋_GB2312" w:eastAsia="仿宋_GB2312" w:cs="宋体" w:hAnsiTheme="minorEastAsia"/>
                <w:color w:val="181717" w:themeColor="background2" w:themeShade="1A"/>
                <w:kern w:val="0"/>
                <w:sz w:val="18"/>
                <w:szCs w:val="18"/>
                <w:highlight w:val="none"/>
              </w:rPr>
              <w:t>合计</w:t>
            </w: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701"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right"/>
              <w:rPr>
                <w:rFonts w:ascii="仿宋_GB2312" w:eastAsia="仿宋_GB2312" w:cs="宋体" w:hAnsiTheme="minorEastAsia"/>
                <w:color w:val="181717" w:themeColor="background2" w:themeShade="1A"/>
                <w:kern w:val="0"/>
                <w:sz w:val="18"/>
                <w:szCs w:val="18"/>
                <w:highlight w:val="none"/>
              </w:rPr>
            </w:pPr>
          </w:p>
        </w:tc>
      </w:tr>
    </w:tbl>
    <w:p>
      <w:pPr>
        <w:widowControl/>
        <w:spacing w:line="300" w:lineRule="auto"/>
        <w:outlineLvl w:val="1"/>
        <w:rPr>
          <w:rFonts w:ascii="仿宋_GB2312" w:eastAsia="仿宋_GB2312" w:hAnsiTheme="minorEastAsia"/>
          <w:color w:val="181717" w:themeColor="background2" w:themeShade="1A"/>
          <w:kern w:val="0"/>
          <w:sz w:val="32"/>
          <w:szCs w:val="32"/>
          <w:highlight w:val="none"/>
        </w:rPr>
      </w:pPr>
      <w:r>
        <w:rPr>
          <w:rFonts w:hint="eastAsia" w:ascii="仿宋_GB2312" w:eastAsia="仿宋_GB2312" w:hAnsiTheme="minorEastAsia"/>
          <w:color w:val="181717" w:themeColor="background2" w:themeShade="1A"/>
          <w:kern w:val="0"/>
          <w:sz w:val="32"/>
          <w:szCs w:val="32"/>
          <w:highlight w:val="none"/>
        </w:rPr>
        <w:t>备注：无内容应公开空表并说明情况。</w:t>
      </w:r>
    </w:p>
    <w:p>
      <w:pPr>
        <w:widowControl/>
        <w:spacing w:line="300" w:lineRule="auto"/>
        <w:jc w:val="left"/>
        <w:outlineLvl w:val="1"/>
        <w:rPr>
          <w:rFonts w:asciiTheme="minorEastAsia" w:hAnsiTheme="minorEastAsia" w:eastAsiaTheme="minorEastAsia"/>
          <w:color w:val="181717" w:themeColor="background2" w:themeShade="1A"/>
          <w:kern w:val="0"/>
          <w:sz w:val="24"/>
          <w:highlight w:val="none"/>
        </w:rPr>
        <w:sectPr>
          <w:footerReference r:id="rId3" w:type="default"/>
          <w:footerReference r:id="rId4" w:type="even"/>
          <w:pgSz w:w="11906" w:h="16838"/>
          <w:pgMar w:top="2098" w:right="1418" w:bottom="1928" w:left="1588" w:header="851" w:footer="992" w:gutter="0"/>
          <w:pgNumType w:fmt="numberInDash"/>
          <w:cols w:space="720" w:num="1"/>
          <w:docGrid w:linePitch="312" w:charSpace="0"/>
        </w:sectPr>
      </w:pPr>
    </w:p>
    <w:p>
      <w:pPr>
        <w:pStyle w:val="2"/>
        <w:spacing w:before="435"/>
        <w:rPr>
          <w:rFonts w:ascii="黑体" w:hAnsi="黑体" w:eastAsia="黑体"/>
          <w:b w:val="0"/>
          <w:color w:val="181717" w:themeColor="background2" w:themeShade="1A"/>
          <w:szCs w:val="32"/>
          <w:highlight w:val="none"/>
        </w:rPr>
      </w:pPr>
      <w:r>
        <w:rPr>
          <w:rFonts w:hint="eastAsia" w:ascii="黑体" w:hAnsi="黑体" w:eastAsia="黑体"/>
          <w:b w:val="0"/>
          <w:color w:val="181717" w:themeColor="background2" w:themeShade="1A"/>
          <w:szCs w:val="32"/>
          <w:highlight w:val="none"/>
        </w:rPr>
        <w:t>第三部分  乌鲁木齐市水磨沟区妇女联合会201</w:t>
      </w:r>
      <w:r>
        <w:rPr>
          <w:rFonts w:hint="eastAsia" w:ascii="黑体" w:hAnsi="黑体" w:eastAsia="黑体"/>
          <w:b w:val="0"/>
          <w:color w:val="181717" w:themeColor="background2" w:themeShade="1A"/>
          <w:szCs w:val="32"/>
          <w:highlight w:val="none"/>
          <w:lang w:val="en-US" w:eastAsia="zh-CN"/>
        </w:rPr>
        <w:t>6</w:t>
      </w:r>
      <w:r>
        <w:rPr>
          <w:rFonts w:hint="eastAsia" w:ascii="黑体" w:hAnsi="黑体" w:eastAsia="黑体"/>
          <w:b w:val="0"/>
          <w:color w:val="181717" w:themeColor="background2" w:themeShade="1A"/>
          <w:szCs w:val="32"/>
          <w:highlight w:val="none"/>
        </w:rPr>
        <w:t>年部门预算情况说明</w:t>
      </w:r>
    </w:p>
    <w:p>
      <w:pPr>
        <w:rPr>
          <w:highlight w:val="none"/>
        </w:rPr>
      </w:pPr>
    </w:p>
    <w:p>
      <w:pPr>
        <w:widowControl/>
        <w:spacing w:line="300" w:lineRule="auto"/>
        <w:jc w:val="center"/>
        <w:outlineLvl w:val="1"/>
        <w:rPr>
          <w:rFonts w:ascii="黑体" w:hAnsi="黑体" w:eastAsia="黑体"/>
          <w:color w:val="181717" w:themeColor="background2" w:themeShade="1A"/>
          <w:kern w:val="0"/>
          <w:sz w:val="32"/>
          <w:szCs w:val="32"/>
          <w:highlight w:val="none"/>
        </w:rPr>
      </w:pPr>
      <w:r>
        <w:rPr>
          <w:rFonts w:hint="eastAsia" w:ascii="黑体" w:hAnsi="黑体" w:eastAsia="黑体"/>
          <w:color w:val="181717" w:themeColor="background2" w:themeShade="1A"/>
          <w:kern w:val="0"/>
          <w:sz w:val="32"/>
          <w:szCs w:val="32"/>
          <w:highlight w:val="none"/>
        </w:rPr>
        <w:t>201</w:t>
      </w:r>
      <w:r>
        <w:rPr>
          <w:rFonts w:hint="eastAsia" w:ascii="黑体" w:hAnsi="黑体" w:eastAsia="黑体"/>
          <w:color w:val="181717" w:themeColor="background2" w:themeShade="1A"/>
          <w:kern w:val="0"/>
          <w:sz w:val="32"/>
          <w:szCs w:val="32"/>
          <w:highlight w:val="none"/>
          <w:lang w:val="en-US" w:eastAsia="zh-CN"/>
        </w:rPr>
        <w:t>6</w:t>
      </w:r>
      <w:r>
        <w:rPr>
          <w:rFonts w:hint="eastAsia" w:ascii="黑体" w:hAnsi="黑体" w:eastAsia="黑体"/>
          <w:color w:val="181717" w:themeColor="background2" w:themeShade="1A"/>
          <w:kern w:val="0"/>
          <w:sz w:val="32"/>
          <w:szCs w:val="32"/>
          <w:highlight w:val="none"/>
        </w:rPr>
        <w:t>年部门预算情况说明</w:t>
      </w:r>
    </w:p>
    <w:p>
      <w:pPr>
        <w:widowControl/>
        <w:spacing w:line="300" w:lineRule="auto"/>
        <w:jc w:val="center"/>
        <w:outlineLvl w:val="1"/>
        <w:rPr>
          <w:rFonts w:ascii="黑体" w:hAnsi="黑体" w:eastAsia="黑体"/>
          <w:color w:val="181717" w:themeColor="background2" w:themeShade="1A"/>
          <w:kern w:val="0"/>
          <w:sz w:val="32"/>
          <w:szCs w:val="32"/>
          <w:highlight w:val="none"/>
        </w:rPr>
      </w:pP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一、关于乌鲁木齐市水磨沟区妇女联合会201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年收支预算情况的总体说明</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按照全口径预算的原则，乌鲁木齐市水磨沟区妇女联合会201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年所有收入和支出均纳入部门预算管理。收支总预算</w:t>
      </w:r>
      <w:r>
        <w:rPr>
          <w:rFonts w:hint="eastAsia" w:asciiTheme="minorEastAsia" w:hAnsiTheme="minorEastAsia" w:eastAsiaTheme="minorEastAsia"/>
          <w:color w:val="181717" w:themeColor="background2" w:themeShade="1A"/>
          <w:sz w:val="28"/>
          <w:szCs w:val="28"/>
          <w:highlight w:val="none"/>
          <w:lang w:val="en-US" w:eastAsia="zh-CN"/>
        </w:rPr>
        <w:t>93.98</w:t>
      </w:r>
      <w:r>
        <w:rPr>
          <w:rFonts w:hint="eastAsia" w:cs="宋体" w:asciiTheme="minorEastAsia" w:hAnsiTheme="minorEastAsia" w:eastAsiaTheme="minorEastAsia"/>
          <w:color w:val="181717" w:themeColor="background2" w:themeShade="1A"/>
          <w:kern w:val="0"/>
          <w:sz w:val="28"/>
          <w:szCs w:val="28"/>
          <w:highlight w:val="none"/>
        </w:rPr>
        <w:t>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收入预算包括：一般公共预算。</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支出预算包括：一般公共服务支出。</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二、关于乌鲁木齐市水磨沟区妇女联合会201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年收入预算情况说明</w:t>
      </w:r>
    </w:p>
    <w:p>
      <w:pPr>
        <w:widowControl/>
        <w:spacing w:line="560" w:lineRule="exact"/>
        <w:ind w:firstLine="560" w:firstLineChars="200"/>
        <w:jc w:val="left"/>
        <w:rPr>
          <w:rFonts w:hint="eastAsia" w:cs="宋体" w:asciiTheme="minorEastAsia" w:hAnsiTheme="minorEastAsia" w:eastAsiaTheme="minorEastAsia"/>
          <w:color w:val="181717" w:themeColor="background2" w:themeShade="1A"/>
          <w:kern w:val="0"/>
          <w:sz w:val="28"/>
          <w:szCs w:val="28"/>
          <w:highlight w:val="none"/>
          <w:lang w:eastAsia="zh-CN"/>
        </w:rPr>
      </w:pPr>
      <w:r>
        <w:rPr>
          <w:rFonts w:hint="eastAsia" w:cs="宋体" w:asciiTheme="minorEastAsia" w:hAnsiTheme="minorEastAsia" w:eastAsiaTheme="minorEastAsia"/>
          <w:color w:val="181717" w:themeColor="background2" w:themeShade="1A"/>
          <w:kern w:val="0"/>
          <w:sz w:val="28"/>
          <w:szCs w:val="28"/>
          <w:highlight w:val="none"/>
        </w:rPr>
        <w:t>乌鲁木齐市水磨沟区妇女联合会收入预算</w:t>
      </w:r>
      <w:r>
        <w:rPr>
          <w:rFonts w:hint="eastAsia" w:cs="宋体" w:asciiTheme="minorEastAsia" w:hAnsiTheme="minorEastAsia" w:eastAsiaTheme="minorEastAsia"/>
          <w:color w:val="181717" w:themeColor="background2" w:themeShade="1A"/>
          <w:kern w:val="0"/>
          <w:sz w:val="28"/>
          <w:szCs w:val="28"/>
          <w:highlight w:val="none"/>
          <w:lang w:val="en-US" w:eastAsia="zh-CN"/>
        </w:rPr>
        <w:t>93.98</w:t>
      </w:r>
      <w:r>
        <w:rPr>
          <w:rFonts w:hint="eastAsia" w:cs="宋体" w:asciiTheme="minorEastAsia" w:hAnsiTheme="minorEastAsia" w:eastAsiaTheme="minorEastAsia"/>
          <w:color w:val="181717" w:themeColor="background2" w:themeShade="1A"/>
          <w:kern w:val="0"/>
          <w:sz w:val="28"/>
          <w:szCs w:val="28"/>
          <w:highlight w:val="none"/>
        </w:rPr>
        <w:t>万元</w:t>
      </w:r>
      <w:r>
        <w:rPr>
          <w:rFonts w:hint="eastAsia" w:cs="宋体" w:asciiTheme="minorEastAsia" w:hAnsiTheme="minorEastAsia" w:eastAsiaTheme="minorEastAsia"/>
          <w:color w:val="181717" w:themeColor="background2" w:themeShade="1A"/>
          <w:kern w:val="0"/>
          <w:sz w:val="28"/>
          <w:szCs w:val="28"/>
          <w:highlight w:val="none"/>
          <w:lang w:eastAsia="zh-CN"/>
        </w:rPr>
        <w:t>。</w:t>
      </w:r>
    </w:p>
    <w:p>
      <w:pPr>
        <w:widowControl/>
        <w:spacing w:line="560" w:lineRule="exact"/>
        <w:ind w:firstLine="560" w:firstLineChars="200"/>
        <w:jc w:val="left"/>
        <w:rPr>
          <w:rFonts w:hint="eastAsia" w:cs="宋体" w:asciiTheme="minorEastAsia" w:hAnsiTheme="minorEastAsia" w:eastAsiaTheme="minorEastAsia"/>
          <w:color w:val="181717" w:themeColor="background2" w:themeShade="1A"/>
          <w:kern w:val="0"/>
          <w:sz w:val="28"/>
          <w:szCs w:val="28"/>
          <w:highlight w:val="none"/>
          <w:lang w:eastAsia="zh-CN"/>
        </w:rPr>
      </w:pPr>
      <w:r>
        <w:rPr>
          <w:rFonts w:hint="eastAsia" w:cs="宋体" w:asciiTheme="minorEastAsia" w:hAnsiTheme="minorEastAsia" w:eastAsiaTheme="minorEastAsia"/>
          <w:color w:val="181717" w:themeColor="background2" w:themeShade="1A"/>
          <w:kern w:val="0"/>
          <w:sz w:val="28"/>
          <w:szCs w:val="28"/>
          <w:highlight w:val="none"/>
        </w:rPr>
        <w:t>一般公共预算</w:t>
      </w:r>
      <w:r>
        <w:rPr>
          <w:rFonts w:hint="eastAsia" w:cs="宋体" w:asciiTheme="minorEastAsia" w:hAnsiTheme="minorEastAsia" w:eastAsiaTheme="minorEastAsia"/>
          <w:color w:val="181717" w:themeColor="background2" w:themeShade="1A"/>
          <w:kern w:val="0"/>
          <w:sz w:val="28"/>
          <w:szCs w:val="28"/>
          <w:highlight w:val="none"/>
          <w:lang w:val="en-US" w:eastAsia="zh-CN"/>
        </w:rPr>
        <w:t>93.98</w:t>
      </w:r>
      <w:r>
        <w:rPr>
          <w:rFonts w:hint="eastAsia" w:cs="宋体" w:asciiTheme="minorEastAsia" w:hAnsiTheme="minorEastAsia" w:eastAsiaTheme="minorEastAsia"/>
          <w:color w:val="181717" w:themeColor="background2" w:themeShade="1A"/>
          <w:kern w:val="0"/>
          <w:sz w:val="28"/>
          <w:szCs w:val="28"/>
          <w:highlight w:val="none"/>
        </w:rPr>
        <w:t>万元，比上年增加1</w:t>
      </w:r>
      <w:r>
        <w:rPr>
          <w:rFonts w:hint="eastAsia" w:cs="宋体" w:asciiTheme="minorEastAsia" w:hAnsiTheme="minorEastAsia" w:eastAsiaTheme="minorEastAsia"/>
          <w:color w:val="181717" w:themeColor="background2" w:themeShade="1A"/>
          <w:kern w:val="0"/>
          <w:sz w:val="28"/>
          <w:szCs w:val="28"/>
          <w:highlight w:val="none"/>
          <w:lang w:val="en-US" w:eastAsia="zh-CN"/>
        </w:rPr>
        <w:t>4.87</w:t>
      </w:r>
      <w:r>
        <w:rPr>
          <w:rFonts w:hint="eastAsia" w:cs="宋体" w:asciiTheme="minorEastAsia" w:hAnsiTheme="minorEastAsia" w:eastAsiaTheme="minorEastAsia"/>
          <w:color w:val="181717" w:themeColor="background2" w:themeShade="1A"/>
          <w:kern w:val="0"/>
          <w:sz w:val="28"/>
          <w:szCs w:val="28"/>
          <w:highlight w:val="none"/>
        </w:rPr>
        <w:t>万元</w:t>
      </w:r>
      <w:r>
        <w:rPr>
          <w:rFonts w:hint="eastAsia" w:cs="宋体" w:asciiTheme="minorEastAsia" w:hAnsiTheme="minorEastAsia" w:eastAsiaTheme="minorEastAsia"/>
          <w:color w:val="181717" w:themeColor="background2" w:themeShade="1A"/>
          <w:kern w:val="0"/>
          <w:sz w:val="28"/>
          <w:szCs w:val="28"/>
          <w:highlight w:val="none"/>
          <w:lang w:eastAsia="zh-CN"/>
        </w:rPr>
        <w:t>，增加原因：人员工资及社保缴费增加。</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非税收入拨款未安排。</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基金预算拨款未安排。</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三、关于乌鲁木齐市水磨沟区妇女联合会单位201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年支出预算情况说明</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乌鲁木齐市水磨沟区妇女联合会单位201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年支出预算</w:t>
      </w:r>
      <w:r>
        <w:rPr>
          <w:rFonts w:hint="eastAsia" w:asciiTheme="minorEastAsia" w:hAnsiTheme="minorEastAsia" w:eastAsiaTheme="minorEastAsia"/>
          <w:color w:val="181717" w:themeColor="background2" w:themeShade="1A"/>
          <w:sz w:val="28"/>
          <w:szCs w:val="28"/>
          <w:highlight w:val="none"/>
          <w:lang w:val="en-US" w:eastAsia="zh-CN"/>
        </w:rPr>
        <w:t>93.98</w:t>
      </w:r>
      <w:r>
        <w:rPr>
          <w:rFonts w:hint="eastAsia" w:cs="宋体" w:asciiTheme="minorEastAsia" w:hAnsiTheme="minorEastAsia" w:eastAsiaTheme="minorEastAsia"/>
          <w:color w:val="181717" w:themeColor="background2" w:themeShade="1A"/>
          <w:kern w:val="0"/>
          <w:sz w:val="28"/>
          <w:szCs w:val="28"/>
          <w:highlight w:val="none"/>
        </w:rPr>
        <w:t>万元，其中：</w:t>
      </w:r>
    </w:p>
    <w:p>
      <w:pPr>
        <w:widowControl/>
        <w:spacing w:line="560" w:lineRule="exact"/>
        <w:ind w:firstLine="560" w:firstLineChars="200"/>
        <w:jc w:val="left"/>
        <w:rPr>
          <w:rFonts w:hint="eastAsia" w:cs="宋体" w:asciiTheme="minorEastAsia" w:hAnsiTheme="minorEastAsia" w:eastAsiaTheme="minorEastAsia"/>
          <w:color w:val="181717" w:themeColor="background2" w:themeShade="1A"/>
          <w:kern w:val="0"/>
          <w:sz w:val="28"/>
          <w:szCs w:val="28"/>
          <w:highlight w:val="none"/>
          <w:lang w:val="en-US" w:eastAsia="zh-CN"/>
        </w:rPr>
      </w:pPr>
      <w:r>
        <w:rPr>
          <w:rFonts w:hint="eastAsia" w:cs="宋体" w:asciiTheme="minorEastAsia" w:hAnsiTheme="minorEastAsia" w:eastAsiaTheme="minorEastAsia"/>
          <w:color w:val="181717" w:themeColor="background2" w:themeShade="1A"/>
          <w:kern w:val="0"/>
          <w:sz w:val="28"/>
          <w:szCs w:val="28"/>
          <w:highlight w:val="none"/>
        </w:rPr>
        <w:t>基本支出</w:t>
      </w:r>
      <w:r>
        <w:rPr>
          <w:rFonts w:hint="eastAsia" w:asciiTheme="minorEastAsia" w:hAnsiTheme="minorEastAsia" w:eastAsiaTheme="minorEastAsia"/>
          <w:color w:val="181717" w:themeColor="background2" w:themeShade="1A"/>
          <w:sz w:val="28"/>
          <w:szCs w:val="28"/>
          <w:highlight w:val="none"/>
          <w:lang w:val="en-US" w:eastAsia="zh-CN"/>
        </w:rPr>
        <w:t>60.73</w:t>
      </w:r>
      <w:r>
        <w:rPr>
          <w:rFonts w:hint="eastAsia" w:cs="宋体" w:asciiTheme="minorEastAsia" w:hAnsiTheme="minorEastAsia" w:eastAsiaTheme="minorEastAsia"/>
          <w:color w:val="181717" w:themeColor="background2" w:themeShade="1A"/>
          <w:kern w:val="0"/>
          <w:sz w:val="28"/>
          <w:szCs w:val="28"/>
          <w:highlight w:val="none"/>
        </w:rPr>
        <w:t>万元，比上年增加</w:t>
      </w:r>
      <w:r>
        <w:rPr>
          <w:rFonts w:hint="eastAsia" w:cs="宋体" w:asciiTheme="minorEastAsia" w:hAnsiTheme="minorEastAsia" w:eastAsiaTheme="minorEastAsia"/>
          <w:color w:val="181717" w:themeColor="background2" w:themeShade="1A"/>
          <w:kern w:val="0"/>
          <w:sz w:val="28"/>
          <w:szCs w:val="28"/>
          <w:highlight w:val="none"/>
          <w:lang w:val="en-US" w:eastAsia="zh-CN"/>
        </w:rPr>
        <w:t>41.3</w:t>
      </w:r>
      <w:r>
        <w:rPr>
          <w:rFonts w:hint="eastAsia" w:cs="宋体" w:asciiTheme="minorEastAsia" w:hAnsiTheme="minorEastAsia" w:eastAsiaTheme="minorEastAsia"/>
          <w:color w:val="181717" w:themeColor="background2" w:themeShade="1A"/>
          <w:kern w:val="0"/>
          <w:sz w:val="28"/>
          <w:szCs w:val="28"/>
          <w:highlight w:val="none"/>
        </w:rPr>
        <w:t>万元</w:t>
      </w:r>
      <w:r>
        <w:rPr>
          <w:rFonts w:hint="eastAsia" w:cs="宋体" w:asciiTheme="minorEastAsia" w:hAnsiTheme="minorEastAsia" w:eastAsiaTheme="minorEastAsia"/>
          <w:color w:val="181717" w:themeColor="background2" w:themeShade="1A"/>
          <w:kern w:val="0"/>
          <w:sz w:val="28"/>
          <w:szCs w:val="28"/>
          <w:highlight w:val="none"/>
          <w:lang w:val="en-US" w:eastAsia="zh-CN"/>
        </w:rPr>
        <w:t>,其中：工资福利支出</w:t>
      </w:r>
      <w:r>
        <w:rPr>
          <w:rFonts w:hint="eastAsia" w:cs="宋体" w:asciiTheme="minorEastAsia" w:hAnsiTheme="minorEastAsia" w:eastAsiaTheme="minorEastAsia"/>
          <w:color w:val="181717" w:themeColor="background2" w:themeShade="1A"/>
          <w:kern w:val="0"/>
          <w:sz w:val="28"/>
          <w:szCs w:val="28"/>
          <w:highlight w:val="none"/>
        </w:rPr>
        <w:t>比上年增加</w:t>
      </w:r>
      <w:r>
        <w:rPr>
          <w:rFonts w:hint="eastAsia" w:cs="宋体" w:asciiTheme="minorEastAsia" w:hAnsiTheme="minorEastAsia" w:eastAsiaTheme="minorEastAsia"/>
          <w:color w:val="181717" w:themeColor="background2" w:themeShade="1A"/>
          <w:kern w:val="0"/>
          <w:sz w:val="28"/>
          <w:szCs w:val="28"/>
          <w:highlight w:val="none"/>
          <w:lang w:val="en-US" w:eastAsia="zh-CN"/>
        </w:rPr>
        <w:t>13.07，商品和服务支出</w:t>
      </w:r>
      <w:r>
        <w:rPr>
          <w:rFonts w:hint="eastAsia" w:cs="宋体" w:asciiTheme="minorEastAsia" w:hAnsiTheme="minorEastAsia" w:eastAsiaTheme="minorEastAsia"/>
          <w:color w:val="181717" w:themeColor="background2" w:themeShade="1A"/>
          <w:kern w:val="0"/>
          <w:sz w:val="28"/>
          <w:szCs w:val="28"/>
          <w:highlight w:val="none"/>
        </w:rPr>
        <w:t>比上年</w:t>
      </w:r>
      <w:r>
        <w:rPr>
          <w:rFonts w:hint="eastAsia" w:cs="宋体" w:asciiTheme="minorEastAsia" w:hAnsiTheme="minorEastAsia" w:eastAsiaTheme="minorEastAsia"/>
          <w:color w:val="181717" w:themeColor="background2" w:themeShade="1A"/>
          <w:kern w:val="0"/>
          <w:sz w:val="28"/>
          <w:szCs w:val="28"/>
          <w:highlight w:val="none"/>
          <w:lang w:eastAsia="zh-CN"/>
        </w:rPr>
        <w:t>减少</w:t>
      </w:r>
      <w:r>
        <w:rPr>
          <w:rFonts w:hint="eastAsia" w:cs="宋体" w:asciiTheme="minorEastAsia" w:hAnsiTheme="minorEastAsia" w:eastAsiaTheme="minorEastAsia"/>
          <w:color w:val="181717" w:themeColor="background2" w:themeShade="1A"/>
          <w:kern w:val="0"/>
          <w:sz w:val="28"/>
          <w:szCs w:val="28"/>
          <w:highlight w:val="none"/>
          <w:lang w:val="en-US" w:eastAsia="zh-CN"/>
        </w:rPr>
        <w:t>0.45万元，对个人和家庭补助支出</w:t>
      </w:r>
      <w:r>
        <w:rPr>
          <w:rFonts w:hint="eastAsia" w:cs="宋体" w:asciiTheme="minorEastAsia" w:hAnsiTheme="minorEastAsia" w:eastAsiaTheme="minorEastAsia"/>
          <w:color w:val="181717" w:themeColor="background2" w:themeShade="1A"/>
          <w:kern w:val="0"/>
          <w:sz w:val="28"/>
          <w:szCs w:val="28"/>
          <w:highlight w:val="none"/>
        </w:rPr>
        <w:t>上年增加</w:t>
      </w:r>
      <w:r>
        <w:rPr>
          <w:rFonts w:hint="eastAsia" w:cs="宋体" w:asciiTheme="minorEastAsia" w:hAnsiTheme="minorEastAsia" w:eastAsiaTheme="minorEastAsia"/>
          <w:color w:val="181717" w:themeColor="background2" w:themeShade="1A"/>
          <w:kern w:val="0"/>
          <w:sz w:val="28"/>
          <w:szCs w:val="28"/>
          <w:highlight w:val="none"/>
          <w:lang w:val="en-US" w:eastAsia="zh-CN"/>
        </w:rPr>
        <w:t>1.68万元。</w:t>
      </w:r>
    </w:p>
    <w:p>
      <w:pPr>
        <w:widowControl/>
        <w:spacing w:line="560" w:lineRule="exact"/>
        <w:ind w:firstLine="560" w:firstLineChars="200"/>
        <w:jc w:val="left"/>
        <w:rPr>
          <w:rFonts w:hint="eastAsia" w:cs="宋体" w:asciiTheme="minorEastAsia" w:hAnsiTheme="minorEastAsia" w:eastAsiaTheme="minorEastAsia"/>
          <w:color w:val="181717" w:themeColor="background2" w:themeShade="1A"/>
          <w:kern w:val="0"/>
          <w:sz w:val="28"/>
          <w:szCs w:val="28"/>
          <w:highlight w:val="none"/>
          <w:lang w:eastAsia="zh-CN"/>
        </w:rPr>
      </w:pPr>
      <w:r>
        <w:rPr>
          <w:rFonts w:hint="eastAsia" w:cs="宋体" w:asciiTheme="minorEastAsia" w:hAnsiTheme="minorEastAsia" w:eastAsiaTheme="minorEastAsia"/>
          <w:color w:val="181717" w:themeColor="background2" w:themeShade="1A"/>
          <w:kern w:val="0"/>
          <w:sz w:val="28"/>
          <w:szCs w:val="28"/>
          <w:highlight w:val="none"/>
        </w:rPr>
        <w:t>项目支出</w:t>
      </w:r>
      <w:r>
        <w:rPr>
          <w:rFonts w:hint="eastAsia" w:asciiTheme="minorEastAsia" w:hAnsiTheme="minorEastAsia" w:eastAsiaTheme="minorEastAsia"/>
          <w:color w:val="181717" w:themeColor="background2" w:themeShade="1A"/>
          <w:sz w:val="28"/>
          <w:szCs w:val="28"/>
          <w:highlight w:val="none"/>
          <w:lang w:val="en-US" w:eastAsia="zh-CN"/>
        </w:rPr>
        <w:t>33.25</w:t>
      </w:r>
      <w:r>
        <w:rPr>
          <w:rFonts w:hint="eastAsia" w:cs="宋体" w:asciiTheme="minorEastAsia" w:hAnsiTheme="minorEastAsia" w:eastAsiaTheme="minorEastAsia"/>
          <w:color w:val="181717" w:themeColor="background2" w:themeShade="1A"/>
          <w:kern w:val="0"/>
          <w:sz w:val="28"/>
          <w:szCs w:val="28"/>
          <w:highlight w:val="none"/>
        </w:rPr>
        <w:t>万元，比上年</w:t>
      </w:r>
      <w:r>
        <w:rPr>
          <w:rFonts w:hint="eastAsia" w:cs="宋体" w:asciiTheme="minorEastAsia" w:hAnsiTheme="minorEastAsia" w:eastAsiaTheme="minorEastAsia"/>
          <w:color w:val="181717" w:themeColor="background2" w:themeShade="1A"/>
          <w:kern w:val="0"/>
          <w:sz w:val="28"/>
          <w:szCs w:val="28"/>
          <w:highlight w:val="none"/>
          <w:lang w:eastAsia="zh-CN"/>
        </w:rPr>
        <w:t>增加</w:t>
      </w:r>
      <w:r>
        <w:rPr>
          <w:rFonts w:hint="eastAsia" w:cs="宋体" w:asciiTheme="minorEastAsia" w:hAnsiTheme="minorEastAsia" w:eastAsiaTheme="minorEastAsia"/>
          <w:color w:val="181717" w:themeColor="background2" w:themeShade="1A"/>
          <w:kern w:val="0"/>
          <w:sz w:val="28"/>
          <w:szCs w:val="28"/>
          <w:highlight w:val="none"/>
        </w:rPr>
        <w:t>0.</w:t>
      </w:r>
      <w:r>
        <w:rPr>
          <w:rFonts w:hint="eastAsia" w:cs="宋体" w:asciiTheme="minorEastAsia" w:hAnsiTheme="minorEastAsia" w:eastAsiaTheme="minorEastAsia"/>
          <w:color w:val="181717" w:themeColor="background2" w:themeShade="1A"/>
          <w:kern w:val="0"/>
          <w:sz w:val="28"/>
          <w:szCs w:val="28"/>
          <w:highlight w:val="none"/>
          <w:lang w:val="en-US" w:eastAsia="zh-CN"/>
        </w:rPr>
        <w:t>57</w:t>
      </w:r>
      <w:r>
        <w:rPr>
          <w:rFonts w:hint="eastAsia" w:cs="宋体" w:asciiTheme="minorEastAsia" w:hAnsiTheme="minorEastAsia" w:eastAsiaTheme="minorEastAsia"/>
          <w:color w:val="181717" w:themeColor="background2" w:themeShade="1A"/>
          <w:kern w:val="0"/>
          <w:sz w:val="28"/>
          <w:szCs w:val="28"/>
          <w:highlight w:val="none"/>
        </w:rPr>
        <w:t>万元</w:t>
      </w:r>
      <w:r>
        <w:rPr>
          <w:rFonts w:hint="eastAsia" w:cs="宋体" w:asciiTheme="minorEastAsia" w:hAnsiTheme="minorEastAsia" w:eastAsiaTheme="minorEastAsia"/>
          <w:color w:val="181717" w:themeColor="background2" w:themeShade="1A"/>
          <w:kern w:val="0"/>
          <w:sz w:val="28"/>
          <w:szCs w:val="28"/>
          <w:highlight w:val="none"/>
          <w:lang w:eastAsia="zh-CN"/>
        </w:rPr>
        <w:t>，增加原因细化：</w:t>
      </w:r>
      <w:r>
        <w:rPr>
          <w:rFonts w:hint="eastAsia" w:cs="宋体" w:asciiTheme="minorEastAsia" w:hAnsiTheme="minorEastAsia" w:eastAsiaTheme="minorEastAsia"/>
          <w:color w:val="181717" w:themeColor="background2" w:themeShade="1A"/>
          <w:kern w:val="0"/>
          <w:sz w:val="28"/>
          <w:szCs w:val="28"/>
          <w:highlight w:val="none"/>
          <w:lang w:val="en-US" w:eastAsia="zh-CN"/>
        </w:rPr>
        <w:t>妇联开展活动增加。</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四、关于乌鲁木齐市水磨沟区妇女联合会201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年财政拨款收支预算情况的总体说明</w:t>
      </w:r>
    </w:p>
    <w:p>
      <w:pPr>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财政拨款收支总预算</w:t>
      </w:r>
      <w:r>
        <w:rPr>
          <w:rFonts w:hint="eastAsia" w:asciiTheme="minorEastAsia" w:hAnsiTheme="minorEastAsia" w:eastAsiaTheme="minorEastAsia"/>
          <w:color w:val="181717" w:themeColor="background2" w:themeShade="1A"/>
          <w:sz w:val="28"/>
          <w:szCs w:val="28"/>
          <w:highlight w:val="none"/>
          <w:lang w:val="en-US" w:eastAsia="zh-CN"/>
        </w:rPr>
        <w:t>93.98</w:t>
      </w:r>
      <w:r>
        <w:rPr>
          <w:rFonts w:hint="eastAsia" w:cs="宋体" w:asciiTheme="minorEastAsia" w:hAnsiTheme="minorEastAsia" w:eastAsiaTheme="minorEastAsia"/>
          <w:color w:val="181717" w:themeColor="background2" w:themeShade="1A"/>
          <w:kern w:val="0"/>
          <w:sz w:val="28"/>
          <w:szCs w:val="28"/>
          <w:highlight w:val="none"/>
        </w:rPr>
        <w:t>万元。</w:t>
      </w:r>
    </w:p>
    <w:p>
      <w:pPr>
        <w:spacing w:line="560" w:lineRule="exact"/>
        <w:ind w:firstLine="560" w:firstLineChars="200"/>
        <w:jc w:val="left"/>
        <w:rPr>
          <w:rFonts w:cs="宋体" w:asciiTheme="minorEastAsia" w:hAnsiTheme="minorEastAsia" w:eastAsiaTheme="minorEastAsia"/>
          <w:b/>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收入全部为一般公共预算拨款，无政府性基金预算拨款。</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五、关于乌鲁木齐市水磨沟区妇女联合会201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年一般公共预算基本支出情况说明</w:t>
      </w:r>
    </w:p>
    <w:p>
      <w:pPr>
        <w:widowControl/>
        <w:spacing w:line="560" w:lineRule="exact"/>
        <w:ind w:firstLine="560" w:firstLineChars="200"/>
        <w:jc w:val="left"/>
        <w:rPr>
          <w:rFonts w:cs="宋体" w:asciiTheme="minorEastAsia" w:hAnsiTheme="minorEastAsia" w:eastAsiaTheme="minorEastAsia"/>
          <w:color w:val="auto"/>
          <w:kern w:val="0"/>
          <w:sz w:val="28"/>
          <w:szCs w:val="28"/>
          <w:highlight w:val="none"/>
        </w:rPr>
      </w:pPr>
      <w:r>
        <w:rPr>
          <w:rFonts w:hint="eastAsia" w:cs="宋体" w:asciiTheme="minorEastAsia" w:hAnsiTheme="minorEastAsia" w:eastAsiaTheme="minorEastAsia"/>
          <w:color w:val="auto"/>
          <w:kern w:val="0"/>
          <w:sz w:val="28"/>
          <w:szCs w:val="28"/>
          <w:highlight w:val="none"/>
        </w:rPr>
        <w:t>乌鲁木齐市水磨沟区妇女联合会201</w:t>
      </w:r>
      <w:r>
        <w:rPr>
          <w:rFonts w:hint="eastAsia" w:cs="宋体" w:asciiTheme="minorEastAsia" w:hAnsiTheme="minorEastAsia" w:eastAsiaTheme="minorEastAsia"/>
          <w:color w:val="auto"/>
          <w:kern w:val="0"/>
          <w:sz w:val="28"/>
          <w:szCs w:val="28"/>
          <w:highlight w:val="none"/>
          <w:lang w:val="en-US" w:eastAsia="zh-CN"/>
        </w:rPr>
        <w:t>6</w:t>
      </w:r>
      <w:r>
        <w:rPr>
          <w:rFonts w:hint="eastAsia" w:cs="宋体" w:asciiTheme="minorEastAsia" w:hAnsiTheme="minorEastAsia" w:eastAsiaTheme="minorEastAsia"/>
          <w:color w:val="auto"/>
          <w:kern w:val="0"/>
          <w:sz w:val="28"/>
          <w:szCs w:val="28"/>
          <w:highlight w:val="none"/>
        </w:rPr>
        <w:t>年一般公共预算基本支出</w:t>
      </w:r>
      <w:r>
        <w:rPr>
          <w:rFonts w:hint="eastAsia" w:asciiTheme="minorEastAsia" w:hAnsiTheme="minorEastAsia" w:eastAsiaTheme="minorEastAsia"/>
          <w:color w:val="auto"/>
          <w:sz w:val="28"/>
          <w:szCs w:val="28"/>
          <w:highlight w:val="none"/>
          <w:lang w:val="en-US" w:eastAsia="zh-CN"/>
        </w:rPr>
        <w:t>60.73</w:t>
      </w:r>
      <w:r>
        <w:rPr>
          <w:rFonts w:hint="eastAsia" w:cs="宋体" w:asciiTheme="minorEastAsia" w:hAnsiTheme="minorEastAsia" w:eastAsiaTheme="minorEastAsia"/>
          <w:color w:val="auto"/>
          <w:kern w:val="0"/>
          <w:sz w:val="28"/>
          <w:szCs w:val="28"/>
          <w:highlight w:val="none"/>
        </w:rPr>
        <w:t>万元，其中：</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auto"/>
          <w:kern w:val="0"/>
          <w:sz w:val="28"/>
          <w:szCs w:val="28"/>
          <w:highlight w:val="none"/>
        </w:rPr>
        <w:t>人员经费5</w:t>
      </w:r>
      <w:r>
        <w:rPr>
          <w:rFonts w:hint="eastAsia" w:cs="宋体" w:asciiTheme="minorEastAsia" w:hAnsiTheme="minorEastAsia" w:eastAsiaTheme="minorEastAsia"/>
          <w:color w:val="auto"/>
          <w:kern w:val="0"/>
          <w:sz w:val="28"/>
          <w:szCs w:val="28"/>
          <w:highlight w:val="none"/>
          <w:lang w:val="en-US" w:eastAsia="zh-CN"/>
        </w:rPr>
        <w:t>5.9</w:t>
      </w:r>
      <w:r>
        <w:rPr>
          <w:rFonts w:hint="eastAsia" w:cs="宋体" w:asciiTheme="minorEastAsia" w:hAnsiTheme="minorEastAsia" w:eastAsiaTheme="minorEastAsia"/>
          <w:color w:val="auto"/>
          <w:kern w:val="0"/>
          <w:sz w:val="28"/>
          <w:szCs w:val="28"/>
          <w:highlight w:val="none"/>
        </w:rPr>
        <w:t>万元，主要包括：基本工资、津贴补贴、奖金、其他</w:t>
      </w:r>
      <w:r>
        <w:rPr>
          <w:rFonts w:hint="eastAsia" w:cs="宋体" w:asciiTheme="minorEastAsia" w:hAnsiTheme="minorEastAsia" w:eastAsiaTheme="minorEastAsia"/>
          <w:color w:val="181717" w:themeColor="background2" w:themeShade="1A"/>
          <w:kern w:val="0"/>
          <w:sz w:val="28"/>
          <w:szCs w:val="28"/>
          <w:highlight w:val="none"/>
        </w:rPr>
        <w:t>社会保障缴费、机关事业单位基本养老保险缴费、住房公积金、其他工资福利支出、其他对个人和家庭的补助支出、奖励金。</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公用经费</w:t>
      </w:r>
      <w:r>
        <w:rPr>
          <w:rFonts w:hint="eastAsia" w:asciiTheme="minorEastAsia" w:hAnsiTheme="minorEastAsia" w:eastAsiaTheme="minorEastAsia"/>
          <w:color w:val="181717" w:themeColor="background2" w:themeShade="1A"/>
          <w:sz w:val="28"/>
          <w:szCs w:val="28"/>
          <w:highlight w:val="none"/>
          <w:lang w:val="en-US" w:eastAsia="zh-CN"/>
        </w:rPr>
        <w:t>4.83</w:t>
      </w:r>
      <w:r>
        <w:rPr>
          <w:rFonts w:hint="eastAsia" w:cs="宋体" w:asciiTheme="minorEastAsia" w:hAnsiTheme="minorEastAsia" w:eastAsiaTheme="minorEastAsia"/>
          <w:color w:val="181717" w:themeColor="background2" w:themeShade="1A"/>
          <w:kern w:val="0"/>
          <w:sz w:val="28"/>
          <w:szCs w:val="28"/>
          <w:highlight w:val="none"/>
        </w:rPr>
        <w:t>万元，主要包括：办公费、邮电费、公务用车运行维护费、差旅费、维修(护)费(含其他维修)、培训费、公务接待费、工会经费、福利费、其他商品服务支出。</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六、关于乌鲁木齐市水磨沟区妇女联合会201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年一般公共预算项目支出情况说明</w:t>
      </w:r>
    </w:p>
    <w:p>
      <w:pPr>
        <w:widowControl/>
        <w:spacing w:line="560" w:lineRule="exact"/>
        <w:ind w:firstLine="562" w:firstLineChars="200"/>
        <w:jc w:val="left"/>
        <w:rPr>
          <w:rFonts w:asciiTheme="minorEastAsia" w:hAnsiTheme="minorEastAsia" w:eastAsiaTheme="minorEastAsia"/>
          <w:b/>
          <w:color w:val="181717" w:themeColor="background2" w:themeShade="1A"/>
          <w:sz w:val="28"/>
          <w:szCs w:val="28"/>
          <w:highlight w:val="none"/>
        </w:rPr>
      </w:pPr>
      <w:r>
        <w:rPr>
          <w:rFonts w:hint="eastAsia" w:asciiTheme="minorEastAsia" w:hAnsiTheme="minorEastAsia" w:eastAsiaTheme="minorEastAsia"/>
          <w:b/>
          <w:color w:val="181717" w:themeColor="background2" w:themeShade="1A"/>
          <w:sz w:val="28"/>
          <w:szCs w:val="28"/>
          <w:highlight w:val="none"/>
        </w:rPr>
        <w:t>情况一：（项目支出、专项业务费按下列内容说明）</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项目名称：妇女工作专项经费</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设立的政策依据：根据第十届[2013]36号乌鲁木齐市委常委会会议纪要第四条第（二）项“同意按‘人均一元’的标准核算区县妇女工作经费”</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预算安排规模：30万元</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项目承担单位：乌鲁木齐市水磨沟区妇女联合会</w:t>
      </w:r>
    </w:p>
    <w:p>
      <w:pPr>
        <w:widowControl/>
        <w:spacing w:line="560" w:lineRule="exact"/>
        <w:ind w:firstLine="560" w:firstLineChars="200"/>
        <w:jc w:val="left"/>
        <w:rPr>
          <w:rFonts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资金分配情况：30万元用于水区妇女专项工作</w:t>
      </w:r>
    </w:p>
    <w:p>
      <w:pPr>
        <w:widowControl/>
        <w:spacing w:line="560" w:lineRule="exact"/>
        <w:ind w:firstLine="560" w:firstLineChars="200"/>
        <w:jc w:val="left"/>
        <w:rPr>
          <w:rFonts w:cs="仿宋_GB2312" w:asciiTheme="minorEastAsia" w:hAnsiTheme="minorEastAsia" w:eastAsiaTheme="minorEastAsia"/>
          <w:color w:val="181717" w:themeColor="background2" w:themeShade="1A"/>
          <w:sz w:val="28"/>
          <w:szCs w:val="28"/>
          <w:highlight w:val="none"/>
        </w:rPr>
      </w:pPr>
      <w:r>
        <w:rPr>
          <w:rFonts w:hint="eastAsia" w:cs="仿宋_GB2312" w:asciiTheme="minorEastAsia" w:hAnsiTheme="minorEastAsia" w:eastAsiaTheme="minorEastAsia"/>
          <w:color w:val="181717" w:themeColor="background2" w:themeShade="1A"/>
          <w:sz w:val="28"/>
          <w:szCs w:val="28"/>
          <w:highlight w:val="none"/>
        </w:rPr>
        <w:t>资金执行时间：201</w:t>
      </w:r>
      <w:r>
        <w:rPr>
          <w:rFonts w:hint="eastAsia" w:cs="仿宋_GB2312" w:asciiTheme="minorEastAsia" w:hAnsiTheme="minorEastAsia" w:eastAsiaTheme="minorEastAsia"/>
          <w:color w:val="181717" w:themeColor="background2" w:themeShade="1A"/>
          <w:sz w:val="28"/>
          <w:szCs w:val="28"/>
          <w:highlight w:val="none"/>
          <w:lang w:val="en-US" w:eastAsia="zh-CN"/>
        </w:rPr>
        <w:t>6</w:t>
      </w:r>
      <w:r>
        <w:rPr>
          <w:rFonts w:hint="eastAsia" w:cs="仿宋_GB2312" w:asciiTheme="minorEastAsia" w:hAnsiTheme="minorEastAsia" w:eastAsiaTheme="minorEastAsia"/>
          <w:color w:val="181717" w:themeColor="background2" w:themeShade="1A"/>
          <w:sz w:val="28"/>
          <w:szCs w:val="28"/>
          <w:highlight w:val="none"/>
        </w:rPr>
        <w:t>年全年</w:t>
      </w:r>
    </w:p>
    <w:p>
      <w:pPr>
        <w:widowControl/>
        <w:spacing w:line="560" w:lineRule="exact"/>
        <w:ind w:firstLine="560" w:firstLineChars="200"/>
        <w:jc w:val="left"/>
        <w:rPr>
          <w:rFonts w:cs="仿宋_GB2312" w:asciiTheme="minorEastAsia" w:hAnsiTheme="minorEastAsia" w:eastAsiaTheme="minorEastAsia"/>
          <w:color w:val="181717" w:themeColor="background2" w:themeShade="1A"/>
          <w:sz w:val="28"/>
          <w:szCs w:val="28"/>
          <w:highlight w:val="none"/>
        </w:rPr>
      </w:pPr>
    </w:p>
    <w:p>
      <w:pPr>
        <w:widowControl/>
        <w:spacing w:line="560" w:lineRule="exact"/>
        <w:ind w:firstLine="562" w:firstLineChars="200"/>
        <w:jc w:val="left"/>
        <w:rPr>
          <w:rFonts w:asciiTheme="minorEastAsia" w:hAnsiTheme="minorEastAsia" w:eastAsiaTheme="minorEastAsia"/>
          <w:b/>
          <w:color w:val="181717" w:themeColor="background2" w:themeShade="1A"/>
          <w:sz w:val="28"/>
          <w:szCs w:val="28"/>
          <w:highlight w:val="none"/>
        </w:rPr>
      </w:pPr>
      <w:r>
        <w:rPr>
          <w:rFonts w:hint="eastAsia" w:asciiTheme="minorEastAsia" w:hAnsiTheme="minorEastAsia" w:eastAsiaTheme="minorEastAsia"/>
          <w:b/>
          <w:color w:val="181717" w:themeColor="background2" w:themeShade="1A"/>
          <w:sz w:val="28"/>
          <w:szCs w:val="28"/>
          <w:highlight w:val="none"/>
        </w:rPr>
        <w:t>情况二：（</w:t>
      </w:r>
      <w:r>
        <w:rPr>
          <w:rFonts w:asciiTheme="minorEastAsia" w:hAnsiTheme="minorEastAsia" w:eastAsiaTheme="minorEastAsia"/>
          <w:b/>
          <w:color w:val="181717" w:themeColor="background2" w:themeShade="1A"/>
          <w:sz w:val="28"/>
          <w:szCs w:val="28"/>
          <w:highlight w:val="none"/>
        </w:rPr>
        <w:t>属于</w:t>
      </w:r>
      <w:r>
        <w:rPr>
          <w:rFonts w:asciiTheme="minorEastAsia" w:hAnsiTheme="minorEastAsia" w:eastAsiaTheme="minorEastAsia"/>
          <w:b/>
          <w:color w:val="181717" w:themeColor="background2" w:themeShade="1A"/>
          <w:spacing w:val="-8"/>
          <w:sz w:val="28"/>
          <w:szCs w:val="28"/>
          <w:highlight w:val="none"/>
        </w:rPr>
        <w:t>对个人补贴的项目支出</w:t>
      </w:r>
      <w:r>
        <w:rPr>
          <w:rFonts w:hint="eastAsia" w:asciiTheme="minorEastAsia" w:hAnsiTheme="minorEastAsia" w:eastAsiaTheme="minorEastAsia"/>
          <w:b/>
          <w:color w:val="181717" w:themeColor="background2" w:themeShade="1A"/>
          <w:sz w:val="28"/>
          <w:szCs w:val="28"/>
          <w:highlight w:val="none"/>
        </w:rPr>
        <w:t>按下列内容说明）</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项目名称：2018年临时聘用人员经费</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设立的政策依据：根据人员聘用计划设立依据</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预算安排规模：3.2</w:t>
      </w:r>
      <w:r>
        <w:rPr>
          <w:rFonts w:hint="eastAsia" w:cs="宋体" w:asciiTheme="minorEastAsia" w:hAnsiTheme="minorEastAsia" w:eastAsiaTheme="minorEastAsia"/>
          <w:color w:val="181717" w:themeColor="background2" w:themeShade="1A"/>
          <w:kern w:val="0"/>
          <w:sz w:val="28"/>
          <w:szCs w:val="28"/>
          <w:highlight w:val="none"/>
          <w:lang w:val="en-US" w:eastAsia="zh-CN"/>
        </w:rPr>
        <w:t>5</w:t>
      </w:r>
      <w:r>
        <w:rPr>
          <w:rFonts w:hint="eastAsia" w:cs="宋体" w:asciiTheme="minorEastAsia" w:hAnsiTheme="minorEastAsia" w:eastAsiaTheme="minorEastAsia"/>
          <w:color w:val="181717" w:themeColor="background2" w:themeShade="1A"/>
          <w:kern w:val="0"/>
          <w:sz w:val="28"/>
          <w:szCs w:val="28"/>
          <w:highlight w:val="none"/>
        </w:rPr>
        <w:t>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项目承担单位：乌鲁木齐市水磨沟区妇女联合会</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资金分配情况：聘用人员1名</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资金执行时间：201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年全年</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资金来源：财政拨款</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补贴人数：1人，12338维权热线</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补贴标准：2700元/月/人</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补贴范围：聘用人员工资</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补贴方式：授权支付给个人</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发放程序：按月发放</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受益人群和社会效益：为水区妇联开展工作</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七、关于乌鲁木齐市水磨沟区妇女联合会201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年一般公共预算“三公”经费预算情况说明</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乌鲁木齐市水磨沟区妇女联合会201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年“三公”经费财政拨款预算数为2.48万元，其中：因公出国（境）费0万元，公务用车购置0万元，公务用车运行费</w:t>
      </w:r>
      <w:r>
        <w:rPr>
          <w:rFonts w:hint="eastAsia" w:asciiTheme="minorEastAsia" w:hAnsiTheme="minorEastAsia" w:eastAsiaTheme="minorEastAsia"/>
          <w:color w:val="181717" w:themeColor="background2" w:themeShade="1A"/>
          <w:sz w:val="28"/>
          <w:szCs w:val="28"/>
          <w:highlight w:val="none"/>
        </w:rPr>
        <w:t>2.47</w:t>
      </w:r>
      <w:r>
        <w:rPr>
          <w:rFonts w:hint="eastAsia" w:cs="宋体" w:asciiTheme="minorEastAsia" w:hAnsiTheme="minorEastAsia" w:eastAsiaTheme="minorEastAsia"/>
          <w:color w:val="181717" w:themeColor="background2" w:themeShade="1A"/>
          <w:kern w:val="0"/>
          <w:sz w:val="28"/>
          <w:szCs w:val="28"/>
          <w:highlight w:val="none"/>
        </w:rPr>
        <w:t>万元，公务接待费0.01万元。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年“三公”经费财政拨款预算与上年持平，其中：因公出国（境）费和公务用车购置费未安排预算。公务用车运行费未安排预算；公务接待费与上年持平。</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八、关于乌鲁木齐市水磨沟区妇女联合会201</w:t>
      </w:r>
      <w:r>
        <w:rPr>
          <w:rFonts w:hint="eastAsia" w:ascii="黑体" w:hAnsi="黑体" w:eastAsia="黑体"/>
          <w:b w:val="0"/>
          <w:color w:val="181717" w:themeColor="background2" w:themeShade="1A"/>
          <w:sz w:val="32"/>
          <w:highlight w:val="none"/>
          <w:lang w:val="en-US" w:eastAsia="zh-CN"/>
        </w:rPr>
        <w:t>6</w:t>
      </w:r>
      <w:r>
        <w:rPr>
          <w:rFonts w:hint="eastAsia" w:ascii="黑体" w:hAnsi="黑体" w:eastAsia="黑体"/>
          <w:b w:val="0"/>
          <w:color w:val="181717" w:themeColor="background2" w:themeShade="1A"/>
          <w:sz w:val="32"/>
          <w:highlight w:val="none"/>
        </w:rPr>
        <w:t>年政府性基金预算拨款情况说明</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乌鲁木齐市水磨沟区妇女联合会201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年没有使用政府性基金预算拨款安排的支出，政府性基金预算支出情况表为空表。</w:t>
      </w:r>
    </w:p>
    <w:p>
      <w:pPr>
        <w:pStyle w:val="3"/>
        <w:spacing w:line="560" w:lineRule="exact"/>
        <w:ind w:firstLine="640" w:firstLineChars="200"/>
        <w:rPr>
          <w:rFonts w:ascii="黑体" w:hAnsi="黑体" w:eastAsia="黑体"/>
          <w:b w:val="0"/>
          <w:color w:val="181717" w:themeColor="background2" w:themeShade="1A"/>
          <w:sz w:val="32"/>
          <w:highlight w:val="none"/>
        </w:rPr>
      </w:pPr>
      <w:r>
        <w:rPr>
          <w:rFonts w:hint="eastAsia" w:ascii="黑体" w:hAnsi="黑体" w:eastAsia="黑体"/>
          <w:b w:val="0"/>
          <w:color w:val="181717" w:themeColor="background2" w:themeShade="1A"/>
          <w:sz w:val="32"/>
          <w:highlight w:val="none"/>
        </w:rPr>
        <w:t>九、其他重要事项的情况说明</w:t>
      </w:r>
    </w:p>
    <w:p>
      <w:pPr>
        <w:pStyle w:val="4"/>
        <w:spacing w:line="560" w:lineRule="exact"/>
        <w:ind w:firstLine="643"/>
        <w:rPr>
          <w:rFonts w:ascii="楷体" w:hAnsi="楷体" w:eastAsia="楷体"/>
          <w:color w:val="181717" w:themeColor="background2" w:themeShade="1A"/>
          <w:sz w:val="32"/>
          <w:highlight w:val="none"/>
        </w:rPr>
      </w:pPr>
      <w:r>
        <w:rPr>
          <w:rFonts w:hint="eastAsia" w:ascii="楷体" w:hAnsi="楷体" w:eastAsia="楷体"/>
          <w:color w:val="181717" w:themeColor="background2" w:themeShade="1A"/>
          <w:sz w:val="32"/>
          <w:highlight w:val="none"/>
        </w:rPr>
        <w:t>（一）政府采购情况</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年，部门及下属单位政府采购预算0万元，其中：政府采购货物预算0万元，政府采购工程预算0万元，政府采购服务预算0万元。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asciiTheme="minorEastAsia" w:hAnsiTheme="minorEastAsia" w:eastAsiaTheme="minorEastAsia"/>
          <w:color w:val="181717" w:themeColor="background2" w:themeShade="1A"/>
          <w:sz w:val="28"/>
          <w:szCs w:val="28"/>
          <w:highlight w:val="none"/>
        </w:rPr>
        <w:t>201</w:t>
      </w:r>
      <w:r>
        <w:rPr>
          <w:rFonts w:hint="eastAsia" w:asciiTheme="minorEastAsia" w:hAnsiTheme="minorEastAsia" w:eastAsiaTheme="minorEastAsia"/>
          <w:color w:val="181717" w:themeColor="background2" w:themeShade="1A"/>
          <w:sz w:val="28"/>
          <w:szCs w:val="28"/>
          <w:highlight w:val="none"/>
          <w:lang w:val="en-US" w:eastAsia="zh-CN"/>
        </w:rPr>
        <w:t>6</w:t>
      </w:r>
      <w:r>
        <w:rPr>
          <w:rFonts w:hint="eastAsia" w:asciiTheme="minorEastAsia" w:hAnsiTheme="minorEastAsia" w:eastAsiaTheme="minorEastAsia"/>
          <w:color w:val="181717" w:themeColor="background2" w:themeShade="1A"/>
          <w:sz w:val="28"/>
          <w:szCs w:val="28"/>
          <w:highlight w:val="none"/>
        </w:rPr>
        <w:t>年度本部门面向中小企业预留政府采购项目预算金额0万元，其中：面向小微企业预留政府采购项目预算金额0万元。</w:t>
      </w:r>
    </w:p>
    <w:p>
      <w:pPr>
        <w:pStyle w:val="4"/>
        <w:spacing w:line="560" w:lineRule="exact"/>
        <w:ind w:firstLine="643"/>
        <w:rPr>
          <w:rFonts w:ascii="楷体" w:hAnsi="楷体" w:eastAsia="楷体"/>
          <w:color w:val="181717" w:themeColor="background2" w:themeShade="1A"/>
          <w:sz w:val="32"/>
          <w:highlight w:val="none"/>
        </w:rPr>
      </w:pPr>
      <w:r>
        <w:rPr>
          <w:rFonts w:hint="eastAsia" w:ascii="楷体" w:hAnsi="楷体" w:eastAsia="楷体"/>
          <w:color w:val="181717" w:themeColor="background2" w:themeShade="1A"/>
          <w:sz w:val="32"/>
          <w:highlight w:val="none"/>
        </w:rPr>
        <w:t>（二）国有资产占用使用情况</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截至201</w:t>
      </w:r>
      <w:r>
        <w:rPr>
          <w:rFonts w:hint="eastAsia" w:cs="宋体" w:asciiTheme="minorEastAsia" w:hAnsiTheme="minorEastAsia" w:eastAsiaTheme="minorEastAsia"/>
          <w:color w:val="181717" w:themeColor="background2" w:themeShade="1A"/>
          <w:kern w:val="0"/>
          <w:sz w:val="28"/>
          <w:szCs w:val="28"/>
          <w:highlight w:val="none"/>
          <w:lang w:val="en-US" w:eastAsia="zh-CN"/>
        </w:rPr>
        <w:t>5</w:t>
      </w:r>
      <w:r>
        <w:rPr>
          <w:rFonts w:hint="eastAsia" w:cs="宋体" w:asciiTheme="minorEastAsia" w:hAnsiTheme="minorEastAsia" w:eastAsiaTheme="minorEastAsia"/>
          <w:color w:val="181717" w:themeColor="background2" w:themeShade="1A"/>
          <w:kern w:val="0"/>
          <w:sz w:val="28"/>
          <w:szCs w:val="28"/>
          <w:highlight w:val="none"/>
        </w:rPr>
        <w:t>年底，乌鲁木齐市水磨沟区妇女联合会及下属各预算单位占用使用国有资产总体情况为</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1.房屋0平方米，价值0万元。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2.车辆1辆，价值</w:t>
      </w:r>
      <w:r>
        <w:rPr>
          <w:rFonts w:cs="宋体" w:asciiTheme="minorEastAsia" w:hAnsiTheme="minorEastAsia" w:eastAsiaTheme="minorEastAsia"/>
          <w:color w:val="181717" w:themeColor="background2" w:themeShade="1A"/>
          <w:kern w:val="0"/>
          <w:sz w:val="28"/>
          <w:szCs w:val="28"/>
          <w:highlight w:val="none"/>
        </w:rPr>
        <w:t>11.02</w:t>
      </w:r>
      <w:r>
        <w:rPr>
          <w:rFonts w:hint="eastAsia" w:cs="宋体" w:asciiTheme="minorEastAsia" w:hAnsiTheme="minorEastAsia" w:eastAsiaTheme="minorEastAsia"/>
          <w:color w:val="181717" w:themeColor="background2" w:themeShade="1A"/>
          <w:kern w:val="0"/>
          <w:sz w:val="28"/>
          <w:szCs w:val="28"/>
          <w:highlight w:val="none"/>
        </w:rPr>
        <w:t>万元；其中：一般公务用车1辆，价值</w:t>
      </w:r>
      <w:r>
        <w:rPr>
          <w:rFonts w:cs="宋体" w:asciiTheme="minorEastAsia" w:hAnsiTheme="minorEastAsia" w:eastAsiaTheme="minorEastAsia"/>
          <w:color w:val="181717" w:themeColor="background2" w:themeShade="1A"/>
          <w:kern w:val="0"/>
          <w:sz w:val="28"/>
          <w:szCs w:val="28"/>
          <w:highlight w:val="none"/>
        </w:rPr>
        <w:t>11.02</w:t>
      </w:r>
      <w:r>
        <w:rPr>
          <w:rFonts w:hint="eastAsia" w:cs="宋体" w:asciiTheme="minorEastAsia" w:hAnsiTheme="minorEastAsia" w:eastAsiaTheme="minorEastAsia"/>
          <w:color w:val="181717" w:themeColor="background2" w:themeShade="1A"/>
          <w:kern w:val="0"/>
          <w:sz w:val="28"/>
          <w:szCs w:val="28"/>
          <w:highlight w:val="none"/>
        </w:rPr>
        <w:t>万元；执法执勤用车0辆，价值0万元；其他车辆0辆，价值0万元。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3.其他资产价值（办公家具价值）</w:t>
      </w:r>
      <w:r>
        <w:rPr>
          <w:rFonts w:hint="eastAsia" w:cs="宋体" w:asciiTheme="minorEastAsia" w:hAnsiTheme="minorEastAsia" w:eastAsiaTheme="minorEastAsia"/>
          <w:color w:val="181717" w:themeColor="background2" w:themeShade="1A"/>
          <w:kern w:val="0"/>
          <w:sz w:val="28"/>
          <w:szCs w:val="28"/>
          <w:highlight w:val="none"/>
          <w:lang w:val="en-US" w:eastAsia="zh-CN"/>
        </w:rPr>
        <w:t>15.865</w:t>
      </w:r>
      <w:r>
        <w:rPr>
          <w:rFonts w:hint="eastAsia" w:cs="宋体" w:asciiTheme="minorEastAsia" w:hAnsiTheme="minorEastAsia" w:eastAsiaTheme="minorEastAsia"/>
          <w:color w:val="181717" w:themeColor="background2" w:themeShade="1A"/>
          <w:kern w:val="0"/>
          <w:sz w:val="28"/>
          <w:szCs w:val="28"/>
          <w:highlight w:val="none"/>
        </w:rPr>
        <w:t>万元。</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单位价值50万元以上大型设备0台（套），单位价值100万元以上大型设备0台（套）。</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年部门预算未安排购置车辆经费（或安排购置车辆经费0万元），安排购置50万元以上大型设备0台（套），单位价值100万元以上大型设备0台（套）。</w:t>
      </w:r>
    </w:p>
    <w:p>
      <w:pPr>
        <w:pStyle w:val="4"/>
        <w:spacing w:line="560" w:lineRule="exact"/>
        <w:ind w:firstLine="643"/>
        <w:rPr>
          <w:rFonts w:ascii="楷体" w:hAnsi="楷体" w:eastAsia="楷体"/>
          <w:color w:val="181717" w:themeColor="background2" w:themeShade="1A"/>
          <w:sz w:val="32"/>
          <w:highlight w:val="none"/>
        </w:rPr>
      </w:pPr>
      <w:r>
        <w:rPr>
          <w:rFonts w:hint="eastAsia" w:ascii="楷体" w:hAnsi="楷体" w:eastAsia="楷体"/>
          <w:color w:val="181717" w:themeColor="background2" w:themeShade="1A"/>
          <w:sz w:val="32"/>
          <w:highlight w:val="none"/>
        </w:rPr>
        <w:t>（三）预算绩效情况</w:t>
      </w:r>
    </w:p>
    <w:p>
      <w:pPr>
        <w:widowControl/>
        <w:spacing w:line="560" w:lineRule="exact"/>
        <w:ind w:firstLine="560" w:firstLineChars="200"/>
        <w:jc w:val="left"/>
        <w:rPr>
          <w:rFonts w:cs="宋体" w:asciiTheme="minorEastAsia" w:hAnsiTheme="minorEastAsia" w:eastAsiaTheme="minorEastAsia"/>
          <w:color w:val="181717" w:themeColor="background2" w:themeShade="1A"/>
          <w:kern w:val="0"/>
          <w:sz w:val="28"/>
          <w:szCs w:val="28"/>
          <w:highlight w:val="none"/>
        </w:rPr>
      </w:pPr>
      <w:r>
        <w:rPr>
          <w:rFonts w:hint="eastAsia" w:cs="宋体" w:asciiTheme="minorEastAsia" w:hAnsiTheme="minorEastAsia" w:eastAsiaTheme="minorEastAsia"/>
          <w:color w:val="181717" w:themeColor="background2" w:themeShade="1A"/>
          <w:kern w:val="0"/>
          <w:sz w:val="28"/>
          <w:szCs w:val="28"/>
          <w:highlight w:val="none"/>
        </w:rPr>
        <w:t>201</w:t>
      </w:r>
      <w:r>
        <w:rPr>
          <w:rFonts w:hint="eastAsia" w:cs="宋体" w:asciiTheme="minorEastAsia" w:hAnsiTheme="minorEastAsia" w:eastAsiaTheme="minorEastAsia"/>
          <w:color w:val="181717" w:themeColor="background2" w:themeShade="1A"/>
          <w:kern w:val="0"/>
          <w:sz w:val="28"/>
          <w:szCs w:val="28"/>
          <w:highlight w:val="none"/>
          <w:lang w:val="en-US" w:eastAsia="zh-CN"/>
        </w:rPr>
        <w:t>6</w:t>
      </w:r>
      <w:r>
        <w:rPr>
          <w:rFonts w:hint="eastAsia" w:cs="宋体" w:asciiTheme="minorEastAsia" w:hAnsiTheme="minorEastAsia" w:eastAsiaTheme="minorEastAsia"/>
          <w:color w:val="181717" w:themeColor="background2" w:themeShade="1A"/>
          <w:kern w:val="0"/>
          <w:sz w:val="28"/>
          <w:szCs w:val="28"/>
          <w:highlight w:val="none"/>
        </w:rPr>
        <w:t>年度，本年度实行绩效管理的项目0个，涉及预算金额0万元。具体情况见下表（按项目分别填报）：</w:t>
      </w: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ind w:firstLine="640"/>
        <w:jc w:val="left"/>
        <w:rPr>
          <w:rFonts w:cs="宋体" w:asciiTheme="minorEastAsia" w:hAnsiTheme="minorEastAsia" w:eastAsiaTheme="minorEastAsia"/>
          <w:color w:val="181717" w:themeColor="background2" w:themeShade="1A"/>
          <w:kern w:val="0"/>
          <w:sz w:val="28"/>
          <w:szCs w:val="28"/>
          <w:highlight w:val="none"/>
        </w:rPr>
      </w:pPr>
    </w:p>
    <w:p>
      <w:pPr>
        <w:widowControl/>
        <w:spacing w:line="300" w:lineRule="auto"/>
        <w:jc w:val="left"/>
        <w:rPr>
          <w:rFonts w:cs="宋体" w:asciiTheme="minorEastAsia" w:hAnsiTheme="minorEastAsia" w:eastAsiaTheme="minorEastAsia"/>
          <w:color w:val="181717" w:themeColor="background2" w:themeShade="1A"/>
          <w:kern w:val="0"/>
          <w:sz w:val="28"/>
          <w:szCs w:val="28"/>
          <w:highlight w:val="none"/>
        </w:rPr>
      </w:pPr>
    </w:p>
    <w:p>
      <w:pPr>
        <w:spacing w:line="300" w:lineRule="auto"/>
        <w:jc w:val="center"/>
        <w:rPr>
          <w:rFonts w:cs="宋体" w:asciiTheme="minorEastAsia" w:hAnsiTheme="minorEastAsia" w:eastAsiaTheme="minorEastAsia"/>
          <w:b/>
          <w:color w:val="181717" w:themeColor="background2" w:themeShade="1A"/>
          <w:kern w:val="0"/>
          <w:sz w:val="36"/>
          <w:szCs w:val="36"/>
          <w:highlight w:val="none"/>
        </w:rPr>
      </w:pPr>
      <w:r>
        <w:rPr>
          <w:rFonts w:hint="eastAsia" w:cs="宋体" w:asciiTheme="minorEastAsia" w:hAnsiTheme="minorEastAsia" w:eastAsiaTheme="minorEastAsia"/>
          <w:b/>
          <w:color w:val="181717" w:themeColor="background2" w:themeShade="1A"/>
          <w:kern w:val="0"/>
          <w:sz w:val="36"/>
          <w:szCs w:val="36"/>
          <w:highlight w:val="none"/>
        </w:rPr>
        <w:t>财政支出绩效目标申报表</w:t>
      </w:r>
    </w:p>
    <w:p>
      <w:pPr>
        <w:spacing w:line="300" w:lineRule="auto"/>
        <w:jc w:val="center"/>
        <w:rPr>
          <w:rFonts w:ascii="仿宋_GB2312" w:eastAsia="仿宋_GB2312" w:cs="宋体" w:hAnsiTheme="minorEastAsia"/>
          <w:color w:val="181717" w:themeColor="background2" w:themeShade="1A"/>
          <w:kern w:val="0"/>
          <w:sz w:val="36"/>
          <w:szCs w:val="36"/>
          <w:highlight w:val="none"/>
        </w:rPr>
      </w:pPr>
      <w:r>
        <w:rPr>
          <w:rFonts w:hint="eastAsia" w:ascii="仿宋_GB2312" w:eastAsia="仿宋_GB2312" w:cs="宋体" w:hAnsiTheme="minorEastAsia"/>
          <w:color w:val="181717" w:themeColor="background2" w:themeShade="1A"/>
          <w:kern w:val="0"/>
          <w:sz w:val="36"/>
          <w:szCs w:val="36"/>
          <w:highlight w:val="none"/>
        </w:rPr>
        <w:t>（   年度）</w:t>
      </w:r>
    </w:p>
    <w:p>
      <w:pPr>
        <w:spacing w:line="300" w:lineRule="auto"/>
        <w:rPr>
          <w:rFonts w:ascii="仿宋_GB2312" w:eastAsia="仿宋_GB2312" w:cs="宋体" w:hAnsiTheme="minorEastAsia"/>
          <w:color w:val="181717" w:themeColor="background2" w:themeShade="1A"/>
          <w:kern w:val="0"/>
          <w:sz w:val="32"/>
          <w:szCs w:val="32"/>
          <w:highlight w:val="none"/>
        </w:rPr>
      </w:pPr>
      <w:r>
        <w:rPr>
          <w:rFonts w:hint="eastAsia" w:ascii="仿宋_GB2312" w:eastAsia="仿宋_GB2312" w:cs="宋体" w:hAnsiTheme="minorEastAsia"/>
          <w:color w:val="181717" w:themeColor="background2" w:themeShade="1A"/>
          <w:kern w:val="0"/>
          <w:sz w:val="32"/>
          <w:szCs w:val="32"/>
          <w:highlight w:val="none"/>
        </w:rPr>
        <w:t>填报单位：</w:t>
      </w:r>
    </w:p>
    <w:tbl>
      <w:tblPr>
        <w:tblStyle w:val="13"/>
        <w:tblW w:w="9229" w:type="dxa"/>
        <w:jc w:val="center"/>
        <w:tblInd w:w="93" w:type="dxa"/>
        <w:tblLayout w:type="fixed"/>
        <w:tblCellMar>
          <w:top w:w="0" w:type="dxa"/>
          <w:left w:w="108" w:type="dxa"/>
          <w:bottom w:w="0" w:type="dxa"/>
          <w:right w:w="108" w:type="dxa"/>
        </w:tblCellMar>
      </w:tblPr>
      <w:tblGrid>
        <w:gridCol w:w="1960"/>
        <w:gridCol w:w="2166"/>
        <w:gridCol w:w="74"/>
        <w:gridCol w:w="1780"/>
        <w:gridCol w:w="222"/>
        <w:gridCol w:w="476"/>
        <w:gridCol w:w="1559"/>
        <w:gridCol w:w="992"/>
      </w:tblGrid>
      <w:tr>
        <w:tblPrEx>
          <w:tblLayout w:type="fixed"/>
          <w:tblCellMar>
            <w:top w:w="0" w:type="dxa"/>
            <w:left w:w="108" w:type="dxa"/>
            <w:bottom w:w="0" w:type="dxa"/>
            <w:right w:w="108" w:type="dxa"/>
          </w:tblCellMar>
        </w:tblPrEx>
        <w:trPr>
          <w:trHeight w:val="556" w:hRule="atLeast"/>
          <w:jc w:val="center"/>
        </w:trPr>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项目名称</w:t>
            </w:r>
          </w:p>
        </w:tc>
        <w:tc>
          <w:tcPr>
            <w:tcW w:w="2166" w:type="dxa"/>
            <w:tcBorders>
              <w:top w:val="single" w:color="auto" w:sz="4" w:space="0"/>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1854" w:type="dxa"/>
            <w:gridSpan w:val="2"/>
            <w:tcBorders>
              <w:top w:val="single" w:color="auto" w:sz="4" w:space="0"/>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项目属性</w:t>
            </w:r>
          </w:p>
        </w:tc>
        <w:tc>
          <w:tcPr>
            <w:tcW w:w="3249" w:type="dxa"/>
            <w:gridSpan w:val="4"/>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新增项目□    延续项目□</w:t>
            </w:r>
          </w:p>
        </w:tc>
      </w:tr>
      <w:tr>
        <w:tblPrEx>
          <w:tblLayout w:type="fixed"/>
          <w:tblCellMar>
            <w:top w:w="0" w:type="dxa"/>
            <w:left w:w="108" w:type="dxa"/>
            <w:bottom w:w="0" w:type="dxa"/>
            <w:right w:w="108" w:type="dxa"/>
          </w:tblCellMar>
        </w:tblPrEx>
        <w:trPr>
          <w:trHeight w:val="564" w:hRule="atLeast"/>
          <w:jc w:val="center"/>
        </w:trPr>
        <w:tc>
          <w:tcPr>
            <w:tcW w:w="1960"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主管部门</w:t>
            </w:r>
          </w:p>
        </w:tc>
        <w:tc>
          <w:tcPr>
            <w:tcW w:w="216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1854"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项目实施单位</w:t>
            </w:r>
          </w:p>
        </w:tc>
        <w:tc>
          <w:tcPr>
            <w:tcW w:w="3249" w:type="dxa"/>
            <w:gridSpan w:val="4"/>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项目起止时间</w:t>
            </w:r>
          </w:p>
        </w:tc>
        <w:tc>
          <w:tcPr>
            <w:tcW w:w="2166"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1854"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项目负责人</w:t>
            </w:r>
          </w:p>
        </w:tc>
        <w:tc>
          <w:tcPr>
            <w:tcW w:w="698"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1559"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联系电话</w:t>
            </w:r>
          </w:p>
        </w:tc>
        <w:tc>
          <w:tcPr>
            <w:tcW w:w="992" w:type="dxa"/>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vMerge w:val="restart"/>
            <w:tcBorders>
              <w:top w:val="nil"/>
              <w:left w:val="single" w:color="auto" w:sz="4" w:space="0"/>
              <w:bottom w:val="nil"/>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项目资金（万元）</w:t>
            </w: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资金总额</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nil"/>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财政拨款</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nil"/>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自有资金</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nil"/>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经营性收入</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nil"/>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其他收入</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nil"/>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其他</w:t>
            </w:r>
          </w:p>
        </w:tc>
      </w:tr>
      <w:tr>
        <w:tblPrEx>
          <w:tblLayout w:type="fixed"/>
          <w:tblCellMar>
            <w:top w:w="0" w:type="dxa"/>
            <w:left w:w="108" w:type="dxa"/>
            <w:bottom w:w="0" w:type="dxa"/>
            <w:right w:w="108" w:type="dxa"/>
          </w:tblCellMar>
        </w:tblPrEx>
        <w:trPr>
          <w:trHeight w:val="632" w:hRule="atLeast"/>
          <w:jc w:val="center"/>
        </w:trPr>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单位职能阐述</w:t>
            </w: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spacing w:line="300" w:lineRule="auto"/>
              <w:rPr>
                <w:rFonts w:ascii="仿宋_GB2312" w:eastAsia="仿宋_GB2312" w:cs="宋体" w:hAnsiTheme="minorEastAsia"/>
                <w:color w:val="181717" w:themeColor="background2" w:themeShade="1A"/>
                <w:sz w:val="24"/>
                <w:highlight w:val="none"/>
              </w:rPr>
            </w:pPr>
          </w:p>
        </w:tc>
      </w:tr>
      <w:tr>
        <w:tblPrEx>
          <w:tblLayout w:type="fixed"/>
          <w:tblCellMar>
            <w:top w:w="0" w:type="dxa"/>
            <w:left w:w="108" w:type="dxa"/>
            <w:bottom w:w="0" w:type="dxa"/>
            <w:right w:w="108" w:type="dxa"/>
          </w:tblCellMar>
        </w:tblPrEx>
        <w:trPr>
          <w:trHeight w:val="697" w:hRule="atLeast"/>
          <w:jc w:val="center"/>
        </w:trPr>
        <w:tc>
          <w:tcPr>
            <w:tcW w:w="1960" w:type="dxa"/>
            <w:tcBorders>
              <w:top w:val="nil"/>
              <w:left w:val="single" w:color="auto" w:sz="4" w:space="0"/>
              <w:bottom w:val="single" w:color="auto"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项目概况</w:t>
            </w:r>
          </w:p>
        </w:tc>
        <w:tc>
          <w:tcPr>
            <w:tcW w:w="7269" w:type="dxa"/>
            <w:gridSpan w:val="7"/>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项目立项情况</w:t>
            </w: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项目立项的依据</w:t>
            </w:r>
          </w:p>
        </w:tc>
        <w:tc>
          <w:tcPr>
            <w:tcW w:w="5029" w:type="dxa"/>
            <w:gridSpan w:val="5"/>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项目申报的可行性</w:t>
            </w:r>
          </w:p>
        </w:tc>
        <w:tc>
          <w:tcPr>
            <w:tcW w:w="5029" w:type="dxa"/>
            <w:gridSpan w:val="5"/>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项目申报的必要性</w:t>
            </w:r>
          </w:p>
        </w:tc>
        <w:tc>
          <w:tcPr>
            <w:tcW w:w="5029" w:type="dxa"/>
            <w:gridSpan w:val="5"/>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90" w:hRule="atLeast"/>
          <w:jc w:val="center"/>
        </w:trPr>
        <w:tc>
          <w:tcPr>
            <w:tcW w:w="1960" w:type="dxa"/>
            <w:vMerge w:val="restart"/>
            <w:tcBorders>
              <w:top w:val="nil"/>
              <w:left w:val="single" w:color="auto" w:sz="4" w:space="0"/>
              <w:bottom w:val="single" w:color="000000" w:sz="4" w:space="0"/>
              <w:right w:val="single" w:color="auto"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项目实施进度计划</w:t>
            </w: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项目实施内容</w:t>
            </w:r>
          </w:p>
        </w:tc>
        <w:tc>
          <w:tcPr>
            <w:tcW w:w="2002"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开始时间</w:t>
            </w:r>
          </w:p>
        </w:tc>
        <w:tc>
          <w:tcPr>
            <w:tcW w:w="3027"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完成时间</w:t>
            </w: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1、</w:t>
            </w:r>
          </w:p>
        </w:tc>
        <w:tc>
          <w:tcPr>
            <w:tcW w:w="2002"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c>
          <w:tcPr>
            <w:tcW w:w="3027"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20" w:hRule="atLeast"/>
          <w:jc w:val="center"/>
        </w:trPr>
        <w:tc>
          <w:tcPr>
            <w:tcW w:w="1960"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2、</w:t>
            </w:r>
          </w:p>
        </w:tc>
        <w:tc>
          <w:tcPr>
            <w:tcW w:w="2002"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c>
          <w:tcPr>
            <w:tcW w:w="3027"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r>
        <w:tblPrEx>
          <w:tblLayout w:type="fixed"/>
          <w:tblCellMar>
            <w:top w:w="0" w:type="dxa"/>
            <w:left w:w="108" w:type="dxa"/>
            <w:bottom w:w="0" w:type="dxa"/>
            <w:right w:w="108" w:type="dxa"/>
          </w:tblCellMar>
        </w:tblPrEx>
        <w:trPr>
          <w:trHeight w:val="457" w:hRule="atLeast"/>
          <w:jc w:val="center"/>
        </w:trPr>
        <w:tc>
          <w:tcPr>
            <w:tcW w:w="1960" w:type="dxa"/>
            <w:vMerge w:val="continue"/>
            <w:tcBorders>
              <w:top w:val="nil"/>
              <w:left w:val="single" w:color="auto" w:sz="4" w:space="0"/>
              <w:bottom w:val="single" w:color="000000" w:sz="4" w:space="0"/>
              <w:right w:val="single" w:color="auto" w:sz="4" w:space="0"/>
            </w:tcBorders>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p>
        </w:tc>
        <w:tc>
          <w:tcPr>
            <w:tcW w:w="2240" w:type="dxa"/>
            <w:gridSpan w:val="2"/>
            <w:tcBorders>
              <w:top w:val="nil"/>
              <w:left w:val="nil"/>
              <w:bottom w:val="single" w:color="auto" w:sz="4" w:space="0"/>
              <w:right w:val="single" w:color="auto" w:sz="4" w:space="0"/>
            </w:tcBorders>
            <w:shd w:val="clear" w:color="auto" w:fill="auto"/>
            <w:vAlign w:val="center"/>
          </w:tcPr>
          <w:p>
            <w:pPr>
              <w:widowControl/>
              <w:spacing w:line="300" w:lineRule="auto"/>
              <w:jc w:val="left"/>
              <w:rPr>
                <w:rFonts w:ascii="仿宋_GB2312" w:eastAsia="仿宋_GB2312" w:cs="宋体" w:hAnsiTheme="minorEastAsia"/>
                <w:color w:val="181717" w:themeColor="background2" w:themeShade="1A"/>
                <w:kern w:val="0"/>
                <w:sz w:val="24"/>
                <w:highlight w:val="none"/>
              </w:rPr>
            </w:pPr>
            <w:r>
              <w:rPr>
                <w:rFonts w:hint="eastAsia" w:ascii="仿宋_GB2312" w:eastAsia="仿宋_GB2312" w:cs="宋体" w:hAnsiTheme="minorEastAsia"/>
                <w:color w:val="181717" w:themeColor="background2" w:themeShade="1A"/>
                <w:kern w:val="0"/>
                <w:sz w:val="24"/>
                <w:highlight w:val="none"/>
              </w:rPr>
              <w:t>……</w:t>
            </w:r>
          </w:p>
        </w:tc>
        <w:tc>
          <w:tcPr>
            <w:tcW w:w="2002" w:type="dxa"/>
            <w:gridSpan w:val="2"/>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c>
          <w:tcPr>
            <w:tcW w:w="3027" w:type="dxa"/>
            <w:gridSpan w:val="3"/>
            <w:tcBorders>
              <w:top w:val="single" w:color="auto" w:sz="4" w:space="0"/>
              <w:left w:val="nil"/>
              <w:bottom w:val="single" w:color="auto" w:sz="4" w:space="0"/>
              <w:right w:val="single" w:color="000000" w:sz="4" w:space="0"/>
            </w:tcBorders>
            <w:shd w:val="clear" w:color="auto" w:fill="auto"/>
            <w:vAlign w:val="center"/>
          </w:tcPr>
          <w:p>
            <w:pPr>
              <w:widowControl/>
              <w:spacing w:line="300" w:lineRule="auto"/>
              <w:jc w:val="center"/>
              <w:rPr>
                <w:rFonts w:ascii="仿宋_GB2312" w:eastAsia="仿宋_GB2312" w:cs="宋体" w:hAnsiTheme="minorEastAsia"/>
                <w:color w:val="181717" w:themeColor="background2" w:themeShade="1A"/>
                <w:kern w:val="0"/>
                <w:sz w:val="24"/>
                <w:highlight w:val="none"/>
              </w:rPr>
            </w:pPr>
          </w:p>
        </w:tc>
      </w:tr>
    </w:tbl>
    <w:p>
      <w:pPr>
        <w:pStyle w:val="4"/>
        <w:ind w:firstLine="643"/>
        <w:rPr>
          <w:rFonts w:ascii="楷体" w:hAnsi="楷体" w:eastAsia="楷体"/>
          <w:color w:val="181717" w:themeColor="background2" w:themeShade="1A"/>
          <w:sz w:val="32"/>
          <w:highlight w:val="none"/>
        </w:rPr>
      </w:pPr>
      <w:r>
        <w:rPr>
          <w:rFonts w:hint="eastAsia" w:ascii="楷体" w:hAnsi="楷体" w:eastAsia="楷体"/>
          <w:color w:val="181717" w:themeColor="background2" w:themeShade="1A"/>
          <w:sz w:val="32"/>
          <w:highlight w:val="none"/>
        </w:rPr>
        <w:t>（四）其他需说明的事项</w:t>
      </w:r>
    </w:p>
    <w:p>
      <w:pPr>
        <w:spacing w:line="560" w:lineRule="exact"/>
        <w:ind w:firstLine="420" w:firstLineChars="200"/>
        <w:rPr>
          <w:color w:val="181717" w:themeColor="background2" w:themeShade="1A"/>
          <w:highlight w:val="none"/>
        </w:rPr>
      </w:pPr>
      <w:r>
        <w:rPr>
          <w:rFonts w:hint="eastAsia"/>
          <w:color w:val="181717" w:themeColor="background2" w:themeShade="1A"/>
          <w:highlight w:val="none"/>
        </w:rPr>
        <w:t>……</w:t>
      </w:r>
    </w:p>
    <w:p>
      <w:pPr>
        <w:pStyle w:val="2"/>
        <w:spacing w:before="435"/>
        <w:rPr>
          <w:rFonts w:ascii="黑体" w:hAnsi="黑体" w:eastAsia="黑体"/>
          <w:b w:val="0"/>
          <w:color w:val="181717" w:themeColor="background2" w:themeShade="1A"/>
          <w:szCs w:val="32"/>
          <w:highlight w:val="none"/>
        </w:rPr>
      </w:pPr>
      <w:r>
        <w:rPr>
          <w:rFonts w:hint="eastAsia" w:ascii="黑体" w:hAnsi="黑体" w:eastAsia="黑体"/>
          <w:b w:val="0"/>
          <w:color w:val="181717" w:themeColor="background2" w:themeShade="1A"/>
          <w:szCs w:val="32"/>
          <w:highlight w:val="none"/>
        </w:rPr>
        <w:t>第四部分  名词解释</w:t>
      </w:r>
    </w:p>
    <w:p>
      <w:pPr>
        <w:widowControl/>
        <w:spacing w:line="300" w:lineRule="auto"/>
        <w:ind w:firstLine="640"/>
        <w:jc w:val="left"/>
        <w:rPr>
          <w:rFonts w:ascii="黑体" w:hAnsi="黑体" w:eastAsia="黑体" w:cs="宋体"/>
          <w:color w:val="181717" w:themeColor="background2" w:themeShade="1A"/>
          <w:kern w:val="0"/>
          <w:sz w:val="32"/>
          <w:szCs w:val="32"/>
          <w:highlight w:val="none"/>
        </w:rPr>
      </w:pPr>
      <w:r>
        <w:rPr>
          <w:rFonts w:hint="eastAsia" w:ascii="黑体" w:hAnsi="黑体" w:eastAsia="黑体" w:cs="宋体"/>
          <w:color w:val="181717" w:themeColor="background2" w:themeShade="1A"/>
          <w:kern w:val="0"/>
          <w:sz w:val="32"/>
          <w:szCs w:val="32"/>
          <w:highlight w:val="none"/>
        </w:rPr>
        <w:t>名词解释：</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一、财政拨款：</w:t>
      </w:r>
      <w:r>
        <w:rPr>
          <w:rFonts w:hint="eastAsia" w:asciiTheme="minorEastAsia" w:hAnsiTheme="minorEastAsia" w:eastAsiaTheme="minorEastAsia"/>
          <w:color w:val="181717" w:themeColor="background2" w:themeShade="1A"/>
          <w:sz w:val="28"/>
          <w:szCs w:val="28"/>
          <w:highlight w:val="none"/>
        </w:rPr>
        <w:t>指由一般公共预算、政府性基金预算安排的财政拨款数。</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二、一般公共预算：</w:t>
      </w:r>
      <w:r>
        <w:rPr>
          <w:rFonts w:hint="eastAsia" w:asciiTheme="minorEastAsia" w:hAnsiTheme="minorEastAsia" w:eastAsiaTheme="minorEastAsia"/>
          <w:color w:val="181717" w:themeColor="background2" w:themeShade="1A"/>
          <w:sz w:val="28"/>
          <w:szCs w:val="28"/>
          <w:highlight w:val="none"/>
        </w:rPr>
        <w:t>包括公共财政拨款（补助）资金、专项收入。</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三、非税收入：</w:t>
      </w:r>
      <w:r>
        <w:rPr>
          <w:rFonts w:hint="eastAsia" w:asciiTheme="minorEastAsia" w:hAnsiTheme="minorEastAsia" w:eastAsiaTheme="minorEastAsia"/>
          <w:color w:val="181717" w:themeColor="background2" w:themeShade="1A"/>
          <w:sz w:val="28"/>
          <w:szCs w:val="28"/>
          <w:highlight w:val="none"/>
        </w:rPr>
        <w:t>包括罚没收入、国有资源（资产）有偿使用收入、行政事业性收费收入等。</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四、其他资金：</w:t>
      </w:r>
      <w:r>
        <w:rPr>
          <w:rFonts w:hint="eastAsia" w:asciiTheme="minorEastAsia" w:hAnsiTheme="minorEastAsia" w:eastAsiaTheme="minorEastAsia"/>
          <w:color w:val="181717" w:themeColor="background2" w:themeShade="1A"/>
          <w:sz w:val="28"/>
          <w:szCs w:val="28"/>
          <w:highlight w:val="none"/>
        </w:rPr>
        <w:t>包括事业收入、经营收入、其他收入等。</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五、基本支出：</w:t>
      </w:r>
      <w:r>
        <w:rPr>
          <w:rFonts w:hint="eastAsia" w:asciiTheme="minorEastAsia" w:hAnsiTheme="minorEastAsia" w:eastAsiaTheme="minorEastAsia"/>
          <w:color w:val="181717" w:themeColor="background2" w:themeShade="1A"/>
          <w:sz w:val="28"/>
          <w:szCs w:val="28"/>
          <w:highlight w:val="none"/>
        </w:rPr>
        <w:t>包括人员经费、商品和服务支出（定额）。其中，人员经费包括工资福利支出、对个人和家庭的补助。</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六、项目支出：</w:t>
      </w:r>
      <w:r>
        <w:rPr>
          <w:rFonts w:hint="eastAsia" w:asciiTheme="minorEastAsia" w:hAnsiTheme="minorEastAsia" w:eastAsiaTheme="minorEastAsia"/>
          <w:color w:val="181717" w:themeColor="background2" w:themeShade="1A"/>
          <w:sz w:val="28"/>
          <w:szCs w:val="28"/>
          <w:highlight w:val="none"/>
        </w:rPr>
        <w:t>部门支出预算的组成部分，是本级部门为完成其特定的行政任务或事业发展目标，在基本支出预算之外编制的年度项目支出计划。</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七、“三公”经费：</w:t>
      </w:r>
      <w:r>
        <w:rPr>
          <w:rFonts w:hint="eastAsia" w:asciiTheme="minorEastAsia" w:hAnsiTheme="minorEastAsia" w:eastAsiaTheme="minorEastAsia"/>
          <w:color w:val="181717" w:themeColor="background2" w:themeShade="1A"/>
          <w:sz w:val="28"/>
          <w:szCs w:val="28"/>
          <w:highlight w:val="none"/>
        </w:rPr>
        <w:t>指本级部门用一般公共预算财政拨款安排的因公出国（境）费、公务用车购置及运行费和公务接待费。其中，因公出国（境）费指单位公务出国（境）的住宿费、旅费、伙食补助费、杂费、培训费等支出；公务用车购置及运行费指单位公务用车购置费及租用费、燃料费、维修费、过路过桥费、保险费、安全奖励费用等支出；公务接待费指单位按规定开支的各类公务接待（含外宾接待）支出。</w:t>
      </w:r>
    </w:p>
    <w:p>
      <w:pPr>
        <w:spacing w:line="300" w:lineRule="auto"/>
        <w:ind w:firstLine="642"/>
        <w:rPr>
          <w:rFonts w:asciiTheme="minorEastAsia" w:hAnsiTheme="minorEastAsia" w:eastAsiaTheme="minorEastAsia"/>
          <w:color w:val="181717" w:themeColor="background2" w:themeShade="1A"/>
          <w:sz w:val="28"/>
          <w:szCs w:val="28"/>
          <w:highlight w:val="none"/>
        </w:rPr>
      </w:pPr>
      <w:r>
        <w:rPr>
          <w:rFonts w:hint="eastAsia" w:ascii="黑体" w:hAnsi="黑体" w:eastAsia="黑体"/>
          <w:color w:val="181717" w:themeColor="background2" w:themeShade="1A"/>
          <w:sz w:val="32"/>
          <w:szCs w:val="32"/>
          <w:highlight w:val="none"/>
        </w:rPr>
        <w:t>八、机关运行经费：</w:t>
      </w:r>
      <w:r>
        <w:rPr>
          <w:rFonts w:hint="eastAsia" w:asciiTheme="minorEastAsia" w:hAnsiTheme="minorEastAsia" w:eastAsiaTheme="minorEastAsia"/>
          <w:color w:val="181717" w:themeColor="background2" w:themeShade="1A"/>
          <w:sz w:val="28"/>
          <w:szCs w:val="28"/>
          <w:highlight w:val="none"/>
        </w:rPr>
        <w:t>指各部门的公用经费，包括办公及印刷费、邮电费、差旅费、会议费、福利费、日常维修费、专用材料及一般设备购置费、办公用房水电费、办公用房取暖费、办公用房物业管理费、公务用车运行维护费及其他费用。</w:t>
      </w:r>
    </w:p>
    <w:p>
      <w:pPr>
        <w:widowControl/>
        <w:spacing w:line="300" w:lineRule="auto"/>
        <w:jc w:val="right"/>
        <w:rPr>
          <w:rFonts w:ascii="仿宋_GB2312" w:eastAsia="仿宋_GB2312" w:cs="宋体" w:hAnsiTheme="minorEastAsia"/>
          <w:color w:val="181717" w:themeColor="background2" w:themeShade="1A"/>
          <w:kern w:val="0"/>
          <w:sz w:val="32"/>
          <w:szCs w:val="32"/>
          <w:highlight w:val="none"/>
        </w:rPr>
      </w:pPr>
      <w:r>
        <w:rPr>
          <w:rFonts w:hint="eastAsia" w:ascii="仿宋_GB2312" w:eastAsia="仿宋_GB2312" w:cs="宋体" w:hAnsiTheme="minorEastAsia"/>
          <w:color w:val="181717" w:themeColor="background2" w:themeShade="1A"/>
          <w:kern w:val="0"/>
          <w:sz w:val="32"/>
          <w:szCs w:val="32"/>
          <w:highlight w:val="none"/>
        </w:rPr>
        <w:t>乌鲁木齐市水磨沟区妇女联合会</w:t>
      </w:r>
    </w:p>
    <w:p>
      <w:pPr>
        <w:wordWrap w:val="0"/>
        <w:ind w:firstLine="640"/>
        <w:jc w:val="right"/>
        <w:rPr>
          <w:rFonts w:ascii="仿宋_GB2312" w:eastAsia="仿宋_GB2312" w:hAnsiTheme="minorEastAsia"/>
          <w:color w:val="181717" w:themeColor="background2" w:themeShade="1A"/>
          <w:sz w:val="32"/>
          <w:szCs w:val="32"/>
          <w:highlight w:val="none"/>
        </w:rPr>
      </w:pPr>
      <w:r>
        <w:rPr>
          <w:rFonts w:hint="eastAsia" w:ascii="仿宋_GB2312" w:eastAsia="仿宋_GB2312" w:hAnsiTheme="minorEastAsia"/>
          <w:color w:val="181717" w:themeColor="background2" w:themeShade="1A"/>
          <w:sz w:val="32"/>
          <w:szCs w:val="32"/>
          <w:highlight w:val="none"/>
        </w:rPr>
        <w:t>201</w:t>
      </w:r>
      <w:r>
        <w:rPr>
          <w:rFonts w:hint="eastAsia" w:ascii="仿宋_GB2312" w:eastAsia="仿宋_GB2312" w:hAnsiTheme="minorEastAsia"/>
          <w:color w:val="181717" w:themeColor="background2" w:themeShade="1A"/>
          <w:sz w:val="32"/>
          <w:szCs w:val="32"/>
          <w:highlight w:val="none"/>
          <w:lang w:val="en-US" w:eastAsia="zh-CN"/>
        </w:rPr>
        <w:t>8</w:t>
      </w:r>
      <w:r>
        <w:rPr>
          <w:rFonts w:hint="eastAsia" w:ascii="仿宋_GB2312" w:eastAsia="仿宋_GB2312" w:hAnsiTheme="minorEastAsia"/>
          <w:color w:val="181717" w:themeColor="background2" w:themeShade="1A"/>
          <w:sz w:val="32"/>
          <w:szCs w:val="32"/>
          <w:highlight w:val="none"/>
        </w:rPr>
        <w:t xml:space="preserve">年 </w:t>
      </w:r>
      <w:r>
        <w:rPr>
          <w:rFonts w:hint="eastAsia" w:ascii="仿宋_GB2312" w:eastAsia="仿宋_GB2312" w:hAnsiTheme="minorEastAsia"/>
          <w:color w:val="181717" w:themeColor="background2" w:themeShade="1A"/>
          <w:sz w:val="32"/>
          <w:szCs w:val="32"/>
          <w:highlight w:val="none"/>
          <w:lang w:val="en-US" w:eastAsia="zh-CN"/>
        </w:rPr>
        <w:t>12</w:t>
      </w:r>
      <w:r>
        <w:rPr>
          <w:rFonts w:hint="eastAsia" w:ascii="仿宋_GB2312" w:eastAsia="仿宋_GB2312" w:hAnsiTheme="minorEastAsia"/>
          <w:color w:val="181717" w:themeColor="background2" w:themeShade="1A"/>
          <w:sz w:val="32"/>
          <w:szCs w:val="32"/>
          <w:highlight w:val="none"/>
        </w:rPr>
        <w:t xml:space="preserve"> 月 </w:t>
      </w:r>
      <w:r>
        <w:rPr>
          <w:rFonts w:hint="eastAsia" w:ascii="仿宋_GB2312" w:eastAsia="仿宋_GB2312" w:hAnsiTheme="minorEastAsia"/>
          <w:color w:val="181717" w:themeColor="background2" w:themeShade="1A"/>
          <w:sz w:val="32"/>
          <w:szCs w:val="32"/>
          <w:highlight w:val="none"/>
          <w:lang w:val="en-US" w:eastAsia="zh-CN"/>
        </w:rPr>
        <w:t>16</w:t>
      </w:r>
      <w:r>
        <w:rPr>
          <w:rFonts w:hint="eastAsia" w:ascii="仿宋_GB2312" w:eastAsia="仿宋_GB2312" w:hAnsiTheme="minorEastAsia"/>
          <w:color w:val="181717" w:themeColor="background2" w:themeShade="1A"/>
          <w:sz w:val="32"/>
          <w:szCs w:val="32"/>
          <w:highlight w:val="none"/>
        </w:rPr>
        <w:t xml:space="preserve"> 日</w:t>
      </w:r>
    </w:p>
    <w:p>
      <w:pPr>
        <w:widowControl/>
        <w:wordWrap w:val="0"/>
        <w:spacing w:line="300" w:lineRule="auto"/>
        <w:jc w:val="right"/>
        <w:rPr>
          <w:rFonts w:cs="宋体" w:asciiTheme="minorEastAsia" w:hAnsiTheme="minorEastAsia" w:eastAsiaTheme="minorEastAsia"/>
          <w:color w:val="181717" w:themeColor="background2" w:themeShade="1A"/>
          <w:kern w:val="0"/>
          <w:sz w:val="24"/>
          <w:highlight w:val="none"/>
        </w:rPr>
      </w:pPr>
    </w:p>
    <w:p>
      <w:pPr>
        <w:widowControl/>
        <w:spacing w:line="300" w:lineRule="auto"/>
        <w:jc w:val="left"/>
        <w:rPr>
          <w:rFonts w:asciiTheme="minorEastAsia" w:hAnsiTheme="minorEastAsia" w:eastAsiaTheme="minorEastAsia"/>
          <w:color w:val="181717" w:themeColor="background2" w:themeShade="1A"/>
          <w:sz w:val="24"/>
          <w:highlight w:val="none"/>
        </w:rPr>
      </w:pPr>
    </w:p>
    <w:sectPr>
      <w:footerReference r:id="rId5" w:type="default"/>
      <w:footerReference r:id="rId6" w:type="even"/>
      <w:pgSz w:w="11906" w:h="16838"/>
      <w:pgMar w:top="2098" w:right="1474" w:bottom="1928" w:left="1588" w:header="851" w:footer="992" w:gutter="0"/>
      <w:cols w:space="425" w:num="1"/>
      <w:docGrid w:type="lines" w:linePitch="435" w:charSpace="-167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14 -</w:t>
    </w:r>
    <w:r>
      <w:rPr>
        <w:rFonts w:ascii="宋体" w:hAnsi="宋体" w:eastAsia="宋体"/>
        <w:sz w:val="28"/>
        <w:szCs w:val="28"/>
      </w:rP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Fonts w:ascii="宋体" w:hAnsi="宋体" w:eastAsia="宋体"/>
        <w:sz w:val="28"/>
        <w:szCs w:val="28"/>
      </w:rPr>
    </w:pP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w:t>
    </w:r>
    <w:r>
      <w:rPr>
        <w:rFonts w:ascii="宋体" w:hAnsi="宋体" w:eastAsia="宋体"/>
        <w:sz w:val="28"/>
        <w:szCs w:val="28"/>
      </w:rPr>
      <w:t xml:space="preserve"> 1 -</w:t>
    </w:r>
    <w:r>
      <w:rPr>
        <w:rFonts w:ascii="宋体" w:hAnsi="宋体" w:eastAsia="宋体"/>
        <w:sz w:val="28"/>
        <w:szCs w:val="28"/>
      </w:rPr>
      <w:fldChar w:fldCharType="end"/>
    </w:r>
  </w:p>
  <w:p>
    <w:pPr>
      <w:pStyle w:val="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827" w:wrap="around" w:vAnchor="text" w:hAnchor="margin" w:xAlign="outside" w:y="1"/>
      <w:rPr>
        <w:rStyle w:val="12"/>
      </w:rPr>
    </w:pPr>
    <w:r>
      <w:rPr>
        <w:rStyle w:val="12"/>
        <w:rFonts w:hint="eastAsia"/>
      </w:rPr>
      <w:t>—</w:t>
    </w:r>
    <w:r>
      <w:rPr>
        <w:rStyle w:val="12"/>
        <w:sz w:val="28"/>
        <w:szCs w:val="28"/>
      </w:rPr>
      <w:fldChar w:fldCharType="begin"/>
    </w:r>
    <w:r>
      <w:rPr>
        <w:rStyle w:val="12"/>
        <w:sz w:val="28"/>
        <w:szCs w:val="28"/>
      </w:rPr>
      <w:instrText xml:space="preserve">PAGE  </w:instrText>
    </w:r>
    <w:r>
      <w:rPr>
        <w:rStyle w:val="12"/>
        <w:sz w:val="28"/>
        <w:szCs w:val="28"/>
      </w:rPr>
      <w:fldChar w:fldCharType="separate"/>
    </w:r>
    <w:r>
      <w:rPr>
        <w:rStyle w:val="12"/>
        <w:sz w:val="28"/>
        <w:szCs w:val="28"/>
      </w:rPr>
      <w:t>18</w:t>
    </w:r>
    <w:r>
      <w:rPr>
        <w:rStyle w:val="12"/>
        <w:sz w:val="28"/>
        <w:szCs w:val="28"/>
      </w:rPr>
      <w:fldChar w:fldCharType="end"/>
    </w:r>
    <w:r>
      <w:rPr>
        <w:rStyle w:val="12"/>
        <w:rFonts w:hint="eastAsia"/>
      </w:rPr>
      <w:t>—</w:t>
    </w:r>
  </w:p>
  <w:p>
    <w:pPr>
      <w:pStyle w:val="6"/>
      <w:ind w:right="360"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2"/>
      </w:rPr>
    </w:pPr>
    <w:r>
      <w:rPr>
        <w:rStyle w:val="12"/>
      </w:rPr>
      <w:fldChar w:fldCharType="begin"/>
    </w:r>
    <w:r>
      <w:rPr>
        <w:rStyle w:val="12"/>
      </w:rPr>
      <w:instrText xml:space="preserve">PAGE  </w:instrText>
    </w:r>
    <w:r>
      <w:rPr>
        <w:rStyle w:val="12"/>
      </w:rPr>
      <w:fldChar w:fldCharType="separate"/>
    </w:r>
    <w:r>
      <w:rPr>
        <w:rStyle w:val="12"/>
      </w:rPr>
      <w:t>2</w:t>
    </w:r>
    <w:r>
      <w:rPr>
        <w:rStyle w:val="12"/>
      </w:rPr>
      <w:fldChar w:fldCharType="end"/>
    </w:r>
  </w:p>
  <w:p>
    <w:pPr>
      <w:pStyle w:val="6"/>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383"/>
    <w:rsid w:val="00001A3A"/>
    <w:rsid w:val="00015A9E"/>
    <w:rsid w:val="00045135"/>
    <w:rsid w:val="0005277E"/>
    <w:rsid w:val="000D6F1C"/>
    <w:rsid w:val="000F402D"/>
    <w:rsid w:val="0012274D"/>
    <w:rsid w:val="0017329A"/>
    <w:rsid w:val="00182ABD"/>
    <w:rsid w:val="001939CC"/>
    <w:rsid w:val="00213A21"/>
    <w:rsid w:val="002562E9"/>
    <w:rsid w:val="002629B0"/>
    <w:rsid w:val="002E4246"/>
    <w:rsid w:val="002E727D"/>
    <w:rsid w:val="00353F7D"/>
    <w:rsid w:val="00377063"/>
    <w:rsid w:val="003F6C48"/>
    <w:rsid w:val="004061BE"/>
    <w:rsid w:val="00472D3C"/>
    <w:rsid w:val="004A51A5"/>
    <w:rsid w:val="004B5689"/>
    <w:rsid w:val="004E3FA5"/>
    <w:rsid w:val="005029E0"/>
    <w:rsid w:val="00526B3A"/>
    <w:rsid w:val="00570A18"/>
    <w:rsid w:val="005C7B23"/>
    <w:rsid w:val="00613445"/>
    <w:rsid w:val="00641D87"/>
    <w:rsid w:val="00663BD0"/>
    <w:rsid w:val="006924D8"/>
    <w:rsid w:val="00722B4F"/>
    <w:rsid w:val="00733EE9"/>
    <w:rsid w:val="00741A43"/>
    <w:rsid w:val="007641B2"/>
    <w:rsid w:val="007D2C26"/>
    <w:rsid w:val="007E6E14"/>
    <w:rsid w:val="00845F24"/>
    <w:rsid w:val="00850CD9"/>
    <w:rsid w:val="00864E66"/>
    <w:rsid w:val="008A0022"/>
    <w:rsid w:val="008F078E"/>
    <w:rsid w:val="00980613"/>
    <w:rsid w:val="00A34ADB"/>
    <w:rsid w:val="00A54CF1"/>
    <w:rsid w:val="00B212F7"/>
    <w:rsid w:val="00B24911"/>
    <w:rsid w:val="00B734F3"/>
    <w:rsid w:val="00BA4896"/>
    <w:rsid w:val="00BD0CB6"/>
    <w:rsid w:val="00BD5383"/>
    <w:rsid w:val="00C00BF0"/>
    <w:rsid w:val="00C47E47"/>
    <w:rsid w:val="00C52512"/>
    <w:rsid w:val="00C82B8D"/>
    <w:rsid w:val="00CA30DC"/>
    <w:rsid w:val="00CE071A"/>
    <w:rsid w:val="00D76843"/>
    <w:rsid w:val="00DA2544"/>
    <w:rsid w:val="00DF7927"/>
    <w:rsid w:val="00E26500"/>
    <w:rsid w:val="00E50607"/>
    <w:rsid w:val="00EB54F0"/>
    <w:rsid w:val="00EC213E"/>
    <w:rsid w:val="00F36FFD"/>
    <w:rsid w:val="00F476C3"/>
    <w:rsid w:val="00F6354E"/>
    <w:rsid w:val="00F70055"/>
    <w:rsid w:val="00F761DF"/>
    <w:rsid w:val="00F77C57"/>
    <w:rsid w:val="00FB1F49"/>
    <w:rsid w:val="0E940A8A"/>
    <w:rsid w:val="15D82C41"/>
    <w:rsid w:val="19590CCA"/>
    <w:rsid w:val="1F5C1745"/>
    <w:rsid w:val="2ED31D36"/>
    <w:rsid w:val="33846DF6"/>
    <w:rsid w:val="3C4A5367"/>
    <w:rsid w:val="45F70363"/>
    <w:rsid w:val="47414F87"/>
    <w:rsid w:val="4A077E46"/>
    <w:rsid w:val="4A9B6042"/>
    <w:rsid w:val="54512E1D"/>
    <w:rsid w:val="5BFA1CC4"/>
    <w:rsid w:val="753C0DB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Lines="100" w:line="480" w:lineRule="auto"/>
      <w:jc w:val="center"/>
      <w:outlineLvl w:val="0"/>
    </w:pPr>
    <w:rPr>
      <w:rFonts w:eastAsiaTheme="majorEastAsia"/>
      <w:b/>
      <w:bCs/>
      <w:kern w:val="44"/>
      <w:sz w:val="32"/>
      <w:szCs w:val="44"/>
    </w:rPr>
  </w:style>
  <w:style w:type="paragraph" w:styleId="3">
    <w:name w:val="heading 2"/>
    <w:basedOn w:val="1"/>
    <w:next w:val="1"/>
    <w:link w:val="26"/>
    <w:unhideWhenUsed/>
    <w:qFormat/>
    <w:uiPriority w:val="9"/>
    <w:pPr>
      <w:keepNext/>
      <w:keepLines/>
      <w:spacing w:before="120" w:line="360" w:lineRule="auto"/>
      <w:ind w:firstLine="100" w:firstLineChars="100"/>
      <w:jc w:val="left"/>
      <w:outlineLvl w:val="1"/>
    </w:pPr>
    <w:rPr>
      <w:rFonts w:asciiTheme="majorHAnsi" w:hAnsiTheme="majorHAnsi" w:eastAsiaTheme="majorEastAsia" w:cstheme="majorBidi"/>
      <w:b/>
      <w:bCs/>
      <w:sz w:val="30"/>
      <w:szCs w:val="32"/>
    </w:rPr>
  </w:style>
  <w:style w:type="paragraph" w:styleId="4">
    <w:name w:val="heading 3"/>
    <w:basedOn w:val="1"/>
    <w:next w:val="1"/>
    <w:link w:val="27"/>
    <w:unhideWhenUsed/>
    <w:qFormat/>
    <w:uiPriority w:val="9"/>
    <w:pPr>
      <w:keepNext/>
      <w:keepLines/>
      <w:spacing w:line="300" w:lineRule="auto"/>
      <w:ind w:firstLine="200" w:firstLineChars="200"/>
      <w:jc w:val="left"/>
      <w:outlineLvl w:val="2"/>
    </w:pPr>
    <w:rPr>
      <w:rFonts w:eastAsiaTheme="majorEastAsia"/>
      <w:b/>
      <w:bCs/>
      <w:sz w:val="28"/>
      <w:szCs w:val="32"/>
    </w:rPr>
  </w:style>
  <w:style w:type="character" w:default="1" w:styleId="10">
    <w:name w:val="Default Paragraph Font"/>
    <w:unhideWhenUsed/>
    <w:qFormat/>
    <w:uiPriority w:val="1"/>
  </w:style>
  <w:style w:type="table" w:default="1" w:styleId="13">
    <w:name w:val="Normal Table"/>
    <w:unhideWhenUsed/>
    <w:qFormat/>
    <w:uiPriority w:val="99"/>
    <w:tblPr>
      <w:tblLayout w:type="fixed"/>
      <w:tblCellMar>
        <w:top w:w="0" w:type="dxa"/>
        <w:left w:w="108" w:type="dxa"/>
        <w:bottom w:w="0" w:type="dxa"/>
        <w:right w:w="108" w:type="dxa"/>
      </w:tblCellMar>
    </w:tblPr>
  </w:style>
  <w:style w:type="paragraph" w:styleId="5">
    <w:name w:val="Balloon Text"/>
    <w:basedOn w:val="1"/>
    <w:link w:val="17"/>
    <w:semiHidden/>
    <w:qFormat/>
    <w:uiPriority w:val="0"/>
    <w:rPr>
      <w:sz w:val="18"/>
      <w:szCs w:val="18"/>
    </w:rPr>
  </w:style>
  <w:style w:type="paragraph" w:styleId="6">
    <w:name w:val="footer"/>
    <w:basedOn w:val="1"/>
    <w:link w:val="15"/>
    <w:qFormat/>
    <w:uiPriority w:val="99"/>
    <w:pPr>
      <w:tabs>
        <w:tab w:val="center" w:pos="4153"/>
        <w:tab w:val="right" w:pos="8306"/>
      </w:tabs>
      <w:snapToGrid w:val="0"/>
      <w:jc w:val="left"/>
    </w:pPr>
    <w:rPr>
      <w:rFonts w:eastAsia="黑体"/>
      <w:snapToGrid w:val="0"/>
      <w:kern w:val="0"/>
      <w:sz w:val="18"/>
      <w:szCs w:val="18"/>
    </w:rPr>
  </w:style>
  <w:style w:type="paragraph" w:styleId="7">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8">
    <w:name w:val="Body Text Indent 3"/>
    <w:basedOn w:val="1"/>
    <w:link w:val="19"/>
    <w:qFormat/>
    <w:uiPriority w:val="0"/>
    <w:pPr>
      <w:pBdr>
        <w:top w:val="single" w:color="auto" w:sz="12" w:space="1"/>
        <w:bottom w:val="single" w:color="auto" w:sz="12" w:space="1"/>
      </w:pBdr>
      <w:spacing w:line="600" w:lineRule="exact"/>
      <w:ind w:left="1280" w:hanging="1280" w:hangingChars="400"/>
    </w:pPr>
    <w:rPr>
      <w:rFonts w:eastAsia="仿宋_GB2312"/>
      <w:sz w:val="32"/>
    </w:rPr>
  </w:style>
  <w:style w:type="paragraph" w:styleId="9">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character" w:styleId="11">
    <w:name w:val="Strong"/>
    <w:qFormat/>
    <w:uiPriority w:val="0"/>
    <w:rPr>
      <w:rFonts w:cs="Times New Roman"/>
      <w:b/>
      <w:bCs/>
    </w:rPr>
  </w:style>
  <w:style w:type="character" w:styleId="12">
    <w:name w:val="page number"/>
    <w:basedOn w:val="10"/>
    <w:qFormat/>
    <w:uiPriority w:val="0"/>
  </w:style>
  <w:style w:type="table" w:styleId="14">
    <w:name w:val="Table Grid"/>
    <w:basedOn w:val="13"/>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5">
    <w:name w:val="页脚 Char"/>
    <w:basedOn w:val="10"/>
    <w:link w:val="6"/>
    <w:qFormat/>
    <w:uiPriority w:val="99"/>
    <w:rPr>
      <w:rFonts w:ascii="Times New Roman" w:hAnsi="Times New Roman" w:eastAsia="黑体" w:cs="Times New Roman"/>
      <w:snapToGrid w:val="0"/>
      <w:kern w:val="0"/>
      <w:sz w:val="18"/>
      <w:szCs w:val="18"/>
    </w:rPr>
  </w:style>
  <w:style w:type="paragraph" w:customStyle="1" w:styleId="16">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character" w:customStyle="1" w:styleId="17">
    <w:name w:val="批注框文本 Char"/>
    <w:basedOn w:val="10"/>
    <w:link w:val="5"/>
    <w:semiHidden/>
    <w:qFormat/>
    <w:uiPriority w:val="0"/>
    <w:rPr>
      <w:rFonts w:ascii="Times New Roman" w:hAnsi="Times New Roman" w:eastAsia="宋体" w:cs="Times New Roman"/>
      <w:sz w:val="18"/>
      <w:szCs w:val="18"/>
    </w:rPr>
  </w:style>
  <w:style w:type="character" w:customStyle="1" w:styleId="18">
    <w:name w:val="页眉 Char"/>
    <w:basedOn w:val="10"/>
    <w:link w:val="7"/>
    <w:qFormat/>
    <w:uiPriority w:val="0"/>
    <w:rPr>
      <w:rFonts w:ascii="Times New Roman" w:hAnsi="Times New Roman" w:eastAsia="宋体" w:cs="Times New Roman"/>
      <w:sz w:val="18"/>
      <w:szCs w:val="18"/>
    </w:rPr>
  </w:style>
  <w:style w:type="character" w:customStyle="1" w:styleId="19">
    <w:name w:val="正文文本缩进 3 Char"/>
    <w:basedOn w:val="10"/>
    <w:link w:val="8"/>
    <w:qFormat/>
    <w:uiPriority w:val="0"/>
    <w:rPr>
      <w:rFonts w:ascii="Times New Roman" w:hAnsi="Times New Roman" w:eastAsia="仿宋_GB2312" w:cs="Times New Roman"/>
      <w:sz w:val="32"/>
      <w:szCs w:val="24"/>
    </w:rPr>
  </w:style>
  <w:style w:type="paragraph" w:customStyle="1" w:styleId="20">
    <w:name w:val="List Paragraph"/>
    <w:basedOn w:val="1"/>
    <w:qFormat/>
    <w:uiPriority w:val="34"/>
    <w:pPr>
      <w:ind w:firstLine="420" w:firstLineChars="200"/>
    </w:pPr>
    <w:rPr>
      <w:rFonts w:ascii="Calibri" w:hAnsi="Calibri"/>
      <w:szCs w:val="22"/>
    </w:rPr>
  </w:style>
  <w:style w:type="paragraph" w:customStyle="1" w:styleId="21">
    <w:name w:val="普通(网站)1"/>
    <w:basedOn w:val="1"/>
    <w:qFormat/>
    <w:uiPriority w:val="0"/>
    <w:rPr>
      <w:rFonts w:ascii="Calibri" w:hAnsi="Calibri" w:cs="黑体"/>
      <w:sz w:val="24"/>
    </w:rPr>
  </w:style>
  <w:style w:type="table" w:customStyle="1" w:styleId="22">
    <w:name w:val="网格型1"/>
    <w:basedOn w:val="13"/>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23">
    <w:name w:val="普通(网站)2"/>
    <w:basedOn w:val="1"/>
    <w:qFormat/>
    <w:uiPriority w:val="0"/>
    <w:rPr>
      <w:rFonts w:ascii="Calibri" w:hAnsi="Calibri" w:cs="黑体"/>
      <w:sz w:val="24"/>
    </w:rPr>
  </w:style>
  <w:style w:type="paragraph" w:customStyle="1" w:styleId="24">
    <w:name w:val="普通(网站)3"/>
    <w:basedOn w:val="1"/>
    <w:qFormat/>
    <w:uiPriority w:val="0"/>
    <w:rPr>
      <w:rFonts w:ascii="Calibri" w:hAnsi="Calibri" w:cs="黑体"/>
      <w:sz w:val="24"/>
    </w:rPr>
  </w:style>
  <w:style w:type="character" w:customStyle="1" w:styleId="25">
    <w:name w:val="标题 1 Char"/>
    <w:basedOn w:val="10"/>
    <w:link w:val="2"/>
    <w:qFormat/>
    <w:uiPriority w:val="9"/>
    <w:rPr>
      <w:rFonts w:ascii="Times New Roman" w:hAnsi="Times New Roman" w:cs="Times New Roman" w:eastAsiaTheme="majorEastAsia"/>
      <w:b/>
      <w:bCs/>
      <w:kern w:val="44"/>
      <w:sz w:val="32"/>
      <w:szCs w:val="44"/>
    </w:rPr>
  </w:style>
  <w:style w:type="character" w:customStyle="1" w:styleId="26">
    <w:name w:val="标题 2 Char"/>
    <w:basedOn w:val="10"/>
    <w:link w:val="3"/>
    <w:qFormat/>
    <w:uiPriority w:val="9"/>
    <w:rPr>
      <w:rFonts w:asciiTheme="majorHAnsi" w:hAnsiTheme="majorHAnsi" w:eastAsiaTheme="majorEastAsia" w:cstheme="majorBidi"/>
      <w:b/>
      <w:bCs/>
      <w:sz w:val="30"/>
      <w:szCs w:val="32"/>
    </w:rPr>
  </w:style>
  <w:style w:type="character" w:customStyle="1" w:styleId="27">
    <w:name w:val="标题 3 Char"/>
    <w:basedOn w:val="10"/>
    <w:link w:val="4"/>
    <w:qFormat/>
    <w:uiPriority w:val="9"/>
    <w:rPr>
      <w:rFonts w:ascii="Times New Roman" w:hAnsi="Times New Roman" w:cs="Times New Roman" w:eastAsiaTheme="majorEastAsia"/>
      <w:b/>
      <w:bCs/>
      <w:sz w:val="28"/>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23</Pages>
  <Words>1282</Words>
  <Characters>7309</Characters>
  <Lines>60</Lines>
  <Paragraphs>17</Paragraphs>
  <TotalTime>0</TotalTime>
  <ScaleCrop>false</ScaleCrop>
  <LinksUpToDate>false</LinksUpToDate>
  <CharactersWithSpaces>8574</CharactersWithSpaces>
  <Application>WPS Office_10.1.0.7697_F1E327BC-269C-435d-A152-05C5408002CA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2018-03-21T03:32:00Z</dcterms:created>
  <dc:creator>Administrator</dc:creator>
  <cp:lastModifiedBy>zx</cp:lastModifiedBy>
  <dcterms:modified xsi:type="dcterms:W3CDTF">2018-12-16T16:06:01Z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