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171717" w:themeColor="background2" w:themeShade="1A"/>
          <w:sz w:val="44"/>
          <w:szCs w:val="44"/>
        </w:rPr>
      </w:pPr>
      <w:r>
        <w:rPr>
          <w:rFonts w:hint="eastAsia" w:ascii="黑体" w:hAnsi="黑体" w:eastAsia="黑体"/>
          <w:color w:val="171717" w:themeColor="background2" w:themeShade="1A"/>
          <w:sz w:val="44"/>
          <w:szCs w:val="44"/>
        </w:rPr>
        <w:t>附件：</w:t>
      </w: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乌鲁木齐市第一一五小学2016年预算公开</w:t>
      </w:r>
    </w:p>
    <w:p>
      <w:pPr>
        <w:widowControl/>
        <w:spacing w:line="460" w:lineRule="exact"/>
        <w:ind w:firstLine="221" w:firstLineChars="50"/>
        <w:outlineLvl w:val="1"/>
        <w:rPr>
          <w:rFonts w:ascii="黑体" w:hAnsi="黑体" w:eastAsia="黑体"/>
          <w:b/>
          <w:color w:val="171717" w:themeColor="background2" w:themeShade="1A"/>
          <w:kern w:val="0"/>
          <w:sz w:val="44"/>
          <w:szCs w:val="44"/>
        </w:rPr>
      </w:pPr>
    </w:p>
    <w:p>
      <w:pPr>
        <w:widowControl/>
        <w:spacing w:line="460" w:lineRule="exact"/>
        <w:ind w:firstLine="221" w:firstLineChars="50"/>
        <w:outlineLvl w:val="1"/>
        <w:rPr>
          <w:rFonts w:ascii="宋体" w:hAnsi="宋体"/>
          <w:b/>
          <w:color w:val="171717" w:themeColor="background2" w:themeShade="1A"/>
          <w:kern w:val="0"/>
          <w:sz w:val="44"/>
          <w:szCs w:val="44"/>
        </w:rPr>
      </w:pPr>
    </w:p>
    <w:p>
      <w:pPr>
        <w:widowControl/>
        <w:spacing w:line="460" w:lineRule="exact"/>
        <w:ind w:firstLine="221" w:firstLineChars="50"/>
        <w:outlineLvl w:val="1"/>
        <w:rPr>
          <w:rFonts w:ascii="宋体" w:hAnsi="宋体"/>
          <w:b/>
          <w:color w:val="171717" w:themeColor="background2" w:themeShade="1A"/>
          <w:kern w:val="0"/>
          <w:sz w:val="44"/>
          <w:szCs w:val="44"/>
        </w:rPr>
      </w:pPr>
    </w:p>
    <w:p>
      <w:pPr>
        <w:widowControl/>
        <w:spacing w:line="460" w:lineRule="exact"/>
        <w:ind w:firstLine="221" w:firstLineChars="50"/>
        <w:outlineLvl w:val="1"/>
        <w:rPr>
          <w:rFonts w:ascii="宋体" w:hAnsi="宋体"/>
          <w:b/>
          <w:color w:val="171717" w:themeColor="background2" w:themeShade="1A"/>
          <w:kern w:val="0"/>
          <w:sz w:val="44"/>
          <w:szCs w:val="44"/>
        </w:rPr>
      </w:pPr>
    </w:p>
    <w:p>
      <w:pPr>
        <w:widowControl/>
        <w:spacing w:line="460" w:lineRule="exact"/>
        <w:ind w:firstLine="221" w:firstLineChars="50"/>
        <w:outlineLvl w:val="1"/>
        <w:rPr>
          <w:rFonts w:ascii="宋体" w:hAnsi="宋体"/>
          <w:b/>
          <w:color w:val="171717" w:themeColor="background2" w:themeShade="1A"/>
          <w:kern w:val="0"/>
          <w:sz w:val="44"/>
          <w:szCs w:val="44"/>
        </w:rPr>
      </w:pPr>
    </w:p>
    <w:p>
      <w:pPr>
        <w:widowControl/>
        <w:spacing w:line="460" w:lineRule="exact"/>
        <w:ind w:firstLine="221" w:firstLineChars="50"/>
        <w:outlineLvl w:val="1"/>
        <w:rPr>
          <w:rFonts w:ascii="宋体" w:hAnsi="宋体"/>
          <w:b/>
          <w:color w:val="171717" w:themeColor="background2" w:themeShade="1A"/>
          <w:kern w:val="0"/>
          <w:sz w:val="44"/>
          <w:szCs w:val="44"/>
        </w:rPr>
      </w:pP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ind w:firstLine="2560" w:firstLineChars="800"/>
        <w:outlineLvl w:val="1"/>
        <w:rPr>
          <w:rFonts w:ascii="仿宋_GB2312" w:hAnsi="宋体" w:eastAsia="仿宋_GB2312"/>
          <w:color w:val="171717" w:themeColor="background2" w:themeShade="1A"/>
          <w:kern w:val="0"/>
          <w:sz w:val="32"/>
          <w:szCs w:val="32"/>
        </w:rPr>
      </w:pPr>
    </w:p>
    <w:p>
      <w:pPr>
        <w:widowControl/>
        <w:spacing w:line="460" w:lineRule="exact"/>
        <w:ind w:firstLine="2560" w:firstLineChars="800"/>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outlineLvl w:val="1"/>
        <w:rPr>
          <w:rFonts w:ascii="宋体" w:hAnsi="宋体"/>
          <w:b/>
          <w:color w:val="171717" w:themeColor="background2" w:themeShade="1A"/>
          <w:kern w:val="0"/>
          <w:sz w:val="44"/>
          <w:szCs w:val="44"/>
        </w:rPr>
      </w:pPr>
    </w:p>
    <w:p>
      <w:pPr>
        <w:widowControl/>
        <w:spacing w:line="500" w:lineRule="exact"/>
        <w:jc w:val="center"/>
        <w:outlineLvl w:val="1"/>
        <w:rPr>
          <w:rFonts w:ascii="黑体" w:hAnsi="黑体" w:eastAsia="黑体"/>
          <w:color w:val="171717" w:themeColor="background2" w:themeShade="1A"/>
          <w:kern w:val="0"/>
          <w:sz w:val="44"/>
          <w:szCs w:val="44"/>
        </w:rPr>
      </w:pPr>
    </w:p>
    <w:p>
      <w:pPr>
        <w:widowControl/>
        <w:spacing w:line="500" w:lineRule="exact"/>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目录</w:t>
      </w:r>
    </w:p>
    <w:p>
      <w:pPr>
        <w:widowControl/>
        <w:spacing w:line="500" w:lineRule="exact"/>
        <w:jc w:val="center"/>
        <w:outlineLvl w:val="1"/>
        <w:rPr>
          <w:rFonts w:ascii="宋体" w:hAnsi="宋体"/>
          <w:b/>
          <w:color w:val="171717" w:themeColor="background2" w:themeShade="1A"/>
          <w:kern w:val="0"/>
          <w:sz w:val="44"/>
          <w:szCs w:val="44"/>
        </w:rPr>
      </w:pPr>
    </w:p>
    <w:p>
      <w:pPr>
        <w:widowControl/>
        <w:spacing w:line="460" w:lineRule="exac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第一部分  乌鲁木齐市第一一五小学单位概况</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一、主要职能</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二、机构设置及人员情况</w:t>
      </w:r>
    </w:p>
    <w:p>
      <w:pPr>
        <w:widowControl/>
        <w:spacing w:line="460" w:lineRule="exac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第二部分  2016年乌鲁木齐市第一一五小学预算公开表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一、部门总体情况表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二、部门收入总体情况表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三、部门支出总体情况表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四、财政拨款收支总体情况表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五、一般公共预算支出情况表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六、一般公共预算基本支出情况表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七、</w:t>
      </w:r>
      <w:r>
        <w:rPr>
          <w:rFonts w:hint="eastAsia" w:ascii="仿宋_GB2312" w:hAnsi="宋体" w:eastAsia="仿宋_GB2312"/>
          <w:bCs/>
          <w:color w:val="171717" w:themeColor="background2" w:themeShade="1A"/>
          <w:kern w:val="0"/>
          <w:sz w:val="32"/>
          <w:szCs w:val="32"/>
        </w:rPr>
        <w:t>项目支出情况表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八、一般公共预算“三公”经费支出情况表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九、政府性基金预算支出情况表</w:t>
      </w:r>
    </w:p>
    <w:p>
      <w:pPr>
        <w:widowControl/>
        <w:spacing w:line="460" w:lineRule="exac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第三部分  2016年乌鲁木齐市第一一五小学预算情况说明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一、关于乌鲁木齐市第一一五小学2016年收支预算情况的总体说明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二、关于乌鲁木齐市第一一五小学2016年收入预算情况说明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三、关于乌鲁木齐市第一一五小学2016年支出预算情况说明</w:t>
      </w:r>
    </w:p>
    <w:p>
      <w:pPr>
        <w:widowControl/>
        <w:spacing w:line="460" w:lineRule="exact"/>
        <w:outlineLvl w:val="1"/>
        <w:rPr>
          <w:rFonts w:ascii="仿宋_GB2312" w:hAnsi="宋体" w:eastAsia="仿宋_GB2312"/>
          <w:bCs/>
          <w:color w:val="171717" w:themeColor="background2" w:themeShade="1A"/>
          <w:kern w:val="0"/>
          <w:sz w:val="32"/>
          <w:szCs w:val="32"/>
        </w:rPr>
      </w:pPr>
      <w:r>
        <w:rPr>
          <w:rFonts w:hint="eastAsia" w:ascii="仿宋_GB2312" w:hAnsi="宋体" w:eastAsia="仿宋_GB2312"/>
          <w:bCs/>
          <w:color w:val="171717" w:themeColor="background2" w:themeShade="1A"/>
          <w:kern w:val="0"/>
          <w:sz w:val="32"/>
          <w:szCs w:val="32"/>
        </w:rPr>
        <w:t>四、关于乌鲁木齐市第一一五小学2016年财政拨款收支预算情况的总体说明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五、关于乌鲁木齐市第一一五小学2016年一般公共预算当年拨款情况说明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六、关于乌鲁木齐市第一一五小学2016年一般公共预算基本支出情况说明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七、关于乌鲁木齐市第一一五小学2016年项目支出情况说明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八、关于乌鲁木齐市第一一五小学2016年一般公共预算“三公”经费预算情况说明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九、关于乌鲁木齐市第一一五小学2016年政府性基金预算拨款情况说明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十、其他重要事项的情况说明</w:t>
      </w:r>
    </w:p>
    <w:p>
      <w:pPr>
        <w:widowControl/>
        <w:spacing w:line="460" w:lineRule="exac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第四部分  名词解释</w:t>
      </w:r>
    </w:p>
    <w:p>
      <w:pPr>
        <w:widowControl/>
        <w:jc w:val="left"/>
        <w:rPr>
          <w:rFonts w:ascii="仿宋_GB2312" w:hAnsi="宋体" w:eastAsia="仿宋_GB2312"/>
          <w:b/>
          <w:color w:val="171717" w:themeColor="background2" w:themeShade="1A"/>
          <w:kern w:val="0"/>
          <w:sz w:val="32"/>
          <w:szCs w:val="32"/>
        </w:rPr>
      </w:pPr>
      <w:r>
        <w:rPr>
          <w:rFonts w:ascii="仿宋_GB2312" w:hAnsi="宋体" w:eastAsia="仿宋_GB2312"/>
          <w:b/>
          <w:color w:val="171717" w:themeColor="background2" w:themeShade="1A"/>
          <w:kern w:val="0"/>
          <w:sz w:val="32"/>
          <w:szCs w:val="32"/>
        </w:rPr>
        <w:br w:type="page"/>
      </w:r>
    </w:p>
    <w:p>
      <w:pPr>
        <w:widowControl/>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第一部分  乌鲁木齐市第一一五小学单位概况</w:t>
      </w:r>
    </w:p>
    <w:p>
      <w:pPr>
        <w:widowControl/>
        <w:jc w:val="center"/>
        <w:outlineLvl w:val="1"/>
        <w:rPr>
          <w:rFonts w:ascii="宋体" w:hAnsi="宋体"/>
          <w:b/>
          <w:color w:val="171717" w:themeColor="background2" w:themeShade="1A"/>
          <w:kern w:val="0"/>
          <w:sz w:val="32"/>
          <w:szCs w:val="32"/>
        </w:rPr>
      </w:pPr>
    </w:p>
    <w:p>
      <w:pPr>
        <w:widowControl/>
        <w:spacing w:line="560" w:lineRule="exact"/>
        <w:jc w:val="left"/>
        <w:rPr>
          <w:rFonts w:ascii="黑体" w:hAnsi="黑体" w:eastAsia="黑体" w:cs="宋体"/>
          <w:bCs/>
          <w:color w:val="171717" w:themeColor="background2" w:themeShade="1A"/>
          <w:kern w:val="0"/>
          <w:sz w:val="32"/>
          <w:szCs w:val="32"/>
        </w:rPr>
      </w:pPr>
      <w:r>
        <w:rPr>
          <w:rFonts w:hint="eastAsia" w:ascii="黑体" w:hAnsi="黑体" w:eastAsia="黑体" w:cs="宋体"/>
          <w:bCs/>
          <w:color w:val="171717" w:themeColor="background2" w:themeShade="1A"/>
          <w:kern w:val="0"/>
          <w:sz w:val="32"/>
          <w:szCs w:val="32"/>
        </w:rPr>
        <w:t>一、主要职能</w:t>
      </w:r>
    </w:p>
    <w:p>
      <w:pPr>
        <w:widowControl/>
        <w:spacing w:line="560" w:lineRule="exact"/>
        <w:ind w:firstLine="560" w:firstLineChars="200"/>
        <w:jc w:val="left"/>
        <w:rPr>
          <w:rFonts w:cs="宋体" w:asciiTheme="minorEastAsia" w:hAnsiTheme="minorEastAsia" w:eastAsiaTheme="minorEastAsia"/>
          <w:bCs/>
          <w:color w:val="171717" w:themeColor="background2" w:themeShade="1A"/>
          <w:kern w:val="0"/>
          <w:sz w:val="28"/>
          <w:szCs w:val="28"/>
        </w:rPr>
      </w:pPr>
      <w:r>
        <w:rPr>
          <w:rFonts w:hint="eastAsia" w:cs="仿宋" w:asciiTheme="minorEastAsia" w:hAnsiTheme="minorEastAsia" w:eastAsiaTheme="minorEastAsia"/>
          <w:color w:val="171717" w:themeColor="background2" w:themeShade="1A"/>
          <w:sz w:val="28"/>
          <w:szCs w:val="28"/>
        </w:rPr>
        <w:t>乌鲁木齐市第115小学由乌鲁木齐市水磨沟区人民政府举办，主管部门是乌鲁木齐市水磨沟区教育局。学校是非营利性教育事业单位，具有独立法人资格。学校为一所实施</w:t>
      </w:r>
      <w:r>
        <w:rPr>
          <w:rFonts w:cs="仿宋" w:asciiTheme="minorEastAsia" w:hAnsiTheme="minorEastAsia" w:eastAsiaTheme="minorEastAsia"/>
          <w:color w:val="171717" w:themeColor="background2" w:themeShade="1A"/>
          <w:sz w:val="28"/>
          <w:szCs w:val="28"/>
        </w:rPr>
        <w:t>6</w:t>
      </w:r>
      <w:r>
        <w:rPr>
          <w:rFonts w:hint="eastAsia" w:cs="仿宋" w:asciiTheme="minorEastAsia" w:hAnsiTheme="minorEastAsia" w:eastAsiaTheme="minorEastAsia"/>
          <w:color w:val="171717" w:themeColor="background2" w:themeShade="1A"/>
          <w:sz w:val="28"/>
          <w:szCs w:val="28"/>
        </w:rPr>
        <w:t>年制教育的公办全日制民汉寄宿制农牧区小学。</w:t>
      </w:r>
    </w:p>
    <w:p>
      <w:pPr>
        <w:widowControl/>
        <w:spacing w:line="560" w:lineRule="exact"/>
        <w:jc w:val="left"/>
        <w:rPr>
          <w:rFonts w:ascii="黑体" w:hAnsi="黑体" w:eastAsia="黑体" w:cs="宋体"/>
          <w:bCs/>
          <w:color w:val="171717" w:themeColor="background2" w:themeShade="1A"/>
          <w:kern w:val="0"/>
          <w:sz w:val="32"/>
          <w:szCs w:val="32"/>
        </w:rPr>
      </w:pPr>
      <w:r>
        <w:rPr>
          <w:rFonts w:hint="eastAsia" w:ascii="黑体" w:hAnsi="黑体" w:eastAsia="黑体" w:cs="宋体"/>
          <w:bCs/>
          <w:color w:val="171717" w:themeColor="background2" w:themeShade="1A"/>
          <w:kern w:val="0"/>
          <w:sz w:val="32"/>
          <w:szCs w:val="32"/>
        </w:rPr>
        <w:t>二、机构设置及人员情况</w:t>
      </w:r>
    </w:p>
    <w:p>
      <w:pPr>
        <w:snapToGrid w:val="0"/>
        <w:spacing w:line="560" w:lineRule="exact"/>
        <w:ind w:firstLine="560" w:firstLineChars="200"/>
        <w:jc w:val="left"/>
        <w:rPr>
          <w:rFonts w:cs="仿宋" w:asciiTheme="minorEastAsia" w:hAnsiTheme="minorEastAsia" w:eastAsiaTheme="minorEastAsia"/>
          <w:color w:val="171717" w:themeColor="background2" w:themeShade="1A"/>
          <w:sz w:val="28"/>
          <w:szCs w:val="28"/>
        </w:rPr>
      </w:pPr>
      <w:r>
        <w:rPr>
          <w:rFonts w:hint="eastAsia" w:cs="仿宋" w:asciiTheme="minorEastAsia" w:hAnsiTheme="minorEastAsia" w:eastAsiaTheme="minorEastAsia"/>
          <w:color w:val="171717" w:themeColor="background2" w:themeShade="1A"/>
          <w:sz w:val="28"/>
          <w:szCs w:val="28"/>
        </w:rPr>
        <w:t>学校行政设置党政办公室、德育处、教务处、教科研室、保卫科等职能部门，分别承担相应的管理职能。群体设置少先队、团支部、工会组织。</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仿宋" w:asciiTheme="minorEastAsia" w:hAnsiTheme="minorEastAsia" w:eastAsiaTheme="minorEastAsia"/>
          <w:color w:val="171717" w:themeColor="background2" w:themeShade="1A"/>
          <w:sz w:val="28"/>
          <w:szCs w:val="28"/>
        </w:rPr>
        <w:t>乌鲁木齐市第115小学</w:t>
      </w:r>
      <w:r>
        <w:rPr>
          <w:rFonts w:hint="eastAsia" w:asciiTheme="minorEastAsia" w:hAnsiTheme="minorEastAsia" w:eastAsiaTheme="minorEastAsia"/>
          <w:color w:val="171717" w:themeColor="background2" w:themeShade="1A"/>
          <w:sz w:val="28"/>
          <w:szCs w:val="28"/>
        </w:rPr>
        <w:t>编制人数21人，全额拨款事业单位人员编制21人。</w:t>
      </w:r>
      <w:r>
        <w:rPr>
          <w:rFonts w:hint="eastAsia" w:cs="仿宋" w:asciiTheme="minorEastAsia" w:hAnsiTheme="minorEastAsia" w:eastAsiaTheme="minorEastAsia"/>
          <w:color w:val="171717" w:themeColor="background2" w:themeShade="1A"/>
          <w:sz w:val="28"/>
          <w:szCs w:val="28"/>
        </w:rPr>
        <w:t>乌鲁木齐市第115小学</w:t>
      </w:r>
      <w:r>
        <w:rPr>
          <w:rFonts w:hint="eastAsia" w:asciiTheme="minorEastAsia" w:hAnsiTheme="minorEastAsia" w:eastAsiaTheme="minorEastAsia"/>
          <w:color w:val="171717" w:themeColor="background2" w:themeShade="1A"/>
          <w:sz w:val="28"/>
          <w:szCs w:val="28"/>
        </w:rPr>
        <w:t>实有在职人数39人，其中：全额拨款事业单位人员39人。</w:t>
      </w:r>
    </w:p>
    <w:p>
      <w:pPr>
        <w:widowControl/>
        <w:spacing w:line="560" w:lineRule="exact"/>
        <w:jc w:val="left"/>
        <w:rPr>
          <w:rFonts w:ascii="仿宋_GB2312" w:hAnsi="宋体" w:eastAsia="仿宋_GB2312" w:cs="宋体"/>
          <w:color w:val="171717" w:themeColor="background2" w:themeShade="1A"/>
          <w:kern w:val="0"/>
          <w:sz w:val="32"/>
          <w:szCs w:val="32"/>
        </w:rPr>
      </w:pPr>
    </w:p>
    <w:p>
      <w:pPr>
        <w:widowControl/>
        <w:spacing w:line="560" w:lineRule="exact"/>
        <w:jc w:val="left"/>
        <w:rPr>
          <w:rFonts w:ascii="仿宋_GB2312" w:hAnsi="宋体" w:eastAsia="仿宋_GB2312" w:cs="宋体"/>
          <w:color w:val="171717" w:themeColor="background2" w:themeShade="1A"/>
          <w:kern w:val="0"/>
          <w:sz w:val="32"/>
          <w:szCs w:val="32"/>
        </w:rPr>
      </w:pPr>
    </w:p>
    <w:p>
      <w:pPr>
        <w:widowControl/>
        <w:spacing w:line="560" w:lineRule="exact"/>
        <w:jc w:val="left"/>
        <w:rPr>
          <w:rFonts w:ascii="仿宋_GB2312" w:hAnsi="宋体" w:eastAsia="仿宋_GB2312" w:cs="宋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r>
        <w:rPr>
          <w:rFonts w:ascii="黑体" w:hAnsi="黑体" w:eastAsia="黑体"/>
          <w:color w:val="171717" w:themeColor="background2" w:themeShade="1A"/>
          <w:kern w:val="0"/>
          <w:sz w:val="32"/>
          <w:szCs w:val="32"/>
        </w:rPr>
        <w:br w:type="page"/>
      </w:r>
    </w:p>
    <w:p>
      <w:pPr>
        <w:widowControl/>
        <w:spacing w:beforeLines="50"/>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第二部分  2016年乌鲁木齐市第一一五小学预算公开表</w:t>
      </w:r>
    </w:p>
    <w:p>
      <w:pPr>
        <w:widowControl/>
        <w:spacing w:beforeLines="50"/>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表一：</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乌鲁木齐市第一一五小学收支总体情况表</w:t>
      </w:r>
    </w:p>
    <w:p>
      <w:pPr>
        <w:widowControl/>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编制单位：乌鲁木齐市第一一五小学                              单位：万元</w:t>
      </w:r>
    </w:p>
    <w:tbl>
      <w:tblPr>
        <w:tblStyle w:val="10"/>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727.69</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727.69</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非税收入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其他资金</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727.69</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财政预算拨款结余结转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结余</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727.69</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727.69</w:t>
            </w:r>
          </w:p>
        </w:tc>
      </w:tr>
    </w:tbl>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表二：</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乌鲁木齐市第一一五小学收入总体情况表</w:t>
      </w:r>
    </w:p>
    <w:p>
      <w:pPr>
        <w:widowControl/>
        <w:jc w:val="left"/>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填报单位：乌鲁木齐市第一一五小学                                单位：万元</w:t>
      </w:r>
    </w:p>
    <w:tbl>
      <w:tblPr>
        <w:tblStyle w:val="10"/>
        <w:tblW w:w="8976" w:type="dxa"/>
        <w:tblInd w:w="93" w:type="dxa"/>
        <w:tblLayout w:type="fixed"/>
        <w:tblCellMar>
          <w:top w:w="0" w:type="dxa"/>
          <w:left w:w="108" w:type="dxa"/>
          <w:bottom w:w="0" w:type="dxa"/>
          <w:right w:w="108" w:type="dxa"/>
        </w:tblCellMar>
      </w:tblPr>
      <w:tblGrid>
        <w:gridCol w:w="545"/>
        <w:gridCol w:w="435"/>
        <w:gridCol w:w="435"/>
        <w:gridCol w:w="1786"/>
        <w:gridCol w:w="940"/>
        <w:gridCol w:w="880"/>
        <w:gridCol w:w="610"/>
        <w:gridCol w:w="625"/>
        <w:gridCol w:w="680"/>
        <w:gridCol w:w="680"/>
        <w:gridCol w:w="680"/>
        <w:gridCol w:w="680"/>
      </w:tblGrid>
      <w:tr>
        <w:tblPrEx>
          <w:tblLayout w:type="fixed"/>
          <w:tblCellMar>
            <w:top w:w="0" w:type="dxa"/>
            <w:left w:w="108" w:type="dxa"/>
            <w:bottom w:w="0" w:type="dxa"/>
            <w:right w:w="108" w:type="dxa"/>
          </w:tblCellMar>
        </w:tblPrEx>
        <w:trPr>
          <w:trHeight w:val="510" w:hRule="atLeast"/>
        </w:trPr>
        <w:tc>
          <w:tcPr>
            <w:tcW w:w="14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功能分类科目编码</w:t>
            </w:r>
          </w:p>
        </w:tc>
        <w:tc>
          <w:tcPr>
            <w:tcW w:w="17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功能分类科目名称</w:t>
            </w:r>
          </w:p>
        </w:tc>
        <w:tc>
          <w:tcPr>
            <w:tcW w:w="9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总计</w:t>
            </w:r>
          </w:p>
        </w:tc>
        <w:tc>
          <w:tcPr>
            <w:tcW w:w="8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一般公共预算拨款</w:t>
            </w:r>
          </w:p>
        </w:tc>
        <w:tc>
          <w:tcPr>
            <w:tcW w:w="61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政府性基金预算拨款</w:t>
            </w:r>
          </w:p>
        </w:tc>
        <w:tc>
          <w:tcPr>
            <w:tcW w:w="6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事业单位经营收入</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hAnsi="宋体" w:eastAsia="仿宋_GB2312" w:cs="宋体"/>
                <w:b/>
                <w:color w:val="171717" w:themeColor="background2" w:themeShade="1A"/>
                <w:kern w:val="0"/>
                <w:sz w:val="18"/>
                <w:szCs w:val="18"/>
              </w:rPr>
              <w:t>财政预算拨款结余结转</w:t>
            </w:r>
          </w:p>
        </w:tc>
      </w:tr>
      <w:tr>
        <w:tblPrEx>
          <w:tblLayout w:type="fixed"/>
          <w:tblCellMar>
            <w:top w:w="0" w:type="dxa"/>
            <w:left w:w="108" w:type="dxa"/>
            <w:bottom w:w="0" w:type="dxa"/>
            <w:right w:w="108" w:type="dxa"/>
          </w:tblCellMar>
        </w:tblPrEx>
        <w:trPr>
          <w:trHeight w:val="187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类</w:t>
            </w:r>
          </w:p>
        </w:tc>
        <w:tc>
          <w:tcPr>
            <w:tcW w:w="4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款</w:t>
            </w:r>
          </w:p>
        </w:tc>
        <w:tc>
          <w:tcPr>
            <w:tcW w:w="4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项</w:t>
            </w:r>
          </w:p>
        </w:tc>
        <w:tc>
          <w:tcPr>
            <w:tcW w:w="178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94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1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2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b/>
                <w:color w:val="171717" w:themeColor="background2" w:themeShade="1A"/>
                <w:sz w:val="18"/>
                <w:szCs w:val="18"/>
              </w:rPr>
            </w:pPr>
            <w:r>
              <w:rPr>
                <w:rFonts w:hint="eastAsia" w:ascii="仿宋_GB2312" w:hAnsi="宋体" w:eastAsia="仿宋_GB2312" w:cs="宋体"/>
                <w:b/>
                <w:color w:val="171717" w:themeColor="background2" w:themeShade="1A"/>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b/>
                <w:color w:val="171717" w:themeColor="background2" w:themeShade="1A"/>
                <w:sz w:val="18"/>
                <w:szCs w:val="18"/>
              </w:rPr>
            </w:pPr>
            <w:r>
              <w:rPr>
                <w:rFonts w:hint="eastAsia" w:ascii="仿宋_GB2312" w:hAnsi="宋体" w:eastAsia="仿宋_GB2312" w:cs="宋体"/>
                <w:b/>
                <w:color w:val="171717" w:themeColor="background2" w:themeShade="1A"/>
                <w:sz w:val="18"/>
                <w:szCs w:val="18"/>
              </w:rPr>
              <w:t>结余</w:t>
            </w: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1786"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小学教育</w:t>
            </w:r>
          </w:p>
        </w:tc>
        <w:tc>
          <w:tcPr>
            <w:tcW w:w="94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727.69</w:t>
            </w:r>
          </w:p>
        </w:tc>
        <w:tc>
          <w:tcPr>
            <w:tcW w:w="88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727.69</w:t>
            </w:r>
          </w:p>
        </w:tc>
        <w:tc>
          <w:tcPr>
            <w:tcW w:w="61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171717" w:themeColor="background2" w:themeShade="1A"/>
                <w:sz w:val="18"/>
                <w:szCs w:val="18"/>
              </w:rPr>
            </w:pPr>
          </w:p>
        </w:tc>
        <w:tc>
          <w:tcPr>
            <w:tcW w:w="625"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86"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1786"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940"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880"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610"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625"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91"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8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8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合计</w:t>
            </w:r>
          </w:p>
        </w:tc>
        <w:tc>
          <w:tcPr>
            <w:tcW w:w="94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727.69</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kern w:val="0"/>
                <w:sz w:val="18"/>
                <w:szCs w:val="18"/>
              </w:rPr>
              <w:t>727.69</w:t>
            </w: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bl>
    <w:p>
      <w:pPr>
        <w:widowControl/>
        <w:outlineLvl w:val="1"/>
        <w:rPr>
          <w:rFonts w:ascii="仿宋_GB2312" w:hAnsi="宋体" w:eastAsia="仿宋_GB2312"/>
          <w:color w:val="171717" w:themeColor="background2" w:themeShade="1A"/>
          <w:kern w:val="0"/>
          <w:sz w:val="28"/>
          <w:szCs w:val="28"/>
        </w:rPr>
      </w:pPr>
    </w:p>
    <w:p>
      <w:pPr>
        <w:widowControl/>
        <w:outlineLvl w:val="1"/>
        <w:rPr>
          <w:rFonts w:ascii="仿宋_GB2312" w:hAnsi="宋体" w:eastAsia="仿宋_GB2312"/>
          <w:color w:val="171717" w:themeColor="background2" w:themeShade="1A"/>
          <w:kern w:val="0"/>
          <w:sz w:val="28"/>
          <w:szCs w:val="28"/>
        </w:rPr>
      </w:pPr>
    </w:p>
    <w:p>
      <w:pPr>
        <w:widowControl/>
        <w:outlineLvl w:val="1"/>
        <w:rPr>
          <w:rFonts w:ascii="仿宋_GB2312" w:hAnsi="宋体" w:eastAsia="仿宋_GB2312"/>
          <w:b/>
          <w:color w:val="171717" w:themeColor="background2" w:themeShade="1A"/>
          <w:kern w:val="0"/>
          <w:sz w:val="32"/>
          <w:szCs w:val="32"/>
        </w:rPr>
      </w:pPr>
    </w:p>
    <w:p>
      <w:pPr>
        <w:widowControl/>
        <w:outlineLvl w:val="1"/>
        <w:rPr>
          <w:rFonts w:ascii="仿宋_GB2312" w:hAnsi="宋体" w:eastAsia="仿宋_GB2312"/>
          <w:b/>
          <w:color w:val="171717" w:themeColor="background2" w:themeShade="1A"/>
          <w:kern w:val="0"/>
          <w:sz w:val="32"/>
          <w:szCs w:val="32"/>
        </w:rPr>
      </w:pPr>
    </w:p>
    <w:p>
      <w:pPr>
        <w:widowControl/>
        <w:outlineLvl w:val="1"/>
        <w:rPr>
          <w:rFonts w:ascii="仿宋_GB2312" w:hAnsi="宋体" w:eastAsia="仿宋_GB2312"/>
          <w:color w:val="171717" w:themeColor="background2" w:themeShade="1A"/>
          <w:kern w:val="0"/>
          <w:sz w:val="28"/>
          <w:szCs w:val="28"/>
        </w:rPr>
      </w:pPr>
      <w:r>
        <w:rPr>
          <w:rFonts w:hint="eastAsia" w:ascii="仿宋_GB2312" w:hAnsi="宋体" w:eastAsia="仿宋_GB2312"/>
          <w:b/>
          <w:color w:val="171717" w:themeColor="background2" w:themeShade="1A"/>
          <w:kern w:val="0"/>
          <w:sz w:val="32"/>
          <w:szCs w:val="32"/>
        </w:rPr>
        <w:t>表三</w:t>
      </w:r>
      <w:r>
        <w:rPr>
          <w:rFonts w:hint="eastAsia" w:ascii="仿宋_GB2312" w:hAnsi="宋体" w:eastAsia="仿宋_GB2312"/>
          <w:color w:val="171717" w:themeColor="background2" w:themeShade="1A"/>
          <w:kern w:val="0"/>
          <w:sz w:val="28"/>
          <w:szCs w:val="28"/>
        </w:rPr>
        <w:t>：</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乌鲁木齐市第一一五小学支出总体情况表</w:t>
      </w:r>
    </w:p>
    <w:p>
      <w:pPr>
        <w:widowControl/>
        <w:jc w:val="left"/>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编制单位：乌鲁木齐市第一一五小学                                单位：万元</w:t>
      </w:r>
    </w:p>
    <w:tbl>
      <w:tblPr>
        <w:tblStyle w:val="10"/>
        <w:tblW w:w="9229" w:type="dxa"/>
        <w:jc w:val="right"/>
        <w:tblInd w:w="0" w:type="dxa"/>
        <w:tblLayout w:type="fixed"/>
        <w:tblCellMar>
          <w:top w:w="0" w:type="dxa"/>
          <w:left w:w="108" w:type="dxa"/>
          <w:bottom w:w="0" w:type="dxa"/>
          <w:right w:w="108" w:type="dxa"/>
        </w:tblCellMar>
      </w:tblPr>
      <w:tblGrid>
        <w:gridCol w:w="546"/>
        <w:gridCol w:w="436"/>
        <w:gridCol w:w="436"/>
        <w:gridCol w:w="2519"/>
        <w:gridCol w:w="1809"/>
        <w:gridCol w:w="1810"/>
        <w:gridCol w:w="1673"/>
      </w:tblGrid>
      <w:tr>
        <w:tblPrEx>
          <w:tblLayout w:type="fixed"/>
          <w:tblCellMar>
            <w:top w:w="0" w:type="dxa"/>
            <w:left w:w="108" w:type="dxa"/>
            <w:bottom w:w="0" w:type="dxa"/>
            <w:right w:w="108" w:type="dxa"/>
          </w:tblCellMar>
        </w:tblPrEx>
        <w:trPr>
          <w:trHeight w:val="345" w:hRule="atLeast"/>
          <w:jc w:val="right"/>
        </w:trPr>
        <w:tc>
          <w:tcPr>
            <w:tcW w:w="3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w:t>
            </w:r>
          </w:p>
        </w:tc>
        <w:tc>
          <w:tcPr>
            <w:tcW w:w="529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支出预算</w:t>
            </w:r>
          </w:p>
        </w:tc>
      </w:tr>
      <w:tr>
        <w:tblPrEx>
          <w:tblLayout w:type="fixed"/>
          <w:tblCellMar>
            <w:top w:w="0" w:type="dxa"/>
            <w:left w:w="108" w:type="dxa"/>
            <w:bottom w:w="0" w:type="dxa"/>
            <w:right w:w="108" w:type="dxa"/>
          </w:tblCellMar>
        </w:tblPrEx>
        <w:trPr>
          <w:trHeight w:val="480" w:hRule="atLeast"/>
          <w:jc w:val="right"/>
        </w:trPr>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功能分类科目编码</w:t>
            </w:r>
          </w:p>
        </w:tc>
        <w:tc>
          <w:tcPr>
            <w:tcW w:w="251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功能分类科目名称</w:t>
            </w:r>
          </w:p>
        </w:tc>
        <w:tc>
          <w:tcPr>
            <w:tcW w:w="18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合计</w:t>
            </w:r>
          </w:p>
        </w:tc>
        <w:tc>
          <w:tcPr>
            <w:tcW w:w="18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基本支出</w:t>
            </w:r>
          </w:p>
        </w:tc>
        <w:tc>
          <w:tcPr>
            <w:tcW w:w="167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270"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类</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w:t>
            </w:r>
          </w:p>
        </w:tc>
        <w:tc>
          <w:tcPr>
            <w:tcW w:w="251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8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8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67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小学教育</w:t>
            </w:r>
          </w:p>
        </w:tc>
        <w:tc>
          <w:tcPr>
            <w:tcW w:w="18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727.69</w:t>
            </w: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636.60</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91.09</w:t>
            </w: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71717"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71717"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71717"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71717"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合计</w:t>
            </w: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727.69</w:t>
            </w: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636.60</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91.09</w:t>
            </w:r>
          </w:p>
        </w:tc>
      </w:tr>
    </w:tbl>
    <w:p>
      <w:pPr>
        <w:widowControl/>
        <w:spacing w:beforeLines="50"/>
        <w:outlineLvl w:val="1"/>
        <w:rPr>
          <w:rFonts w:ascii="仿宋_GB2312" w:hAnsi="宋体" w:eastAsia="仿宋_GB2312"/>
          <w:b/>
          <w:color w:val="171717" w:themeColor="background2" w:themeShade="1A"/>
          <w:kern w:val="0"/>
          <w:sz w:val="32"/>
          <w:szCs w:val="32"/>
        </w:rPr>
      </w:pPr>
    </w:p>
    <w:p>
      <w:pPr>
        <w:widowControl/>
        <w:spacing w:beforeLines="50"/>
        <w:outlineLvl w:val="1"/>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r>
        <w:rPr>
          <w:rFonts w:ascii="仿宋_GB2312" w:hAnsi="宋体" w:eastAsia="仿宋_GB2312"/>
          <w:b/>
          <w:color w:val="171717" w:themeColor="background2" w:themeShade="1A"/>
          <w:kern w:val="0"/>
          <w:sz w:val="32"/>
          <w:szCs w:val="32"/>
        </w:rPr>
        <w:br w:type="page"/>
      </w:r>
    </w:p>
    <w:p>
      <w:pPr>
        <w:widowControl/>
        <w:tabs>
          <w:tab w:val="left" w:pos="1346"/>
        </w:tabs>
        <w:spacing w:beforeLines="50"/>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表四：</w:t>
      </w:r>
    </w:p>
    <w:p>
      <w:pPr>
        <w:widowControl/>
        <w:spacing w:beforeLines="50"/>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乌鲁木齐市第一一五小学财政拨款收支预算总体情况表</w:t>
      </w:r>
    </w:p>
    <w:p>
      <w:pPr>
        <w:widowControl/>
        <w:spacing w:beforeLines="50"/>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编制单位：乌鲁木齐市第一一五小学                                 单位：万元</w:t>
      </w:r>
    </w:p>
    <w:tbl>
      <w:tblPr>
        <w:tblStyle w:val="10"/>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合计</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合计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727.69</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727.69</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727.69</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727.69</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233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小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727.69</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小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727.69</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727.69</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230 转移性支出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727.69</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支  出  总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727.69</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727.69</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bl>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表五：</w:t>
      </w:r>
    </w:p>
    <w:tbl>
      <w:tblPr>
        <w:tblStyle w:val="10"/>
        <w:tblW w:w="9211" w:type="dxa"/>
        <w:tblInd w:w="138" w:type="dxa"/>
        <w:tblLayout w:type="fixed"/>
        <w:tblCellMar>
          <w:top w:w="0" w:type="dxa"/>
          <w:left w:w="108" w:type="dxa"/>
          <w:bottom w:w="0" w:type="dxa"/>
          <w:right w:w="108" w:type="dxa"/>
        </w:tblCellMar>
      </w:tblPr>
      <w:tblGrid>
        <w:gridCol w:w="546"/>
        <w:gridCol w:w="492"/>
        <w:gridCol w:w="436"/>
        <w:gridCol w:w="2510"/>
        <w:gridCol w:w="1684"/>
        <w:gridCol w:w="1842"/>
        <w:gridCol w:w="1701"/>
      </w:tblGrid>
      <w:tr>
        <w:tblPrEx>
          <w:tblLayout w:type="fixed"/>
          <w:tblCellMar>
            <w:top w:w="0" w:type="dxa"/>
            <w:left w:w="108" w:type="dxa"/>
            <w:bottom w:w="0" w:type="dxa"/>
            <w:right w:w="108" w:type="dxa"/>
          </w:tblCellMar>
        </w:tblPrEx>
        <w:trPr>
          <w:trHeight w:val="450" w:hRule="atLeast"/>
        </w:trPr>
        <w:tc>
          <w:tcPr>
            <w:tcW w:w="9211" w:type="dxa"/>
            <w:gridSpan w:val="7"/>
            <w:tcBorders>
              <w:top w:val="nil"/>
              <w:left w:val="nil"/>
              <w:bottom w:val="nil"/>
              <w:right w:val="nil"/>
            </w:tcBorders>
            <w:shd w:val="clear" w:color="auto" w:fill="auto"/>
            <w:vAlign w:val="center"/>
          </w:tcPr>
          <w:p>
            <w:pPr>
              <w:widowControl/>
              <w:jc w:val="center"/>
              <w:rPr>
                <w:rFonts w:ascii="仿宋_GB2312" w:hAnsi="宋体" w:eastAsia="仿宋_GB2312" w:cs="宋体"/>
                <w:b/>
                <w:bCs/>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乌鲁木齐市第一一五小学</w:t>
            </w:r>
            <w:r>
              <w:rPr>
                <w:rFonts w:hint="eastAsia" w:ascii="仿宋_GB2312" w:hAnsi="宋体" w:eastAsia="仿宋_GB2312" w:cs="宋体"/>
                <w:b/>
                <w:bCs/>
                <w:color w:val="171717" w:themeColor="background2" w:themeShade="1A"/>
                <w:kern w:val="0"/>
                <w:sz w:val="32"/>
                <w:szCs w:val="32"/>
              </w:rPr>
              <w:t>一般公共预算支出情况表</w:t>
            </w:r>
          </w:p>
          <w:p>
            <w:pPr>
              <w:widowControl/>
              <w:spacing w:beforeLines="50"/>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编制单位：乌鲁木齐市第一一五小学                                单位：万元</w:t>
            </w:r>
          </w:p>
        </w:tc>
      </w:tr>
      <w:tr>
        <w:tblPrEx>
          <w:tblLayout w:type="fixed"/>
          <w:tblCellMar>
            <w:top w:w="0" w:type="dxa"/>
            <w:left w:w="108" w:type="dxa"/>
            <w:bottom w:w="0" w:type="dxa"/>
            <w:right w:w="108" w:type="dxa"/>
          </w:tblCellMar>
        </w:tblPrEx>
        <w:trPr>
          <w:trHeight w:val="405" w:hRule="atLeast"/>
        </w:trPr>
        <w:tc>
          <w:tcPr>
            <w:tcW w:w="398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w:t>
            </w:r>
          </w:p>
        </w:tc>
        <w:tc>
          <w:tcPr>
            <w:tcW w:w="52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一般公共预算支出</w:t>
            </w:r>
          </w:p>
        </w:tc>
      </w:tr>
      <w:tr>
        <w:tblPrEx>
          <w:tblLayout w:type="fixed"/>
          <w:tblCellMar>
            <w:top w:w="0" w:type="dxa"/>
            <w:left w:w="108" w:type="dxa"/>
            <w:bottom w:w="0" w:type="dxa"/>
            <w:right w:w="108" w:type="dxa"/>
          </w:tblCellMar>
        </w:tblPrEx>
        <w:trPr>
          <w:trHeight w:val="465" w:hRule="atLeast"/>
        </w:trPr>
        <w:tc>
          <w:tcPr>
            <w:tcW w:w="147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款</w:t>
            </w:r>
          </w:p>
        </w:tc>
        <w:tc>
          <w:tcPr>
            <w:tcW w:w="4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小学教育</w:t>
            </w: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kern w:val="0"/>
                <w:sz w:val="18"/>
                <w:szCs w:val="18"/>
              </w:rPr>
              <w:t>727.69</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kern w:val="0"/>
                <w:sz w:val="18"/>
                <w:szCs w:val="18"/>
              </w:rPr>
              <w:t>636.60</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91.09</w:t>
            </w: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tcPr>
          <w:p>
            <w:pPr>
              <w:jc w:val="right"/>
              <w:rPr>
                <w:rFonts w:ascii="仿宋_GB2312" w:hAnsi="宋体" w:eastAsia="仿宋_GB2312" w:cs="宋体"/>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tcPr>
          <w:p>
            <w:pPr>
              <w:jc w:val="right"/>
              <w:rPr>
                <w:rFonts w:ascii="仿宋_GB2312" w:hAnsi="宋体" w:eastAsia="仿宋_GB2312" w:cs="宋体"/>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tcPr>
          <w:p>
            <w:pPr>
              <w:jc w:val="left"/>
              <w:rPr>
                <w:rFonts w:ascii="仿宋_GB2312" w:hAnsi="宋体" w:eastAsia="仿宋_GB2312" w:cs="宋体"/>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tcPr>
          <w:p>
            <w:pPr>
              <w:jc w:val="right"/>
              <w:rPr>
                <w:rFonts w:ascii="仿宋_GB2312" w:hAnsi="宋体" w:eastAsia="仿宋_GB2312" w:cs="宋体"/>
                <w:color w:val="171717"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tcPr>
          <w:p>
            <w:pPr>
              <w:jc w:val="right"/>
              <w:rPr>
                <w:rFonts w:ascii="仿宋_GB2312" w:hAnsi="宋体" w:eastAsia="仿宋_GB2312" w:cs="宋体"/>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p>
            <w:pPr>
              <w:ind w:right="400"/>
              <w:jc w:val="right"/>
              <w:rPr>
                <w:rFonts w:ascii="仿宋_GB2312" w:hAnsi="宋体" w:eastAsia="仿宋_GB2312" w:cs="宋体"/>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p>
            <w:pPr>
              <w:ind w:right="400"/>
              <w:jc w:val="right"/>
              <w:rPr>
                <w:rFonts w:ascii="仿宋_GB2312" w:hAnsi="宋体" w:eastAsia="仿宋_GB2312" w:cs="宋体"/>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727.69</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636.60</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91.09</w:t>
            </w:r>
          </w:p>
        </w:tc>
      </w:tr>
    </w:tbl>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r>
        <w:rPr>
          <w:rFonts w:ascii="仿宋_GB2312" w:hAnsi="宋体" w:eastAsia="仿宋_GB2312"/>
          <w:b/>
          <w:color w:val="171717" w:themeColor="background2" w:themeShade="1A"/>
          <w:kern w:val="0"/>
          <w:sz w:val="32"/>
          <w:szCs w:val="32"/>
        </w:rPr>
        <w:br w:type="page"/>
      </w:r>
    </w:p>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表六：</w:t>
      </w:r>
    </w:p>
    <w:tbl>
      <w:tblPr>
        <w:tblStyle w:val="10"/>
        <w:tblW w:w="9337" w:type="dxa"/>
        <w:tblInd w:w="363" w:type="dxa"/>
        <w:tblLayout w:type="fixed"/>
        <w:tblCellMar>
          <w:top w:w="0" w:type="dxa"/>
          <w:left w:w="108" w:type="dxa"/>
          <w:bottom w:w="0" w:type="dxa"/>
          <w:right w:w="108" w:type="dxa"/>
        </w:tblCellMar>
      </w:tblPr>
      <w:tblGrid>
        <w:gridCol w:w="766"/>
        <w:gridCol w:w="577"/>
        <w:gridCol w:w="2891"/>
        <w:gridCol w:w="1701"/>
        <w:gridCol w:w="1701"/>
        <w:gridCol w:w="1701"/>
      </w:tblGrid>
      <w:tr>
        <w:tblPrEx>
          <w:tblLayout w:type="fixed"/>
          <w:tblCellMar>
            <w:top w:w="0" w:type="dxa"/>
            <w:left w:w="108" w:type="dxa"/>
            <w:bottom w:w="0" w:type="dxa"/>
            <w:right w:w="108" w:type="dxa"/>
          </w:tblCellMar>
        </w:tblPrEx>
        <w:trPr>
          <w:trHeight w:val="375" w:hRule="atLeast"/>
        </w:trPr>
        <w:tc>
          <w:tcPr>
            <w:tcW w:w="9337" w:type="dxa"/>
            <w:gridSpan w:val="6"/>
            <w:tcBorders>
              <w:top w:val="nil"/>
              <w:left w:val="nil"/>
              <w:bottom w:val="nil"/>
              <w:right w:val="nil"/>
            </w:tcBorders>
            <w:shd w:val="clear" w:color="auto" w:fill="auto"/>
            <w:vAlign w:val="center"/>
          </w:tcPr>
          <w:p>
            <w:pPr>
              <w:widowControl/>
              <w:jc w:val="center"/>
              <w:rPr>
                <w:rFonts w:ascii="仿宋_GB2312" w:hAnsi="宋体" w:eastAsia="仿宋_GB2312" w:cs="宋体"/>
                <w:b/>
                <w:bCs/>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乌鲁木齐市第一一五小学</w:t>
            </w:r>
            <w:r>
              <w:rPr>
                <w:rFonts w:hint="eastAsia" w:ascii="仿宋_GB2312" w:hAnsi="宋体" w:eastAsia="仿宋_GB2312" w:cs="宋体"/>
                <w:b/>
                <w:bCs/>
                <w:color w:val="171717" w:themeColor="background2" w:themeShade="1A"/>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9337" w:type="dxa"/>
            <w:gridSpan w:val="6"/>
            <w:tcBorders>
              <w:top w:val="nil"/>
              <w:left w:val="nil"/>
              <w:bottom w:val="nil"/>
              <w:right w:val="nil"/>
            </w:tcBorders>
            <w:shd w:val="clear" w:color="auto" w:fill="auto"/>
            <w:vAlign w:val="center"/>
          </w:tcPr>
          <w:p>
            <w:pPr>
              <w:widowControl/>
              <w:spacing w:beforeLines="50"/>
              <w:jc w:val="left"/>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编制单位：乌鲁木齐市第一一五小学                                 单位：万元</w:t>
            </w:r>
          </w:p>
        </w:tc>
      </w:tr>
      <w:tr>
        <w:tblPrEx>
          <w:tblLayout w:type="fixed"/>
          <w:tblCellMar>
            <w:top w:w="0" w:type="dxa"/>
            <w:left w:w="108" w:type="dxa"/>
            <w:bottom w:w="0" w:type="dxa"/>
            <w:right w:w="108" w:type="dxa"/>
          </w:tblCellMar>
        </w:tblPrEx>
        <w:trPr>
          <w:trHeight w:val="390" w:hRule="atLeast"/>
        </w:trPr>
        <w:tc>
          <w:tcPr>
            <w:tcW w:w="423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w:t>
            </w:r>
          </w:p>
        </w:tc>
        <w:tc>
          <w:tcPr>
            <w:tcW w:w="510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一般公共预算基本支出</w:t>
            </w:r>
          </w:p>
        </w:tc>
      </w:tr>
      <w:tr>
        <w:tblPrEx>
          <w:tblLayout w:type="fixed"/>
          <w:tblCellMar>
            <w:top w:w="0" w:type="dxa"/>
            <w:left w:w="108" w:type="dxa"/>
            <w:bottom w:w="0" w:type="dxa"/>
            <w:right w:w="108" w:type="dxa"/>
          </w:tblCellMar>
        </w:tblPrEx>
        <w:trPr>
          <w:trHeight w:val="495" w:hRule="atLeast"/>
        </w:trPr>
        <w:tc>
          <w:tcPr>
            <w:tcW w:w="134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经济分类科目名称</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公用经费</w:t>
            </w:r>
          </w:p>
        </w:tc>
      </w:tr>
      <w:tr>
        <w:tblPrEx>
          <w:tblLayout w:type="fixed"/>
          <w:tblCellMar>
            <w:top w:w="0" w:type="dxa"/>
            <w:left w:w="108" w:type="dxa"/>
            <w:bottom w:w="0" w:type="dxa"/>
            <w:right w:w="108" w:type="dxa"/>
          </w:tblCellMar>
        </w:tblPrEx>
        <w:trPr>
          <w:trHeight w:val="27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类</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基本工资</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115.93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115.93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津贴补贴</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31.24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31.24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奖金</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绩效工资</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107.86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107.86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eastAsia="仿宋_GB2312"/>
                <w:color w:val="171717" w:themeColor="background2" w:themeShade="1A"/>
                <w:sz w:val="18"/>
                <w:szCs w:val="18"/>
              </w:rPr>
              <w:t>其他社会保障缴费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132.83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132.83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其他工资福利支出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0.47</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0.47</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办公费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2.94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2.94</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05</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水费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0.74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0.74</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电费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0.95</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0.95</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邮电费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0.74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0.74</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取暖费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9.24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9.24</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物业管理费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0.42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0.42</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差旅费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0.74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0.74</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维修(护)费(含其他维修)</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1.89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1.89</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14</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租赁费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0.32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0.32</w:t>
            </w:r>
          </w:p>
        </w:tc>
      </w:tr>
      <w:tr>
        <w:tblPrEx>
          <w:tblLayout w:type="fixed"/>
          <w:tblCellMar>
            <w:top w:w="0" w:type="dxa"/>
            <w:left w:w="108" w:type="dxa"/>
            <w:bottom w:w="0" w:type="dxa"/>
            <w:right w:w="108" w:type="dxa"/>
          </w:tblCellMar>
        </w:tblPrEx>
        <w:trPr>
          <w:trHeight w:val="7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培训费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6.68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6.68</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公务接待费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0.11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0.11</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专用材料费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0.53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0.53</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劳务费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0.21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0.21</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工会经费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1.57</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1.57</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福利费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6.59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6.59</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其他交通</w:t>
            </w:r>
            <w:r>
              <w:rPr>
                <w:rFonts w:ascii="仿宋_GB2312" w:eastAsia="仿宋_GB2312"/>
                <w:color w:val="171717" w:themeColor="background2" w:themeShade="1A"/>
                <w:sz w:val="18"/>
                <w:szCs w:val="18"/>
              </w:rPr>
              <w:t>费用</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11.02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11.02</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其他商品服务支出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4.73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4.73</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退休费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92.09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92.09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617"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05</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生活补助</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4.44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4.44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奖励金</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51.39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51.39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10</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住房公积金</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40.19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40.19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14</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采暖补贴</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5.15</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5.15</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其他对个人和家庭的补助支出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5.59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5.59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59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171717" w:themeColor="background2" w:themeShade="1A"/>
                <w:sz w:val="18"/>
                <w:szCs w:val="18"/>
              </w:rPr>
            </w:pPr>
            <w:r>
              <w:rPr>
                <w:rFonts w:hint="eastAsia" w:ascii="仿宋_GB2312" w:hAnsi="宋体" w:eastAsia="仿宋_GB2312" w:cs="宋体"/>
                <w:bCs/>
                <w:color w:val="171717" w:themeColor="background2" w:themeShade="1A"/>
                <w:kern w:val="0"/>
                <w:sz w:val="18"/>
                <w:szCs w:val="18"/>
              </w:rPr>
              <w:t>合计</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eastAsia="仿宋_GB2312"/>
                <w:color w:val="171717" w:themeColor="background2" w:themeShade="1A"/>
                <w:sz w:val="18"/>
                <w:szCs w:val="18"/>
              </w:rPr>
              <w:t>636.60</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587.18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49.42</w:t>
            </w:r>
          </w:p>
        </w:tc>
      </w:tr>
    </w:tbl>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r>
        <w:rPr>
          <w:rFonts w:ascii="仿宋_GB2312" w:hAnsi="宋体" w:eastAsia="仿宋_GB2312"/>
          <w:b/>
          <w:color w:val="171717" w:themeColor="background2" w:themeShade="1A"/>
          <w:kern w:val="0"/>
          <w:sz w:val="32"/>
          <w:szCs w:val="32"/>
        </w:rPr>
        <w:br w:type="page"/>
      </w:r>
    </w:p>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表七：</w:t>
      </w:r>
    </w:p>
    <w:tbl>
      <w:tblPr>
        <w:tblStyle w:val="10"/>
        <w:tblW w:w="10000" w:type="dxa"/>
        <w:jc w:val="center"/>
        <w:tblInd w:w="0" w:type="dxa"/>
        <w:tblLayout w:type="fixed"/>
        <w:tblCellMar>
          <w:top w:w="0" w:type="dxa"/>
          <w:left w:w="108" w:type="dxa"/>
          <w:bottom w:w="0" w:type="dxa"/>
          <w:right w:w="108" w:type="dxa"/>
        </w:tblCellMar>
      </w:tblPr>
      <w:tblGrid>
        <w:gridCol w:w="10"/>
        <w:gridCol w:w="506"/>
        <w:gridCol w:w="416"/>
        <w:gridCol w:w="416"/>
        <w:gridCol w:w="737"/>
        <w:gridCol w:w="1350"/>
        <w:gridCol w:w="930"/>
        <w:gridCol w:w="721"/>
        <w:gridCol w:w="90"/>
        <w:gridCol w:w="520"/>
        <w:gridCol w:w="630"/>
        <w:gridCol w:w="610"/>
        <w:gridCol w:w="690"/>
        <w:gridCol w:w="600"/>
        <w:gridCol w:w="600"/>
        <w:gridCol w:w="357"/>
        <w:gridCol w:w="420"/>
        <w:gridCol w:w="389"/>
        <w:gridCol w:w="8"/>
      </w:tblGrid>
      <w:tr>
        <w:tblPrEx>
          <w:tblLayout w:type="fixed"/>
          <w:tblCellMar>
            <w:top w:w="0" w:type="dxa"/>
            <w:left w:w="108" w:type="dxa"/>
            <w:bottom w:w="0" w:type="dxa"/>
            <w:right w:w="108" w:type="dxa"/>
          </w:tblCellMar>
        </w:tblPrEx>
        <w:trPr>
          <w:gridBefore w:val="1"/>
          <w:gridAfter w:val="1"/>
          <w:wBefore w:w="10" w:type="dxa"/>
          <w:wAfter w:w="8" w:type="dxa"/>
          <w:trHeight w:val="375" w:hRule="atLeast"/>
          <w:jc w:val="center"/>
        </w:trPr>
        <w:tc>
          <w:tcPr>
            <w:tcW w:w="9982" w:type="dxa"/>
            <w:gridSpan w:val="17"/>
            <w:tcBorders>
              <w:top w:val="nil"/>
              <w:left w:val="nil"/>
              <w:bottom w:val="nil"/>
              <w:right w:val="nil"/>
            </w:tcBorders>
            <w:shd w:val="clear" w:color="auto" w:fill="auto"/>
            <w:vAlign w:val="center"/>
          </w:tcPr>
          <w:p>
            <w:pPr>
              <w:widowControl/>
              <w:jc w:val="center"/>
              <w:rPr>
                <w:rFonts w:ascii="仿宋_GB2312" w:hAnsi="宋体" w:eastAsia="仿宋_GB2312" w:cs="宋体"/>
                <w:b/>
                <w:bCs/>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乌鲁木齐市第一一五小学</w:t>
            </w:r>
            <w:r>
              <w:rPr>
                <w:rFonts w:hint="eastAsia" w:ascii="仿宋_GB2312" w:hAnsi="宋体" w:eastAsia="仿宋_GB2312" w:cs="宋体"/>
                <w:b/>
                <w:bCs/>
                <w:color w:val="171717" w:themeColor="background2" w:themeShade="1A"/>
                <w:kern w:val="0"/>
                <w:sz w:val="32"/>
                <w:szCs w:val="32"/>
              </w:rPr>
              <w:t>一般公共预算项目支出情况表</w:t>
            </w:r>
          </w:p>
          <w:p>
            <w:pPr>
              <w:widowControl/>
              <w:spacing w:beforeLines="50"/>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编制单位：乌鲁木齐市第一一五小学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348" w:type="dxa"/>
            <w:gridSpan w:val="4"/>
            <w:shd w:val="clear" w:color="auto" w:fill="auto"/>
            <w:vAlign w:val="center"/>
          </w:tcPr>
          <w:p>
            <w:pPr>
              <w:widowControl/>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科 目 编 码</w:t>
            </w:r>
          </w:p>
        </w:tc>
        <w:tc>
          <w:tcPr>
            <w:tcW w:w="737"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科目</w:t>
            </w:r>
          </w:p>
        </w:tc>
        <w:tc>
          <w:tcPr>
            <w:tcW w:w="1350" w:type="dxa"/>
            <w:vMerge w:val="restart"/>
            <w:shd w:val="clear" w:color="auto" w:fill="auto"/>
            <w:vAlign w:val="center"/>
          </w:tcPr>
          <w:p>
            <w:pPr>
              <w:jc w:val="center"/>
              <w:rPr>
                <w:rFonts w:ascii="仿宋_GB2312" w:eastAsia="仿宋_GB2312"/>
                <w:color w:val="171717" w:themeColor="background2" w:themeShade="1A"/>
                <w:sz w:val="18"/>
                <w:szCs w:val="18"/>
              </w:rPr>
            </w:pPr>
            <w:r>
              <w:rPr>
                <w:rFonts w:hint="eastAsia" w:ascii="仿宋_GB2312" w:hAnsi="宋体" w:eastAsia="仿宋_GB2312"/>
                <w:b/>
                <w:color w:val="171717" w:themeColor="background2" w:themeShade="1A"/>
                <w:kern w:val="0"/>
                <w:sz w:val="18"/>
                <w:szCs w:val="18"/>
              </w:rPr>
              <w:t>项目名称</w:t>
            </w:r>
          </w:p>
        </w:tc>
        <w:tc>
          <w:tcPr>
            <w:tcW w:w="930"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项目支出合计</w:t>
            </w:r>
          </w:p>
        </w:tc>
        <w:tc>
          <w:tcPr>
            <w:tcW w:w="721"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工资福利支出</w:t>
            </w:r>
          </w:p>
        </w:tc>
        <w:tc>
          <w:tcPr>
            <w:tcW w:w="610" w:type="dxa"/>
            <w:gridSpan w:val="2"/>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商品和服务支出</w:t>
            </w:r>
          </w:p>
        </w:tc>
        <w:tc>
          <w:tcPr>
            <w:tcW w:w="630"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对个人和家庭的补助</w:t>
            </w:r>
          </w:p>
        </w:tc>
        <w:tc>
          <w:tcPr>
            <w:tcW w:w="610"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债务利息及费用支出</w:t>
            </w:r>
          </w:p>
        </w:tc>
        <w:tc>
          <w:tcPr>
            <w:tcW w:w="690"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资本性支出（基本建设）</w:t>
            </w:r>
          </w:p>
        </w:tc>
        <w:tc>
          <w:tcPr>
            <w:tcW w:w="600"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资本性支出</w:t>
            </w:r>
          </w:p>
        </w:tc>
        <w:tc>
          <w:tcPr>
            <w:tcW w:w="600"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对企业补助（基本建设）</w:t>
            </w:r>
          </w:p>
        </w:tc>
        <w:tc>
          <w:tcPr>
            <w:tcW w:w="357"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516" w:type="dxa"/>
            <w:gridSpan w:val="2"/>
            <w:tcBorders>
              <w:bottom w:val="single" w:color="auto" w:sz="4" w:space="0"/>
            </w:tcBorders>
            <w:shd w:val="clear" w:color="auto" w:fill="auto"/>
            <w:vAlign w:val="center"/>
          </w:tcPr>
          <w:p>
            <w:pPr>
              <w:widowControl/>
              <w:jc w:val="left"/>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类</w:t>
            </w:r>
          </w:p>
        </w:tc>
        <w:tc>
          <w:tcPr>
            <w:tcW w:w="416" w:type="dxa"/>
            <w:tcBorders>
              <w:bottom w:val="single" w:color="auto" w:sz="4" w:space="0"/>
            </w:tcBorders>
            <w:shd w:val="clear" w:color="auto" w:fill="auto"/>
            <w:vAlign w:val="center"/>
          </w:tcPr>
          <w:p>
            <w:pPr>
              <w:widowControl/>
              <w:jc w:val="left"/>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款</w:t>
            </w:r>
          </w:p>
        </w:tc>
        <w:tc>
          <w:tcPr>
            <w:tcW w:w="416" w:type="dxa"/>
            <w:tcBorders>
              <w:bottom w:val="single" w:color="auto" w:sz="4" w:space="0"/>
            </w:tcBorders>
            <w:shd w:val="clear" w:color="auto" w:fill="auto"/>
            <w:vAlign w:val="center"/>
          </w:tcPr>
          <w:p>
            <w:pPr>
              <w:widowControl/>
              <w:jc w:val="left"/>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项</w:t>
            </w:r>
          </w:p>
        </w:tc>
        <w:tc>
          <w:tcPr>
            <w:tcW w:w="737"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color w:val="171717" w:themeColor="background2" w:themeShade="1A"/>
                <w:kern w:val="0"/>
                <w:sz w:val="18"/>
                <w:szCs w:val="18"/>
              </w:rPr>
            </w:pPr>
          </w:p>
        </w:tc>
        <w:tc>
          <w:tcPr>
            <w:tcW w:w="1350"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930"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721"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610"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630"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610"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690"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600"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600"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357"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737" w:type="dxa"/>
            <w:shd w:val="clear" w:color="auto" w:fill="auto"/>
            <w:vAlign w:val="center"/>
          </w:tcPr>
          <w:p>
            <w:pPr>
              <w:jc w:val="lef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小学教育</w:t>
            </w:r>
          </w:p>
        </w:tc>
        <w:tc>
          <w:tcPr>
            <w:tcW w:w="1350" w:type="dxa"/>
            <w:shd w:val="clear" w:color="auto" w:fill="auto"/>
          </w:tcPr>
          <w:p>
            <w:pPr>
              <w:widowControl/>
              <w:jc w:val="left"/>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校园绿化美化经费</w:t>
            </w:r>
          </w:p>
        </w:tc>
        <w:tc>
          <w:tcPr>
            <w:tcW w:w="930" w:type="dxa"/>
            <w:shd w:val="clear" w:color="auto" w:fill="auto"/>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5</w:t>
            </w:r>
          </w:p>
        </w:tc>
        <w:tc>
          <w:tcPr>
            <w:tcW w:w="811" w:type="dxa"/>
            <w:gridSpan w:val="2"/>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20" w:type="dxa"/>
            <w:shd w:val="clear" w:color="auto" w:fill="auto"/>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5</w:t>
            </w:r>
          </w:p>
        </w:tc>
        <w:tc>
          <w:tcPr>
            <w:tcW w:w="63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61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9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0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0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357"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tcPr>
          <w:p>
            <w:pPr>
              <w:widowControl/>
              <w:jc w:val="lef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737" w:type="dxa"/>
            <w:shd w:val="clear" w:color="auto" w:fill="auto"/>
            <w:vAlign w:val="center"/>
          </w:tcPr>
          <w:p>
            <w:pPr>
              <w:jc w:val="lef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小学教育</w:t>
            </w:r>
          </w:p>
        </w:tc>
        <w:tc>
          <w:tcPr>
            <w:tcW w:w="1350" w:type="dxa"/>
            <w:shd w:val="clear" w:color="auto" w:fill="auto"/>
          </w:tcPr>
          <w:p>
            <w:pPr>
              <w:widowControl/>
              <w:jc w:val="left"/>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护校队、安保人员经费</w:t>
            </w:r>
          </w:p>
        </w:tc>
        <w:tc>
          <w:tcPr>
            <w:tcW w:w="930" w:type="dxa"/>
            <w:shd w:val="clear" w:color="auto" w:fill="auto"/>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49.2</w:t>
            </w:r>
          </w:p>
        </w:tc>
        <w:tc>
          <w:tcPr>
            <w:tcW w:w="811" w:type="dxa"/>
            <w:gridSpan w:val="2"/>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2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630" w:type="dxa"/>
            <w:shd w:val="clear" w:color="auto" w:fill="auto"/>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49.2</w:t>
            </w:r>
          </w:p>
        </w:tc>
        <w:tc>
          <w:tcPr>
            <w:tcW w:w="61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9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0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0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357"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tcPr>
          <w:p>
            <w:pPr>
              <w:widowControl/>
              <w:jc w:val="lef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205</w:t>
            </w:r>
          </w:p>
        </w:tc>
        <w:tc>
          <w:tcPr>
            <w:tcW w:w="416" w:type="dxa"/>
            <w:shd w:val="clear" w:color="auto" w:fill="auto"/>
            <w:vAlign w:val="center"/>
          </w:tcPr>
          <w:p>
            <w:pPr>
              <w:jc w:val="right"/>
              <w:rPr>
                <w:rFonts w:ascii="仿宋_GB2312" w:hAnsi="宋体" w:eastAsia="仿宋_GB2312"/>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02</w:t>
            </w:r>
          </w:p>
        </w:tc>
        <w:tc>
          <w:tcPr>
            <w:tcW w:w="416" w:type="dxa"/>
            <w:shd w:val="clear" w:color="auto" w:fill="auto"/>
            <w:vAlign w:val="center"/>
          </w:tcPr>
          <w:p>
            <w:pPr>
              <w:jc w:val="right"/>
              <w:rPr>
                <w:rFonts w:ascii="仿宋_GB2312" w:hAnsi="宋体" w:eastAsia="仿宋_GB2312"/>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02</w:t>
            </w:r>
          </w:p>
        </w:tc>
        <w:tc>
          <w:tcPr>
            <w:tcW w:w="737" w:type="dxa"/>
            <w:shd w:val="clear" w:color="auto" w:fill="auto"/>
            <w:vAlign w:val="center"/>
          </w:tcPr>
          <w:p>
            <w:pPr>
              <w:jc w:val="left"/>
              <w:rPr>
                <w:rFonts w:ascii="仿宋_GB2312" w:hAnsi="宋体" w:eastAsia="仿宋_GB2312"/>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小学教育</w:t>
            </w:r>
          </w:p>
        </w:tc>
        <w:tc>
          <w:tcPr>
            <w:tcW w:w="1350" w:type="dxa"/>
            <w:shd w:val="clear" w:color="auto" w:fill="auto"/>
          </w:tcPr>
          <w:p>
            <w:pPr>
              <w:widowControl/>
              <w:jc w:val="left"/>
              <w:outlineLvl w:val="1"/>
              <w:rPr>
                <w:rFonts w:ascii="仿宋_GB2312" w:hAnsi="宋体" w:eastAsia="仿宋_GB2312"/>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2016年临时聘用人员经费</w:t>
            </w:r>
          </w:p>
        </w:tc>
        <w:tc>
          <w:tcPr>
            <w:tcW w:w="930" w:type="dxa"/>
            <w:shd w:val="clear" w:color="auto" w:fill="auto"/>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36.89</w:t>
            </w:r>
          </w:p>
        </w:tc>
        <w:tc>
          <w:tcPr>
            <w:tcW w:w="811" w:type="dxa"/>
            <w:gridSpan w:val="2"/>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20" w:type="dxa"/>
            <w:shd w:val="clear" w:color="auto" w:fill="auto"/>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36.89</w:t>
            </w:r>
          </w:p>
        </w:tc>
        <w:tc>
          <w:tcPr>
            <w:tcW w:w="630" w:type="dxa"/>
            <w:shd w:val="clear" w:color="auto" w:fill="auto"/>
            <w:vAlign w:val="center"/>
          </w:tcPr>
          <w:p>
            <w:pPr>
              <w:jc w:val="right"/>
              <w:rPr>
                <w:rFonts w:ascii="仿宋_GB2312" w:hAnsi="宋体" w:eastAsia="仿宋_GB2312"/>
                <w:color w:val="171717" w:themeColor="background2" w:themeShade="1A"/>
                <w:kern w:val="0"/>
                <w:sz w:val="18"/>
                <w:szCs w:val="18"/>
              </w:rPr>
            </w:pPr>
          </w:p>
        </w:tc>
        <w:tc>
          <w:tcPr>
            <w:tcW w:w="61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9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0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0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357"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tcPr>
          <w:p>
            <w:pPr>
              <w:widowControl/>
              <w:jc w:val="lef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olor w:val="171717" w:themeColor="background2" w:themeShade="1A"/>
                <w:kern w:val="0"/>
                <w:sz w:val="18"/>
                <w:szCs w:val="18"/>
              </w:rPr>
            </w:pPr>
          </w:p>
        </w:tc>
        <w:tc>
          <w:tcPr>
            <w:tcW w:w="416" w:type="dxa"/>
            <w:shd w:val="clear" w:color="auto" w:fill="auto"/>
            <w:vAlign w:val="center"/>
          </w:tcPr>
          <w:p>
            <w:pPr>
              <w:jc w:val="right"/>
              <w:rPr>
                <w:rFonts w:ascii="仿宋_GB2312" w:hAnsi="宋体" w:eastAsia="仿宋_GB2312"/>
                <w:color w:val="171717" w:themeColor="background2" w:themeShade="1A"/>
                <w:kern w:val="0"/>
                <w:sz w:val="18"/>
                <w:szCs w:val="18"/>
              </w:rPr>
            </w:pPr>
          </w:p>
        </w:tc>
        <w:tc>
          <w:tcPr>
            <w:tcW w:w="416" w:type="dxa"/>
            <w:shd w:val="clear" w:color="auto" w:fill="auto"/>
            <w:vAlign w:val="center"/>
          </w:tcPr>
          <w:p>
            <w:pPr>
              <w:jc w:val="right"/>
              <w:rPr>
                <w:rFonts w:ascii="仿宋_GB2312" w:hAnsi="宋体" w:eastAsia="仿宋_GB2312"/>
                <w:color w:val="171717" w:themeColor="background2" w:themeShade="1A"/>
                <w:kern w:val="0"/>
                <w:sz w:val="18"/>
                <w:szCs w:val="18"/>
              </w:rPr>
            </w:pPr>
          </w:p>
        </w:tc>
        <w:tc>
          <w:tcPr>
            <w:tcW w:w="737" w:type="dxa"/>
            <w:shd w:val="clear" w:color="auto" w:fill="auto"/>
            <w:vAlign w:val="center"/>
          </w:tcPr>
          <w:p>
            <w:pPr>
              <w:jc w:val="left"/>
              <w:rPr>
                <w:rFonts w:ascii="仿宋_GB2312" w:hAnsi="宋体" w:eastAsia="仿宋_GB2312"/>
                <w:color w:val="171717" w:themeColor="background2" w:themeShade="1A"/>
                <w:kern w:val="0"/>
                <w:sz w:val="18"/>
                <w:szCs w:val="18"/>
              </w:rPr>
            </w:pPr>
          </w:p>
        </w:tc>
        <w:tc>
          <w:tcPr>
            <w:tcW w:w="135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93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811" w:type="dxa"/>
            <w:gridSpan w:val="2"/>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2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63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61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9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0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0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357"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tcPr>
          <w:p>
            <w:pPr>
              <w:widowControl/>
              <w:jc w:val="lef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olor w:val="171717" w:themeColor="background2" w:themeShade="1A"/>
                <w:kern w:val="0"/>
                <w:sz w:val="18"/>
                <w:szCs w:val="18"/>
              </w:rPr>
            </w:pPr>
          </w:p>
        </w:tc>
        <w:tc>
          <w:tcPr>
            <w:tcW w:w="416" w:type="dxa"/>
            <w:shd w:val="clear" w:color="auto" w:fill="auto"/>
            <w:vAlign w:val="center"/>
          </w:tcPr>
          <w:p>
            <w:pPr>
              <w:jc w:val="right"/>
              <w:rPr>
                <w:rFonts w:ascii="仿宋_GB2312" w:hAnsi="宋体" w:eastAsia="仿宋_GB2312"/>
                <w:color w:val="171717" w:themeColor="background2" w:themeShade="1A"/>
                <w:kern w:val="0"/>
                <w:sz w:val="18"/>
                <w:szCs w:val="18"/>
              </w:rPr>
            </w:pPr>
          </w:p>
        </w:tc>
        <w:tc>
          <w:tcPr>
            <w:tcW w:w="416" w:type="dxa"/>
            <w:shd w:val="clear" w:color="auto" w:fill="auto"/>
            <w:vAlign w:val="center"/>
          </w:tcPr>
          <w:p>
            <w:pPr>
              <w:jc w:val="right"/>
              <w:rPr>
                <w:rFonts w:ascii="仿宋_GB2312" w:hAnsi="宋体" w:eastAsia="仿宋_GB2312"/>
                <w:color w:val="171717" w:themeColor="background2" w:themeShade="1A"/>
                <w:kern w:val="0"/>
                <w:sz w:val="18"/>
                <w:szCs w:val="18"/>
              </w:rPr>
            </w:pPr>
          </w:p>
        </w:tc>
        <w:tc>
          <w:tcPr>
            <w:tcW w:w="737" w:type="dxa"/>
            <w:shd w:val="clear" w:color="auto" w:fill="auto"/>
            <w:vAlign w:val="center"/>
          </w:tcPr>
          <w:p>
            <w:pPr>
              <w:jc w:val="left"/>
              <w:rPr>
                <w:rFonts w:ascii="仿宋_GB2312" w:hAnsi="宋体" w:eastAsia="仿宋_GB2312"/>
                <w:color w:val="171717" w:themeColor="background2" w:themeShade="1A"/>
                <w:kern w:val="0"/>
                <w:sz w:val="18"/>
                <w:szCs w:val="18"/>
              </w:rPr>
            </w:pPr>
          </w:p>
        </w:tc>
        <w:tc>
          <w:tcPr>
            <w:tcW w:w="135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93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811" w:type="dxa"/>
            <w:gridSpan w:val="2"/>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2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63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61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9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0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0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357"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tcPr>
          <w:p>
            <w:pPr>
              <w:widowControl/>
              <w:jc w:val="lef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olor w:val="171717" w:themeColor="background2" w:themeShade="1A"/>
                <w:kern w:val="0"/>
                <w:sz w:val="18"/>
                <w:szCs w:val="18"/>
              </w:rPr>
            </w:pPr>
          </w:p>
        </w:tc>
        <w:tc>
          <w:tcPr>
            <w:tcW w:w="416" w:type="dxa"/>
            <w:shd w:val="clear" w:color="auto" w:fill="auto"/>
            <w:vAlign w:val="center"/>
          </w:tcPr>
          <w:p>
            <w:pPr>
              <w:jc w:val="right"/>
              <w:rPr>
                <w:rFonts w:ascii="仿宋_GB2312" w:hAnsi="宋体" w:eastAsia="仿宋_GB2312"/>
                <w:color w:val="171717" w:themeColor="background2" w:themeShade="1A"/>
                <w:kern w:val="0"/>
                <w:sz w:val="18"/>
                <w:szCs w:val="18"/>
              </w:rPr>
            </w:pPr>
          </w:p>
        </w:tc>
        <w:tc>
          <w:tcPr>
            <w:tcW w:w="416" w:type="dxa"/>
            <w:shd w:val="clear" w:color="auto" w:fill="auto"/>
            <w:vAlign w:val="center"/>
          </w:tcPr>
          <w:p>
            <w:pPr>
              <w:jc w:val="right"/>
              <w:rPr>
                <w:rFonts w:ascii="仿宋_GB2312" w:hAnsi="宋体" w:eastAsia="仿宋_GB2312"/>
                <w:color w:val="171717" w:themeColor="background2" w:themeShade="1A"/>
                <w:kern w:val="0"/>
                <w:sz w:val="18"/>
                <w:szCs w:val="18"/>
              </w:rPr>
            </w:pPr>
          </w:p>
        </w:tc>
        <w:tc>
          <w:tcPr>
            <w:tcW w:w="737" w:type="dxa"/>
            <w:shd w:val="clear" w:color="auto" w:fill="auto"/>
            <w:vAlign w:val="center"/>
          </w:tcPr>
          <w:p>
            <w:pPr>
              <w:jc w:val="left"/>
              <w:rPr>
                <w:rFonts w:ascii="仿宋_GB2312" w:hAnsi="宋体" w:eastAsia="仿宋_GB2312"/>
                <w:color w:val="171717" w:themeColor="background2" w:themeShade="1A"/>
                <w:kern w:val="0"/>
                <w:sz w:val="18"/>
                <w:szCs w:val="18"/>
              </w:rPr>
            </w:pPr>
          </w:p>
        </w:tc>
        <w:tc>
          <w:tcPr>
            <w:tcW w:w="135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93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811" w:type="dxa"/>
            <w:gridSpan w:val="2"/>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2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63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61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9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0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0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357"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tcPr>
          <w:p>
            <w:pPr>
              <w:widowControl/>
              <w:jc w:val="lef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416"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416"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737"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135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93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811" w:type="dxa"/>
            <w:gridSpan w:val="2"/>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2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63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61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9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0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0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357"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tcPr>
          <w:p>
            <w:pPr>
              <w:widowControl/>
              <w:jc w:val="lef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416"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416"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737"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135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93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811" w:type="dxa"/>
            <w:gridSpan w:val="2"/>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52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630" w:type="dxa"/>
            <w:shd w:val="clear" w:color="auto" w:fill="auto"/>
          </w:tcPr>
          <w:p>
            <w:pPr>
              <w:widowControl/>
              <w:jc w:val="right"/>
              <w:outlineLvl w:val="1"/>
              <w:rPr>
                <w:rFonts w:ascii="仿宋_GB2312" w:hAnsi="宋体" w:eastAsia="仿宋_GB2312"/>
                <w:color w:val="171717" w:themeColor="background2" w:themeShade="1A"/>
                <w:kern w:val="0"/>
                <w:sz w:val="18"/>
                <w:szCs w:val="18"/>
              </w:rPr>
            </w:pPr>
          </w:p>
        </w:tc>
        <w:tc>
          <w:tcPr>
            <w:tcW w:w="61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9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0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0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357"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tcPr>
          <w:p>
            <w:pPr>
              <w:widowControl/>
              <w:jc w:val="lef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416"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416"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737"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1350" w:type="dxa"/>
            <w:shd w:val="clear" w:color="auto" w:fill="auto"/>
            <w:vAlign w:val="center"/>
          </w:tcPr>
          <w:p>
            <w:pPr>
              <w:widowControl/>
              <w:jc w:val="center"/>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合计</w:t>
            </w:r>
          </w:p>
        </w:tc>
        <w:tc>
          <w:tcPr>
            <w:tcW w:w="93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91.09</w:t>
            </w:r>
          </w:p>
        </w:tc>
        <w:tc>
          <w:tcPr>
            <w:tcW w:w="811"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41.89</w:t>
            </w:r>
          </w:p>
        </w:tc>
        <w:tc>
          <w:tcPr>
            <w:tcW w:w="63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49.2</w:t>
            </w:r>
          </w:p>
        </w:tc>
        <w:tc>
          <w:tcPr>
            <w:tcW w:w="61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9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600" w:type="dxa"/>
            <w:shd w:val="clear" w:color="auto" w:fill="auto"/>
          </w:tcPr>
          <w:p>
            <w:pPr>
              <w:widowControl/>
              <w:outlineLvl w:val="1"/>
              <w:rPr>
                <w:rFonts w:ascii="仿宋_GB2312" w:hAnsi="宋体" w:eastAsia="仿宋_GB2312"/>
                <w:color w:val="171717" w:themeColor="background2" w:themeShade="1A"/>
                <w:kern w:val="0"/>
                <w:sz w:val="18"/>
                <w:szCs w:val="18"/>
              </w:rPr>
            </w:pPr>
          </w:p>
        </w:tc>
        <w:tc>
          <w:tcPr>
            <w:tcW w:w="60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357"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420"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tcPr>
          <w:p>
            <w:pPr>
              <w:widowControl/>
              <w:jc w:val="left"/>
              <w:outlineLvl w:val="1"/>
              <w:rPr>
                <w:rFonts w:ascii="仿宋_GB2312" w:hAnsi="宋体" w:eastAsia="仿宋_GB2312"/>
                <w:color w:val="171717" w:themeColor="background2" w:themeShade="1A"/>
                <w:kern w:val="0"/>
                <w:sz w:val="18"/>
                <w:szCs w:val="18"/>
              </w:rPr>
            </w:pPr>
          </w:p>
        </w:tc>
      </w:tr>
    </w:tbl>
    <w:p>
      <w:pPr>
        <w:widowControl/>
        <w:jc w:val="left"/>
        <w:outlineLvl w:val="1"/>
        <w:rPr>
          <w:rFonts w:ascii="仿宋_GB2312" w:hAnsi="宋体" w:eastAsia="仿宋_GB2312"/>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r>
        <w:rPr>
          <w:rFonts w:ascii="仿宋_GB2312" w:hAnsi="宋体" w:eastAsia="仿宋_GB2312"/>
          <w:b/>
          <w:color w:val="171717" w:themeColor="background2" w:themeShade="1A"/>
          <w:kern w:val="0"/>
          <w:sz w:val="32"/>
          <w:szCs w:val="32"/>
        </w:rPr>
        <w:br w:type="page"/>
      </w:r>
    </w:p>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表八：</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乌鲁木齐市第一一五小学一般公共预算“三公”经费支出情况表</w:t>
      </w:r>
    </w:p>
    <w:p>
      <w:pPr>
        <w:widowControl/>
        <w:jc w:val="left"/>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编制单位：乌鲁木齐市第一一五小学                                 单位：万元</w:t>
      </w:r>
    </w:p>
    <w:tbl>
      <w:tblPr>
        <w:tblStyle w:val="10"/>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ascii="仿宋_GB2312" w:hAnsi="宋体" w:eastAsia="仿宋_GB2312" w:cs="宋体"/>
                <w:color w:val="171717" w:themeColor="background2" w:themeShade="1A"/>
                <w:kern w:val="0"/>
                <w:sz w:val="18"/>
                <w:szCs w:val="18"/>
              </w:rPr>
              <w:t>0.11</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0.11</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bl>
    <w:p>
      <w:pPr>
        <w:widowControl/>
        <w:outlineLvl w:val="1"/>
        <w:rPr>
          <w:rFonts w:ascii="仿宋_GB2312" w:hAnsi="宋体" w:eastAsia="仿宋_GB2312"/>
          <w:color w:val="171717" w:themeColor="background2" w:themeShade="1A"/>
          <w:kern w:val="0"/>
          <w:sz w:val="32"/>
          <w:szCs w:val="32"/>
        </w:rPr>
      </w:pPr>
    </w:p>
    <w:p>
      <w:pPr>
        <w:widowControl/>
        <w:outlineLvl w:val="1"/>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r>
        <w:rPr>
          <w:rFonts w:ascii="仿宋_GB2312" w:hAnsi="宋体" w:eastAsia="仿宋_GB2312"/>
          <w:color w:val="171717" w:themeColor="background2" w:themeShade="1A"/>
          <w:kern w:val="0"/>
          <w:sz w:val="32"/>
          <w:szCs w:val="32"/>
        </w:rPr>
        <w:br w:type="page"/>
      </w:r>
    </w:p>
    <w:p>
      <w:pPr>
        <w:widowControl/>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表九：</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乌鲁木齐市第一一五小学政府性基金预算支出情况表</w:t>
      </w:r>
    </w:p>
    <w:p>
      <w:pPr>
        <w:widowControl/>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编制单位：乌鲁木齐市第一一五小学                                单位：万元</w:t>
      </w:r>
    </w:p>
    <w:tbl>
      <w:tblPr>
        <w:tblStyle w:val="10"/>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bl>
    <w:p>
      <w:pPr>
        <w:widowControl/>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备注：无内容应公开空表并说明情况。</w:t>
      </w:r>
    </w:p>
    <w:p>
      <w:pPr>
        <w:widowControl/>
        <w:jc w:val="left"/>
        <w:outlineLvl w:val="1"/>
        <w:rPr>
          <w:rFonts w:ascii="仿宋_GB2312" w:hAnsi="宋体" w:eastAsia="仿宋_GB2312"/>
          <w:color w:val="171717" w:themeColor="background2" w:themeShade="1A"/>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Lines="50"/>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第三部分  2016年部门预算情况说明</w:t>
      </w:r>
    </w:p>
    <w:p>
      <w:pPr>
        <w:widowControl/>
        <w:spacing w:line="600" w:lineRule="exact"/>
        <w:outlineLvl w:val="1"/>
        <w:rPr>
          <w:rFonts w:ascii="仿宋_GB2312" w:hAnsi="宋体" w:eastAsia="仿宋_GB2312"/>
          <w:b/>
          <w:color w:val="171717" w:themeColor="background2" w:themeShade="1A"/>
          <w:kern w:val="0"/>
          <w:sz w:val="36"/>
          <w:szCs w:val="36"/>
        </w:rPr>
      </w:pPr>
    </w:p>
    <w:p>
      <w:pPr>
        <w:widowControl/>
        <w:spacing w:line="600" w:lineRule="exact"/>
        <w:jc w:val="center"/>
        <w:outlineLvl w:val="1"/>
        <w:rPr>
          <w:rFonts w:ascii="黑体" w:hAnsi="宋体" w:eastAsia="黑体"/>
          <w:color w:val="171717" w:themeColor="background2" w:themeShade="1A"/>
          <w:kern w:val="0"/>
          <w:sz w:val="32"/>
          <w:szCs w:val="32"/>
        </w:rPr>
      </w:pPr>
      <w:r>
        <w:rPr>
          <w:rFonts w:hint="eastAsia" w:ascii="黑体" w:hAnsi="宋体" w:eastAsia="黑体"/>
          <w:color w:val="171717" w:themeColor="background2" w:themeShade="1A"/>
          <w:kern w:val="0"/>
          <w:sz w:val="32"/>
          <w:szCs w:val="32"/>
        </w:rPr>
        <w:t>2016年部门预算情况说明</w:t>
      </w:r>
    </w:p>
    <w:p>
      <w:pPr>
        <w:widowControl/>
        <w:spacing w:line="600" w:lineRule="exact"/>
        <w:jc w:val="left"/>
        <w:outlineLvl w:val="1"/>
        <w:rPr>
          <w:rFonts w:ascii="仿宋_GB2312" w:hAnsi="宋体" w:eastAsia="仿宋_GB2312"/>
          <w:color w:val="171717" w:themeColor="background2" w:themeShade="1A"/>
          <w:kern w:val="0"/>
          <w:sz w:val="36"/>
          <w:szCs w:val="36"/>
        </w:rPr>
      </w:pP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黑体" w:eastAsia="黑体" w:cs="宋体"/>
          <w:bCs/>
          <w:color w:val="171717" w:themeColor="background2" w:themeShade="1A"/>
          <w:kern w:val="0"/>
          <w:sz w:val="32"/>
          <w:szCs w:val="32"/>
        </w:rPr>
        <w:t>一、</w:t>
      </w:r>
      <w:r>
        <w:rPr>
          <w:rFonts w:hint="eastAsia" w:ascii="黑体" w:hAnsi="宋体" w:eastAsia="黑体" w:cs="宋体"/>
          <w:color w:val="171717" w:themeColor="background2" w:themeShade="1A"/>
          <w:kern w:val="0"/>
          <w:sz w:val="32"/>
          <w:szCs w:val="32"/>
        </w:rPr>
        <w:t>关于乌鲁木齐市第一一五小学2016年收支预算情况的总体说明</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按照全口径预算的原则，乌鲁木齐市第一一五小学2016年所有收入和支出均纳入部门预算管理。收支总预算727.69万元。</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收入预算包括：一般公共预算、单位上年结余（不包括国库集中支付额度结余）。</w:t>
      </w:r>
    </w:p>
    <w:p>
      <w:pPr>
        <w:widowControl/>
        <w:spacing w:line="580" w:lineRule="exact"/>
        <w:ind w:firstLine="640"/>
        <w:jc w:val="left"/>
        <w:rPr>
          <w:rFonts w:cs="宋体" w:asciiTheme="minorEastAsia" w:hAnsiTheme="minorEastAsia" w:eastAsiaTheme="minorEastAsia"/>
          <w:b/>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支出预算包括：教育支出、社会保障和就业支出。</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二、关于乌鲁木齐市第一一五小学2016年收入预算情况说明</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乌鲁木齐市第一一五小学收入预算727.69万元，其中：</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一般公共预算727.69万元，比上年增加117.63万元。 增加的原因是人员工资、津贴、社保、公积金等经费增加109.10万元，商品服务支出增加9.48万元，项目支出减少0.95万元。</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政府性基金未安排</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非税收入未安排</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财政预算拨款结余结转0万元，比上年减少3.66万元。</w:t>
      </w:r>
    </w:p>
    <w:p>
      <w:pPr>
        <w:widowControl/>
        <w:spacing w:line="580" w:lineRule="exact"/>
        <w:ind w:firstLine="640" w:firstLineChars="20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三、关于乌鲁木齐市第一一五小学单位2016年支出预算情况说明</w:t>
      </w:r>
    </w:p>
    <w:p>
      <w:pPr>
        <w:widowControl/>
        <w:spacing w:line="580" w:lineRule="exact"/>
        <w:ind w:firstLine="700" w:firstLineChars="25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乌鲁木齐市第一一五小学单位2016年支出预算727.69万元，其中：</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基本支出636.60万元，比上年增加118.58万元，增加的原因是人员工资、津贴、社保、公积金等经费增加109.10万元，商品服务支出增加9.48万元。</w:t>
      </w:r>
    </w:p>
    <w:p>
      <w:pPr>
        <w:widowControl/>
        <w:spacing w:line="58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项目支出91.09万元，比上年减少0.95万元。减少的原因是本年取消车辆补助经费，新增绿化美化经费。</w:t>
      </w:r>
    </w:p>
    <w:p>
      <w:pPr>
        <w:widowControl/>
        <w:spacing w:line="580" w:lineRule="exact"/>
        <w:ind w:firstLine="640" w:firstLineChars="200"/>
        <w:jc w:val="left"/>
        <w:rPr>
          <w:rFonts w:ascii="黑体" w:hAnsi="黑体" w:eastAsia="黑体" w:cs="宋体"/>
          <w:bCs/>
          <w:color w:val="171717" w:themeColor="background2" w:themeShade="1A"/>
          <w:kern w:val="0"/>
          <w:sz w:val="32"/>
          <w:szCs w:val="32"/>
        </w:rPr>
      </w:pPr>
      <w:r>
        <w:rPr>
          <w:rFonts w:hint="eastAsia" w:ascii="黑体" w:hAnsi="黑体" w:eastAsia="黑体" w:cs="宋体"/>
          <w:bCs/>
          <w:color w:val="171717" w:themeColor="background2" w:themeShade="1A"/>
          <w:kern w:val="0"/>
          <w:sz w:val="32"/>
          <w:szCs w:val="32"/>
        </w:rPr>
        <w:t>四、关于乌鲁木齐市第一一五小学2016年财政拨款收支预算情况的总体说明</w:t>
      </w:r>
    </w:p>
    <w:p>
      <w:pPr>
        <w:spacing w:line="580" w:lineRule="exact"/>
        <w:ind w:firstLine="640"/>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财政拨款收支总预算</w:t>
      </w:r>
      <w:r>
        <w:rPr>
          <w:rFonts w:cs="宋体" w:asciiTheme="minorEastAsia" w:hAnsiTheme="minorEastAsia" w:eastAsiaTheme="minorEastAsia"/>
          <w:color w:val="171717" w:themeColor="background2" w:themeShade="1A"/>
          <w:kern w:val="0"/>
          <w:sz w:val="28"/>
          <w:szCs w:val="28"/>
        </w:rPr>
        <w:t>727.69</w:t>
      </w:r>
      <w:r>
        <w:rPr>
          <w:rFonts w:hint="eastAsia" w:cs="宋体" w:asciiTheme="minorEastAsia" w:hAnsiTheme="minorEastAsia" w:eastAsiaTheme="minorEastAsia"/>
          <w:color w:val="171717" w:themeColor="background2" w:themeShade="1A"/>
          <w:kern w:val="0"/>
          <w:sz w:val="28"/>
          <w:szCs w:val="28"/>
        </w:rPr>
        <w:t>万元。</w:t>
      </w:r>
    </w:p>
    <w:p>
      <w:pPr>
        <w:spacing w:line="580" w:lineRule="exact"/>
        <w:ind w:firstLine="640"/>
        <w:rPr>
          <w:rFonts w:cs="宋体" w:asciiTheme="minorEastAsia" w:hAnsiTheme="minorEastAsia" w:eastAsiaTheme="minorEastAsia"/>
          <w:b/>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收入全部为一般公共预算拨款，无政府性基金预算拨款。</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五、关于乌鲁木齐市第一一五小学2016年一般公共预算基本支出情况说明</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乌鲁木齐市第一一五小学2016年一般公共预算基本支出636.60万元，其中：</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人员经费587.18万元，主要包括：基本工资、津贴补贴、奖金、绩效工资、机关事业单位基本养老保险缴费、其他社会保障缴费、住房公积金、其他工资福利支出、生活补助、奖励金、其他对个人和家庭的补助。</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公用经费49.42万元，主要包括：水费、电费、邮电费、取暖费、物业管理费、差旅费、维修（护）费、租赁费、培训费、公务接待费、专用材料费、劳务费、工会经费、福利费、公务用车运行维护费、其他商品和服务支出。</w:t>
      </w:r>
    </w:p>
    <w:p>
      <w:pPr>
        <w:widowControl/>
        <w:spacing w:line="580" w:lineRule="exact"/>
        <w:ind w:firstLine="640" w:firstLineChars="20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六、关于乌鲁木齐市第一一五小学2016年一般公共预算项目支出情况说明</w:t>
      </w:r>
    </w:p>
    <w:p>
      <w:pPr>
        <w:widowControl/>
        <w:spacing w:line="580" w:lineRule="exact"/>
        <w:ind w:firstLine="642"/>
        <w:jc w:val="left"/>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情况一：</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1、项目名称：</w:t>
      </w:r>
      <w:r>
        <w:rPr>
          <w:rFonts w:hint="eastAsia" w:cs="仿宋_GB2312" w:asciiTheme="minorEastAsia" w:hAnsiTheme="minorEastAsia" w:eastAsiaTheme="minorEastAsia"/>
          <w:color w:val="171717" w:themeColor="background2" w:themeShade="1A"/>
          <w:kern w:val="0"/>
          <w:sz w:val="28"/>
          <w:szCs w:val="28"/>
        </w:rPr>
        <w:t>校园绿化美化经费</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设立的政策依据：根据校园绿化美化经费设立依据</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预算安排规模：5万元</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项目承担单位：</w:t>
      </w:r>
      <w:r>
        <w:rPr>
          <w:rFonts w:hint="eastAsia" w:cs="仿宋_GB2312" w:asciiTheme="minorEastAsia" w:hAnsiTheme="minorEastAsia" w:eastAsiaTheme="minorEastAsia"/>
          <w:color w:val="171717" w:themeColor="background2" w:themeShade="1A"/>
          <w:kern w:val="0"/>
          <w:sz w:val="28"/>
          <w:szCs w:val="28"/>
        </w:rPr>
        <w:t>乌鲁木齐市第115小学</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资金分配情况：5万元</w:t>
      </w:r>
    </w:p>
    <w:p>
      <w:pPr>
        <w:widowControl/>
        <w:spacing w:line="580" w:lineRule="exact"/>
        <w:ind w:firstLine="64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rPr>
        <w:t>2016年1月-2016年12月</w:t>
      </w:r>
    </w:p>
    <w:p>
      <w:pPr>
        <w:spacing w:line="580" w:lineRule="exact"/>
        <w:ind w:firstLine="642"/>
        <w:rPr>
          <w:rFonts w:asciiTheme="minorEastAsia" w:hAnsiTheme="minorEastAsia" w:eastAsiaTheme="minorEastAsia"/>
          <w:b/>
          <w:color w:val="171717" w:themeColor="background2" w:themeShade="1A"/>
          <w:sz w:val="28"/>
          <w:szCs w:val="28"/>
        </w:rPr>
      </w:pPr>
    </w:p>
    <w:p>
      <w:pPr>
        <w:widowControl/>
        <w:spacing w:line="580" w:lineRule="exact"/>
        <w:ind w:firstLine="562" w:firstLineChars="200"/>
        <w:jc w:val="left"/>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情况二：</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1、项目名称：</w:t>
      </w:r>
      <w:r>
        <w:rPr>
          <w:rFonts w:hint="eastAsia" w:cs="仿宋_GB2312" w:asciiTheme="minorEastAsia" w:hAnsiTheme="minorEastAsia" w:eastAsiaTheme="minorEastAsia"/>
          <w:color w:val="171717" w:themeColor="background2" w:themeShade="1A"/>
          <w:kern w:val="0"/>
          <w:sz w:val="28"/>
          <w:szCs w:val="28"/>
        </w:rPr>
        <w:t>护校队、安保人员经费</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设立的政策依据：根据护校队、安保人员经费设立依据</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预算安排规模：</w:t>
      </w:r>
      <w:r>
        <w:rPr>
          <w:rFonts w:hint="eastAsia" w:cs="仿宋_GB2312" w:asciiTheme="minorEastAsia" w:hAnsiTheme="minorEastAsia" w:eastAsiaTheme="minorEastAsia"/>
          <w:color w:val="171717" w:themeColor="background2" w:themeShade="1A"/>
          <w:kern w:val="0"/>
          <w:sz w:val="28"/>
          <w:szCs w:val="28"/>
        </w:rPr>
        <w:t>49.20万元</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项目承担单位：</w:t>
      </w:r>
      <w:r>
        <w:rPr>
          <w:rFonts w:hint="eastAsia" w:cs="仿宋_GB2312" w:asciiTheme="minorEastAsia" w:hAnsiTheme="minorEastAsia" w:eastAsiaTheme="minorEastAsia"/>
          <w:color w:val="171717" w:themeColor="background2" w:themeShade="1A"/>
          <w:kern w:val="0"/>
          <w:sz w:val="28"/>
          <w:szCs w:val="28"/>
        </w:rPr>
        <w:t>乌鲁木齐市第115小学</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资金分配情况：</w:t>
      </w:r>
      <w:r>
        <w:rPr>
          <w:rFonts w:hint="eastAsia" w:cs="仿宋_GB2312" w:asciiTheme="minorEastAsia" w:hAnsiTheme="minorEastAsia" w:eastAsiaTheme="minorEastAsia"/>
          <w:color w:val="171717" w:themeColor="background2" w:themeShade="1A"/>
          <w:kern w:val="0"/>
          <w:sz w:val="28"/>
          <w:szCs w:val="28"/>
        </w:rPr>
        <w:t>学校</w:t>
      </w:r>
      <w:r>
        <w:rPr>
          <w:rFonts w:cs="仿宋_GB2312" w:asciiTheme="minorEastAsia" w:hAnsiTheme="minorEastAsia" w:eastAsiaTheme="minorEastAsia"/>
          <w:color w:val="171717" w:themeColor="background2" w:themeShade="1A"/>
          <w:kern w:val="0"/>
          <w:sz w:val="28"/>
          <w:szCs w:val="28"/>
        </w:rPr>
        <w:t>护校队</w:t>
      </w:r>
      <w:r>
        <w:rPr>
          <w:rFonts w:hint="eastAsia" w:cs="仿宋_GB2312" w:asciiTheme="minorEastAsia" w:hAnsiTheme="minorEastAsia" w:eastAsiaTheme="minorEastAsia"/>
          <w:color w:val="171717" w:themeColor="background2" w:themeShade="1A"/>
          <w:kern w:val="0"/>
          <w:sz w:val="28"/>
          <w:szCs w:val="28"/>
        </w:rPr>
        <w:t>1</w:t>
      </w:r>
      <w:r>
        <w:rPr>
          <w:rFonts w:cs="仿宋_GB2312" w:asciiTheme="minorEastAsia" w:hAnsiTheme="minorEastAsia" w:eastAsiaTheme="minorEastAsia"/>
          <w:color w:val="171717" w:themeColor="background2" w:themeShade="1A"/>
          <w:kern w:val="0"/>
          <w:sz w:val="28"/>
          <w:szCs w:val="28"/>
        </w:rPr>
        <w:t>0</w:t>
      </w:r>
      <w:r>
        <w:rPr>
          <w:rFonts w:hint="eastAsia" w:cs="仿宋_GB2312" w:asciiTheme="minorEastAsia" w:hAnsiTheme="minorEastAsia" w:eastAsiaTheme="minorEastAsia"/>
          <w:color w:val="171717" w:themeColor="background2" w:themeShade="1A"/>
          <w:kern w:val="0"/>
          <w:sz w:val="28"/>
          <w:szCs w:val="28"/>
        </w:rPr>
        <w:t>人</w:t>
      </w:r>
      <w:r>
        <w:rPr>
          <w:rFonts w:cs="仿宋_GB2312" w:asciiTheme="minorEastAsia" w:hAnsiTheme="minorEastAsia" w:eastAsiaTheme="minorEastAsia"/>
          <w:color w:val="171717" w:themeColor="background2" w:themeShade="1A"/>
          <w:kern w:val="0"/>
          <w:sz w:val="28"/>
          <w:szCs w:val="28"/>
        </w:rPr>
        <w:t>，保安公司</w:t>
      </w:r>
      <w:r>
        <w:rPr>
          <w:rFonts w:hint="eastAsia" w:cs="仿宋_GB2312" w:asciiTheme="minorEastAsia" w:hAnsiTheme="minorEastAsia" w:eastAsiaTheme="minorEastAsia"/>
          <w:color w:val="171717" w:themeColor="background2" w:themeShade="1A"/>
          <w:kern w:val="0"/>
          <w:sz w:val="28"/>
          <w:szCs w:val="28"/>
        </w:rPr>
        <w:t>10人</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rPr>
        <w:t>2016年1月-2016年12月</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资金来源</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财政拨款</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补贴人数</w:t>
      </w:r>
      <w:r>
        <w:rPr>
          <w:rFonts w:hint="eastAsia" w:asciiTheme="minorEastAsia" w:hAnsiTheme="minorEastAsia" w:eastAsiaTheme="minorEastAsia"/>
          <w:color w:val="171717" w:themeColor="background2" w:themeShade="1A"/>
          <w:sz w:val="28"/>
          <w:szCs w:val="28"/>
        </w:rPr>
        <w:t>：</w:t>
      </w:r>
      <w:r>
        <w:rPr>
          <w:rFonts w:asciiTheme="minorEastAsia" w:hAnsiTheme="minorEastAsia" w:eastAsiaTheme="minorEastAsia"/>
          <w:color w:val="171717" w:themeColor="background2" w:themeShade="1A"/>
          <w:sz w:val="28"/>
          <w:szCs w:val="28"/>
        </w:rPr>
        <w:t>20</w:t>
      </w:r>
      <w:r>
        <w:rPr>
          <w:rFonts w:hint="eastAsia" w:asciiTheme="minorEastAsia" w:hAnsiTheme="minorEastAsia" w:eastAsiaTheme="minorEastAsia"/>
          <w:color w:val="171717" w:themeColor="background2" w:themeShade="1A"/>
          <w:sz w:val="28"/>
          <w:szCs w:val="28"/>
        </w:rPr>
        <w:t>人</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补贴标准</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本校护校</w:t>
      </w:r>
      <w:r>
        <w:rPr>
          <w:rFonts w:cs="宋体" w:asciiTheme="minorEastAsia" w:hAnsiTheme="minorEastAsia" w:eastAsiaTheme="minorEastAsia"/>
          <w:color w:val="171717" w:themeColor="background2" w:themeShade="1A"/>
          <w:kern w:val="0"/>
          <w:sz w:val="28"/>
          <w:szCs w:val="28"/>
        </w:rPr>
        <w:t>队：</w:t>
      </w:r>
      <w:r>
        <w:rPr>
          <w:rFonts w:hint="eastAsia" w:cs="宋体" w:asciiTheme="minorEastAsia" w:hAnsiTheme="minorEastAsia" w:eastAsiaTheme="minorEastAsia"/>
          <w:color w:val="171717" w:themeColor="background2" w:themeShade="1A"/>
          <w:kern w:val="0"/>
          <w:sz w:val="28"/>
          <w:szCs w:val="28"/>
        </w:rPr>
        <w:t>1500元/月/人；保安</w:t>
      </w:r>
      <w:r>
        <w:rPr>
          <w:rFonts w:cs="宋体" w:asciiTheme="minorEastAsia" w:hAnsiTheme="minorEastAsia" w:eastAsiaTheme="minorEastAsia"/>
          <w:color w:val="171717" w:themeColor="background2" w:themeShade="1A"/>
          <w:kern w:val="0"/>
          <w:sz w:val="28"/>
          <w:szCs w:val="28"/>
        </w:rPr>
        <w:t>公司：</w:t>
      </w:r>
      <w:r>
        <w:rPr>
          <w:rFonts w:hint="eastAsia" w:cs="宋体" w:asciiTheme="minorEastAsia" w:hAnsiTheme="minorEastAsia" w:eastAsiaTheme="minorEastAsia"/>
          <w:color w:val="171717" w:themeColor="background2" w:themeShade="1A"/>
          <w:kern w:val="0"/>
          <w:sz w:val="28"/>
          <w:szCs w:val="28"/>
        </w:rPr>
        <w:t>2500元/月/人</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补贴范围</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护校队、安保人员</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补贴方式</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打卡</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hint="eastAsia" w:cs="宋体" w:asciiTheme="minorEastAsia" w:hAnsiTheme="minorEastAsia" w:eastAsiaTheme="minorEastAsia"/>
          <w:color w:val="171717" w:themeColor="background2" w:themeShade="1A"/>
          <w:kern w:val="0"/>
          <w:sz w:val="28"/>
          <w:szCs w:val="28"/>
        </w:rPr>
        <w:t>发放程序：按考勤</w:t>
      </w:r>
      <w:r>
        <w:rPr>
          <w:rFonts w:cs="宋体" w:asciiTheme="minorEastAsia" w:hAnsiTheme="minorEastAsia" w:eastAsiaTheme="minorEastAsia"/>
          <w:color w:val="171717" w:themeColor="background2" w:themeShade="1A"/>
          <w:kern w:val="0"/>
          <w:sz w:val="28"/>
          <w:szCs w:val="28"/>
        </w:rPr>
        <w:t>表发放</w:t>
      </w:r>
    </w:p>
    <w:p>
      <w:pPr>
        <w:widowControl/>
        <w:spacing w:line="580" w:lineRule="exact"/>
        <w:ind w:firstLine="640"/>
        <w:jc w:val="left"/>
        <w:rPr>
          <w:rFonts w:cs="仿宋_GB2312"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受益人群和社会效益</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护校队、安保人员</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p>
    <w:p>
      <w:pPr>
        <w:widowControl/>
        <w:spacing w:line="58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sz w:val="28"/>
          <w:szCs w:val="28"/>
        </w:rPr>
        <w:t>2、项目名称：</w:t>
      </w:r>
      <w:r>
        <w:rPr>
          <w:rFonts w:hint="eastAsia" w:cs="仿宋_GB2312" w:asciiTheme="minorEastAsia" w:hAnsiTheme="minorEastAsia" w:eastAsiaTheme="minorEastAsia"/>
          <w:color w:val="171717" w:themeColor="background2" w:themeShade="1A"/>
          <w:kern w:val="0"/>
          <w:sz w:val="28"/>
          <w:szCs w:val="28"/>
        </w:rPr>
        <w:t>2016年临时聘用人员经费</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设立的政策依据：根据临时聘用人员经费设立依据</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预算安排规模：</w:t>
      </w:r>
      <w:r>
        <w:rPr>
          <w:rFonts w:cs="仿宋_GB2312" w:asciiTheme="minorEastAsia" w:hAnsiTheme="minorEastAsia" w:eastAsiaTheme="minorEastAsia"/>
          <w:color w:val="171717" w:themeColor="background2" w:themeShade="1A"/>
          <w:sz w:val="28"/>
          <w:szCs w:val="28"/>
        </w:rPr>
        <w:t>36.89</w:t>
      </w:r>
      <w:r>
        <w:rPr>
          <w:rFonts w:hint="eastAsia" w:cs="仿宋_GB2312" w:asciiTheme="minorEastAsia" w:hAnsiTheme="minorEastAsia" w:eastAsiaTheme="minorEastAsia"/>
          <w:color w:val="171717" w:themeColor="background2" w:themeShade="1A"/>
          <w:sz w:val="28"/>
          <w:szCs w:val="28"/>
        </w:rPr>
        <w:t>万元</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项目承担单位：</w:t>
      </w:r>
      <w:r>
        <w:rPr>
          <w:rFonts w:hint="eastAsia" w:cs="仿宋_GB2312" w:asciiTheme="minorEastAsia" w:hAnsiTheme="minorEastAsia" w:eastAsiaTheme="minorEastAsia"/>
          <w:color w:val="171717" w:themeColor="background2" w:themeShade="1A"/>
          <w:kern w:val="0"/>
          <w:sz w:val="28"/>
          <w:szCs w:val="28"/>
        </w:rPr>
        <w:t>乌鲁木齐市第115小学</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资金分配情况：</w:t>
      </w:r>
      <w:r>
        <w:rPr>
          <w:rFonts w:hint="eastAsia" w:cs="宋体" w:asciiTheme="minorEastAsia" w:hAnsiTheme="minorEastAsia" w:eastAsiaTheme="minorEastAsia"/>
          <w:color w:val="171717" w:themeColor="background2" w:themeShade="1A"/>
          <w:kern w:val="0"/>
          <w:sz w:val="28"/>
          <w:szCs w:val="28"/>
        </w:rPr>
        <w:t>代课教师</w:t>
      </w:r>
      <w:r>
        <w:rPr>
          <w:rFonts w:cs="宋体" w:asciiTheme="minorEastAsia" w:hAnsiTheme="minorEastAsia" w:eastAsiaTheme="minorEastAsia"/>
          <w:color w:val="171717" w:themeColor="background2" w:themeShade="1A"/>
          <w:kern w:val="0"/>
          <w:sz w:val="28"/>
          <w:szCs w:val="28"/>
        </w:rPr>
        <w:t>2</w:t>
      </w:r>
      <w:r>
        <w:rPr>
          <w:rFonts w:hint="eastAsia" w:cs="宋体" w:asciiTheme="minorEastAsia" w:hAnsiTheme="minorEastAsia" w:eastAsiaTheme="minorEastAsia"/>
          <w:color w:val="171717" w:themeColor="background2" w:themeShade="1A"/>
          <w:kern w:val="0"/>
          <w:sz w:val="28"/>
          <w:szCs w:val="28"/>
        </w:rPr>
        <w:t>人，临时工</w:t>
      </w:r>
      <w:r>
        <w:rPr>
          <w:rFonts w:cs="宋体" w:asciiTheme="minorEastAsia" w:hAnsiTheme="minorEastAsia" w:eastAsiaTheme="minorEastAsia"/>
          <w:color w:val="171717" w:themeColor="background2" w:themeShade="1A"/>
          <w:kern w:val="0"/>
          <w:sz w:val="28"/>
          <w:szCs w:val="28"/>
        </w:rPr>
        <w:t>12</w:t>
      </w:r>
      <w:r>
        <w:rPr>
          <w:rFonts w:hint="eastAsia" w:cs="宋体" w:asciiTheme="minorEastAsia" w:hAnsiTheme="minorEastAsia" w:eastAsiaTheme="minorEastAsia"/>
          <w:color w:val="171717" w:themeColor="background2" w:themeShade="1A"/>
          <w:kern w:val="0"/>
          <w:sz w:val="28"/>
          <w:szCs w:val="28"/>
        </w:rPr>
        <w:t>人</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rPr>
        <w:t>2016年1月-2016年12月</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资金来源</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财政拨款</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补贴人数</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14</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补贴标准</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代课教师</w:t>
      </w:r>
      <w:r>
        <w:rPr>
          <w:rFonts w:cs="宋体" w:asciiTheme="minorEastAsia" w:hAnsiTheme="minorEastAsia" w:eastAsiaTheme="minorEastAsia"/>
          <w:color w:val="171717" w:themeColor="background2" w:themeShade="1A"/>
          <w:kern w:val="0"/>
          <w:sz w:val="28"/>
          <w:szCs w:val="28"/>
        </w:rPr>
        <w:t>：</w:t>
      </w:r>
      <w:r>
        <w:rPr>
          <w:rFonts w:hint="eastAsia" w:cs="宋体" w:asciiTheme="minorEastAsia" w:hAnsiTheme="minorEastAsia" w:eastAsiaTheme="minorEastAsia"/>
          <w:color w:val="171717" w:themeColor="background2" w:themeShade="1A"/>
          <w:kern w:val="0"/>
          <w:sz w:val="28"/>
          <w:szCs w:val="28"/>
        </w:rPr>
        <w:t>2381元/月/人</w:t>
      </w:r>
      <w:r>
        <w:rPr>
          <w:rFonts w:cs="宋体" w:asciiTheme="minorEastAsia" w:hAnsiTheme="minorEastAsia" w:eastAsiaTheme="minorEastAsia"/>
          <w:color w:val="171717" w:themeColor="background2" w:themeShade="1A"/>
          <w:kern w:val="0"/>
          <w:sz w:val="28"/>
          <w:szCs w:val="28"/>
        </w:rPr>
        <w:t>；临时工：</w:t>
      </w:r>
      <w:r>
        <w:rPr>
          <w:rFonts w:hint="eastAsia" w:cs="宋体" w:asciiTheme="minorEastAsia" w:hAnsiTheme="minorEastAsia" w:eastAsiaTheme="minorEastAsia"/>
          <w:color w:val="171717" w:themeColor="background2" w:themeShade="1A"/>
          <w:kern w:val="0"/>
          <w:sz w:val="28"/>
          <w:szCs w:val="28"/>
        </w:rPr>
        <w:t>2231元/月/人</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补贴范围</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代课教师</w:t>
      </w:r>
      <w:r>
        <w:rPr>
          <w:rFonts w:cs="宋体" w:asciiTheme="minorEastAsia" w:hAnsiTheme="minorEastAsia" w:eastAsiaTheme="minorEastAsia"/>
          <w:color w:val="171717" w:themeColor="background2" w:themeShade="1A"/>
          <w:kern w:val="0"/>
          <w:sz w:val="28"/>
          <w:szCs w:val="28"/>
        </w:rPr>
        <w:t>及临</w:t>
      </w:r>
      <w:r>
        <w:rPr>
          <w:rFonts w:hint="eastAsia" w:cs="宋体" w:asciiTheme="minorEastAsia" w:hAnsiTheme="minorEastAsia" w:eastAsiaTheme="minorEastAsia"/>
          <w:color w:val="171717" w:themeColor="background2" w:themeShade="1A"/>
          <w:kern w:val="0"/>
          <w:sz w:val="28"/>
          <w:szCs w:val="28"/>
        </w:rPr>
        <w:t>聘</w:t>
      </w:r>
      <w:r>
        <w:rPr>
          <w:rFonts w:cs="宋体" w:asciiTheme="minorEastAsia" w:hAnsiTheme="minorEastAsia" w:eastAsiaTheme="minorEastAsia"/>
          <w:color w:val="171717" w:themeColor="background2" w:themeShade="1A"/>
          <w:kern w:val="0"/>
          <w:sz w:val="28"/>
          <w:szCs w:val="28"/>
        </w:rPr>
        <w:t>人员</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补贴方式</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打卡</w:t>
      </w:r>
    </w:p>
    <w:p>
      <w:pPr>
        <w:widowControl/>
        <w:spacing w:line="580" w:lineRule="exact"/>
        <w:ind w:firstLine="640"/>
        <w:jc w:val="left"/>
        <w:rPr>
          <w:rFonts w:asciiTheme="minorEastAsia" w:hAnsiTheme="minorEastAsia" w:eastAsiaTheme="minorEastAsia"/>
          <w:color w:val="171717" w:themeColor="background2" w:themeShade="1A"/>
          <w:sz w:val="28"/>
          <w:szCs w:val="28"/>
        </w:rPr>
      </w:pPr>
      <w:r>
        <w:rPr>
          <w:rFonts w:hint="eastAsia" w:cs="宋体" w:asciiTheme="minorEastAsia" w:hAnsiTheme="minorEastAsia" w:eastAsiaTheme="minorEastAsia"/>
          <w:color w:val="171717" w:themeColor="background2" w:themeShade="1A"/>
          <w:kern w:val="0"/>
          <w:sz w:val="28"/>
          <w:szCs w:val="28"/>
        </w:rPr>
        <w:t>发放程序：按考勤</w:t>
      </w:r>
      <w:r>
        <w:rPr>
          <w:rFonts w:cs="宋体" w:asciiTheme="minorEastAsia" w:hAnsiTheme="minorEastAsia" w:eastAsiaTheme="minorEastAsia"/>
          <w:color w:val="171717" w:themeColor="background2" w:themeShade="1A"/>
          <w:kern w:val="0"/>
          <w:sz w:val="28"/>
          <w:szCs w:val="28"/>
        </w:rPr>
        <w:t>表发放</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受益人群和社会效益</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代课教师</w:t>
      </w:r>
      <w:r>
        <w:rPr>
          <w:rFonts w:cs="宋体" w:asciiTheme="minorEastAsia" w:hAnsiTheme="minorEastAsia" w:eastAsiaTheme="minorEastAsia"/>
          <w:color w:val="171717" w:themeColor="background2" w:themeShade="1A"/>
          <w:kern w:val="0"/>
          <w:sz w:val="28"/>
          <w:szCs w:val="28"/>
        </w:rPr>
        <w:t>及临</w:t>
      </w:r>
      <w:r>
        <w:rPr>
          <w:rFonts w:hint="eastAsia" w:cs="宋体" w:asciiTheme="minorEastAsia" w:hAnsiTheme="minorEastAsia" w:eastAsiaTheme="minorEastAsia"/>
          <w:color w:val="171717" w:themeColor="background2" w:themeShade="1A"/>
          <w:kern w:val="0"/>
          <w:sz w:val="28"/>
          <w:szCs w:val="28"/>
        </w:rPr>
        <w:t>聘</w:t>
      </w:r>
      <w:r>
        <w:rPr>
          <w:rFonts w:cs="宋体" w:asciiTheme="minorEastAsia" w:hAnsiTheme="minorEastAsia" w:eastAsiaTheme="minorEastAsia"/>
          <w:color w:val="171717" w:themeColor="background2" w:themeShade="1A"/>
          <w:kern w:val="0"/>
          <w:sz w:val="28"/>
          <w:szCs w:val="28"/>
        </w:rPr>
        <w:t>人员</w:t>
      </w:r>
    </w:p>
    <w:p>
      <w:pPr>
        <w:widowControl/>
        <w:spacing w:line="580" w:lineRule="exact"/>
        <w:ind w:firstLine="640"/>
        <w:jc w:val="left"/>
        <w:rPr>
          <w:rFonts w:ascii="仿宋_GB2312" w:hAnsi="宋体" w:eastAsia="仿宋_GB2312" w:cs="仿宋_GB2312"/>
          <w:color w:val="171717" w:themeColor="background2" w:themeShade="1A"/>
          <w:kern w:val="0"/>
          <w:sz w:val="32"/>
          <w:szCs w:val="32"/>
        </w:rPr>
      </w:pPr>
    </w:p>
    <w:p>
      <w:pPr>
        <w:widowControl/>
        <w:spacing w:line="580" w:lineRule="exact"/>
        <w:ind w:firstLine="640" w:firstLineChars="20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七、关于乌鲁木齐市第一一五小学2016年一般公共预算“三公”经费预算情况说明</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乌鲁木齐市第一一五小学2016年“三公”经费财政拨款预算数为0.11万元，其中：因公出国（境）费0万元，公务用车购置0万元，公务用车运行费0万元，公务接待费0.11万元。</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2016年“三公”经费财政拨款预算与上年持平，其中：因公出国（境）费、公务用车购置费,公务用车运行费未安排预算。公务接待费与上年</w:t>
      </w:r>
      <w:r>
        <w:rPr>
          <w:rFonts w:cs="宋体" w:asciiTheme="minorEastAsia" w:hAnsiTheme="minorEastAsia" w:eastAsiaTheme="minorEastAsia"/>
          <w:color w:val="171717" w:themeColor="background2" w:themeShade="1A"/>
          <w:kern w:val="0"/>
          <w:sz w:val="28"/>
          <w:szCs w:val="28"/>
        </w:rPr>
        <w:t>持平</w:t>
      </w:r>
      <w:r>
        <w:rPr>
          <w:rFonts w:hint="eastAsia" w:cs="宋体" w:asciiTheme="minorEastAsia" w:hAnsiTheme="minorEastAsia" w:eastAsiaTheme="minorEastAsia"/>
          <w:color w:val="171717" w:themeColor="background2" w:themeShade="1A"/>
          <w:kern w:val="0"/>
          <w:sz w:val="28"/>
          <w:szCs w:val="28"/>
        </w:rPr>
        <w:t>。</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八、关于乌鲁木齐市第一一五小学2016年政府性基金预算拨款情况说明</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乌鲁木齐市第一一五小学2016年没有使用政府性基金预算拨款安排的支出，政府性基金预算支出情况表为空表。</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九、其他重要事项的情况说明</w:t>
      </w:r>
    </w:p>
    <w:p>
      <w:pPr>
        <w:widowControl/>
        <w:spacing w:line="580" w:lineRule="exact"/>
        <w:ind w:firstLine="642"/>
        <w:jc w:val="left"/>
        <w:rPr>
          <w:rFonts w:ascii="楷体_GB2312" w:hAnsi="宋体" w:eastAsia="楷体_GB2312" w:cs="宋体"/>
          <w:b/>
          <w:color w:val="171717" w:themeColor="background2" w:themeShade="1A"/>
          <w:kern w:val="0"/>
          <w:sz w:val="32"/>
          <w:szCs w:val="32"/>
        </w:rPr>
      </w:pPr>
      <w:r>
        <w:rPr>
          <w:rFonts w:hint="eastAsia" w:ascii="楷体_GB2312" w:hAnsi="宋体" w:eastAsia="楷体_GB2312" w:cs="宋体"/>
          <w:b/>
          <w:color w:val="171717" w:themeColor="background2" w:themeShade="1A"/>
          <w:kern w:val="0"/>
          <w:sz w:val="32"/>
          <w:szCs w:val="32"/>
        </w:rPr>
        <w:t>（一）政府采购情况</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2016年，乌鲁木齐市第一一五小学及下属单位政府采购预算</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万元，其中：政府采购货物预算</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万元，政府采购工程预算</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万元，政府采购服务预算</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rPr>
        <w:t>2016年度本乌鲁木齐市第一一五小学面向中小企业预留政府采购项目预算金额</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万元，其中：面向小微企业预留政府采购项目预算金额</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万元。</w:t>
      </w:r>
    </w:p>
    <w:p>
      <w:pPr>
        <w:widowControl/>
        <w:spacing w:line="580" w:lineRule="exact"/>
        <w:ind w:firstLine="642"/>
        <w:jc w:val="left"/>
        <w:rPr>
          <w:rFonts w:ascii="楷体_GB2312" w:hAnsi="宋体" w:eastAsia="楷体_GB2312" w:cs="宋体"/>
          <w:b/>
          <w:color w:val="171717" w:themeColor="background2" w:themeShade="1A"/>
          <w:kern w:val="0"/>
          <w:sz w:val="32"/>
          <w:szCs w:val="32"/>
        </w:rPr>
      </w:pPr>
      <w:r>
        <w:rPr>
          <w:rFonts w:hint="eastAsia" w:ascii="楷体_GB2312" w:hAnsi="宋体" w:eastAsia="楷体_GB2312" w:cs="宋体"/>
          <w:b/>
          <w:color w:val="171717" w:themeColor="background2" w:themeShade="1A"/>
          <w:kern w:val="0"/>
          <w:sz w:val="32"/>
          <w:szCs w:val="32"/>
        </w:rPr>
        <w:t>（二）国有资产占用使用情况</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截至2015年底，乌鲁木齐市第一一五小学及下属各预算单位占用使用国有资产总体情况为</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1.房屋0平方米，价值0万元。</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2.车辆2辆，价值59.31万元；其中：一般公务用车0辆，价值0万元；执法执勤用车0辆，价值0万元；其他车辆2辆，59.31万元。</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cs="宋体" w:asciiTheme="minorEastAsia" w:hAnsiTheme="minorEastAsia" w:eastAsiaTheme="minorEastAsia"/>
          <w:color w:val="171717" w:themeColor="background2" w:themeShade="1A"/>
          <w:kern w:val="0"/>
          <w:sz w:val="28"/>
          <w:szCs w:val="28"/>
        </w:rPr>
        <w:t>3</w:t>
      </w:r>
      <w:r>
        <w:rPr>
          <w:rFonts w:hint="eastAsia" w:cs="宋体" w:asciiTheme="minorEastAsia" w:hAnsiTheme="minorEastAsia" w:eastAsiaTheme="minorEastAsia"/>
          <w:color w:val="171717" w:themeColor="background2" w:themeShade="1A"/>
          <w:kern w:val="0"/>
          <w:sz w:val="28"/>
          <w:szCs w:val="28"/>
        </w:rPr>
        <w:t>.其他资产(含办公家具)价值144.78万元。</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单位价值50万元以上大型设备0台（套），单位价值100万元以上大型设备0台（套）。</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2016年乌鲁木齐市第一一五小学预算未安排购置车辆经费，安排购置50万元以上大型设备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台（套），单位价值100万元以上大型设备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w:t>
      </w:r>
    </w:p>
    <w:p>
      <w:pPr>
        <w:widowControl/>
        <w:spacing w:line="580" w:lineRule="exact"/>
        <w:ind w:firstLine="642"/>
        <w:jc w:val="left"/>
        <w:rPr>
          <w:rFonts w:ascii="楷体_GB2312" w:hAnsi="宋体" w:eastAsia="楷体_GB2312" w:cs="宋体"/>
          <w:b/>
          <w:color w:val="171717" w:themeColor="background2" w:themeShade="1A"/>
          <w:kern w:val="0"/>
          <w:sz w:val="32"/>
          <w:szCs w:val="32"/>
        </w:rPr>
      </w:pPr>
      <w:r>
        <w:rPr>
          <w:rFonts w:hint="eastAsia" w:ascii="楷体_GB2312" w:hAnsi="宋体" w:eastAsia="楷体_GB2312" w:cs="宋体"/>
          <w:b/>
          <w:color w:val="171717" w:themeColor="background2" w:themeShade="1A"/>
          <w:kern w:val="0"/>
          <w:sz w:val="32"/>
          <w:szCs w:val="32"/>
        </w:rPr>
        <w:t>（三）预算绩效情况</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2016年度，本年度实行绩效管理的项目</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个，涉及预算金额</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万元。具体情况见下表（按项目分别填报）：</w:t>
      </w: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p>
    <w:p>
      <w:pPr>
        <w:widowControl/>
        <w:spacing w:line="580" w:lineRule="exact"/>
        <w:ind w:firstLine="640"/>
        <w:jc w:val="left"/>
        <w:rPr>
          <w:rFonts w:cs="宋体" w:asciiTheme="minorEastAsia" w:hAnsiTheme="minorEastAsia" w:eastAsiaTheme="minorEastAsia"/>
          <w:color w:val="171717" w:themeColor="background2" w:themeShade="1A"/>
          <w:kern w:val="0"/>
          <w:sz w:val="28"/>
          <w:szCs w:val="28"/>
        </w:rPr>
      </w:pPr>
    </w:p>
    <w:p>
      <w:pPr>
        <w:spacing w:line="500" w:lineRule="exact"/>
        <w:jc w:val="center"/>
        <w:rPr>
          <w:rFonts w:ascii="宋体" w:hAnsi="宋体" w:cs="宋体"/>
          <w:b/>
          <w:color w:val="171717" w:themeColor="background2" w:themeShade="1A"/>
          <w:kern w:val="0"/>
          <w:sz w:val="36"/>
          <w:szCs w:val="36"/>
        </w:rPr>
      </w:pPr>
      <w:r>
        <w:rPr>
          <w:rFonts w:hint="eastAsia" w:ascii="宋体" w:hAnsi="宋体" w:cs="宋体"/>
          <w:b/>
          <w:color w:val="171717" w:themeColor="background2" w:themeShade="1A"/>
          <w:kern w:val="0"/>
          <w:sz w:val="36"/>
          <w:szCs w:val="36"/>
        </w:rPr>
        <w:t>财政支出绩效目标申报表</w:t>
      </w:r>
    </w:p>
    <w:p>
      <w:pPr>
        <w:spacing w:line="500" w:lineRule="exact"/>
        <w:jc w:val="center"/>
        <w:rPr>
          <w:rFonts w:ascii="仿宋_GB2312" w:hAnsi="宋体" w:eastAsia="仿宋_GB2312" w:cs="宋体"/>
          <w:color w:val="171717" w:themeColor="background2" w:themeShade="1A"/>
          <w:kern w:val="0"/>
          <w:sz w:val="36"/>
          <w:szCs w:val="36"/>
        </w:rPr>
      </w:pPr>
      <w:r>
        <w:rPr>
          <w:rFonts w:hint="eastAsia" w:ascii="仿宋_GB2312" w:hAnsi="宋体" w:eastAsia="仿宋_GB2312" w:cs="宋体"/>
          <w:color w:val="171717" w:themeColor="background2" w:themeShade="1A"/>
          <w:kern w:val="0"/>
          <w:sz w:val="36"/>
          <w:szCs w:val="36"/>
        </w:rPr>
        <w:t>（   年度）</w:t>
      </w:r>
    </w:p>
    <w:p>
      <w:pPr>
        <w:rPr>
          <w:rFonts w:ascii="仿宋_GB2312" w:hAnsi="宋体" w:eastAsia="仿宋_GB2312" w:cs="宋体"/>
          <w:color w:val="171717" w:themeColor="background2" w:themeShade="1A"/>
          <w:kern w:val="0"/>
          <w:sz w:val="32"/>
          <w:szCs w:val="32"/>
        </w:rPr>
      </w:pPr>
      <w:r>
        <w:rPr>
          <w:rFonts w:hint="eastAsia" w:ascii="仿宋_GB2312" w:hAnsi="宋体" w:eastAsia="仿宋_GB2312" w:cs="宋体"/>
          <w:color w:val="171717" w:themeColor="background2" w:themeShade="1A"/>
          <w:kern w:val="0"/>
          <w:sz w:val="32"/>
          <w:szCs w:val="32"/>
        </w:rPr>
        <w:t>填报单位：</w:t>
      </w:r>
    </w:p>
    <w:tbl>
      <w:tblPr>
        <w:tblStyle w:val="10"/>
        <w:tblW w:w="9229" w:type="dxa"/>
        <w:tblInd w:w="93" w:type="dxa"/>
        <w:tblLayout w:type="fixed"/>
        <w:tblCellMar>
          <w:top w:w="0" w:type="dxa"/>
          <w:left w:w="108" w:type="dxa"/>
          <w:bottom w:w="0" w:type="dxa"/>
          <w:right w:w="108" w:type="dxa"/>
        </w:tblCellMar>
      </w:tblPr>
      <w:tblGrid>
        <w:gridCol w:w="1960"/>
        <w:gridCol w:w="2166"/>
        <w:gridCol w:w="74"/>
        <w:gridCol w:w="1780"/>
        <w:gridCol w:w="222"/>
        <w:gridCol w:w="476"/>
        <w:gridCol w:w="1559"/>
        <w:gridCol w:w="992"/>
      </w:tblGrid>
      <w:tr>
        <w:tblPrEx>
          <w:tblLayout w:type="fixed"/>
          <w:tblCellMar>
            <w:top w:w="0" w:type="dxa"/>
            <w:left w:w="108" w:type="dxa"/>
            <w:bottom w:w="0" w:type="dxa"/>
            <w:right w:w="108" w:type="dxa"/>
          </w:tblCellMar>
        </w:tblPrEx>
        <w:trPr>
          <w:trHeight w:val="556" w:hRule="atLeast"/>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项目名称</w:t>
            </w:r>
          </w:p>
        </w:tc>
        <w:tc>
          <w:tcPr>
            <w:tcW w:w="21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p>
        </w:tc>
        <w:tc>
          <w:tcPr>
            <w:tcW w:w="185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项目属性</w:t>
            </w:r>
          </w:p>
        </w:tc>
        <w:tc>
          <w:tcPr>
            <w:tcW w:w="324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新增项目□    延续项目□</w:t>
            </w:r>
          </w:p>
        </w:tc>
      </w:tr>
      <w:tr>
        <w:tblPrEx>
          <w:tblLayout w:type="fixed"/>
          <w:tblCellMar>
            <w:top w:w="0" w:type="dxa"/>
            <w:left w:w="108" w:type="dxa"/>
            <w:bottom w:w="0" w:type="dxa"/>
            <w:right w:w="108" w:type="dxa"/>
          </w:tblCellMar>
        </w:tblPrEx>
        <w:trPr>
          <w:trHeight w:val="564" w:hRule="atLeast"/>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主管乌鲁木齐市第一一五小学</w:t>
            </w:r>
          </w:p>
        </w:tc>
        <w:tc>
          <w:tcPr>
            <w:tcW w:w="216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项目实施单位</w:t>
            </w:r>
          </w:p>
        </w:tc>
        <w:tc>
          <w:tcPr>
            <w:tcW w:w="324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项目起止时间</w:t>
            </w:r>
          </w:p>
        </w:tc>
        <w:tc>
          <w:tcPr>
            <w:tcW w:w="216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项目负责人</w:t>
            </w:r>
          </w:p>
        </w:tc>
        <w:tc>
          <w:tcPr>
            <w:tcW w:w="69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联系电话</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资金总额</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财政拨款</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自有资金</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经营性收入</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其他收入</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其他</w:t>
            </w:r>
          </w:p>
        </w:tc>
      </w:tr>
      <w:tr>
        <w:tblPrEx>
          <w:tblLayout w:type="fixed"/>
          <w:tblCellMar>
            <w:top w:w="0" w:type="dxa"/>
            <w:left w:w="108" w:type="dxa"/>
            <w:bottom w:w="0" w:type="dxa"/>
            <w:right w:w="108" w:type="dxa"/>
          </w:tblCellMar>
        </w:tblPrEx>
        <w:trPr>
          <w:trHeight w:val="1208" w:hRule="atLeast"/>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71717" w:themeColor="background2" w:themeShade="1A"/>
                <w:kern w:val="0"/>
                <w:sz w:val="24"/>
              </w:rPr>
            </w:pPr>
          </w:p>
          <w:p>
            <w:pPr>
              <w:rPr>
                <w:rFonts w:ascii="仿宋_GB2312" w:hAnsi="宋体" w:eastAsia="仿宋_GB2312" w:cs="宋体"/>
                <w:color w:val="171717" w:themeColor="background2" w:themeShade="1A"/>
                <w:sz w:val="24"/>
              </w:rPr>
            </w:pPr>
          </w:p>
          <w:p>
            <w:pPr>
              <w:rPr>
                <w:rFonts w:ascii="仿宋_GB2312" w:hAnsi="宋体" w:eastAsia="仿宋_GB2312" w:cs="宋体"/>
                <w:color w:val="171717" w:themeColor="background2" w:themeShade="1A"/>
                <w:sz w:val="24"/>
              </w:rPr>
            </w:pPr>
          </w:p>
        </w:tc>
      </w:tr>
      <w:tr>
        <w:tblPrEx>
          <w:tblLayout w:type="fixed"/>
          <w:tblCellMar>
            <w:top w:w="0" w:type="dxa"/>
            <w:left w:w="108" w:type="dxa"/>
            <w:bottom w:w="0" w:type="dxa"/>
            <w:right w:w="108" w:type="dxa"/>
          </w:tblCellMar>
        </w:tblPrEx>
        <w:trPr>
          <w:trHeight w:val="1043" w:hRule="atLeast"/>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项目立项情况</w:t>
            </w: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90" w:hRule="atLeast"/>
        </w:trPr>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项目实施进度计划</w:t>
            </w: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完成时间</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1、</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2、</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57"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71717" w:themeColor="background2" w:themeShade="1A"/>
                <w:kern w:val="0"/>
                <w:sz w:val="24"/>
              </w:rPr>
            </w:pPr>
          </w:p>
        </w:tc>
      </w:tr>
    </w:tbl>
    <w:p>
      <w:pPr>
        <w:widowControl/>
        <w:spacing w:line="560" w:lineRule="exact"/>
        <w:ind w:firstLine="630" w:firstLineChars="196"/>
        <w:jc w:val="left"/>
        <w:rPr>
          <w:rFonts w:ascii="楷体_GB2312" w:hAnsi="宋体" w:eastAsia="楷体_GB2312" w:cs="宋体"/>
          <w:b/>
          <w:color w:val="171717" w:themeColor="background2" w:themeShade="1A"/>
          <w:kern w:val="0"/>
          <w:sz w:val="32"/>
          <w:szCs w:val="32"/>
        </w:rPr>
      </w:pPr>
    </w:p>
    <w:p>
      <w:pPr>
        <w:widowControl/>
        <w:spacing w:line="560" w:lineRule="exact"/>
        <w:ind w:firstLine="630" w:firstLineChars="196"/>
        <w:jc w:val="left"/>
        <w:rPr>
          <w:rFonts w:ascii="楷体_GB2312" w:hAnsi="宋体" w:eastAsia="楷体_GB2312" w:cs="宋体"/>
          <w:b/>
          <w:color w:val="171717" w:themeColor="background2" w:themeShade="1A"/>
          <w:kern w:val="0"/>
          <w:sz w:val="32"/>
          <w:szCs w:val="32"/>
        </w:rPr>
      </w:pPr>
      <w:r>
        <w:rPr>
          <w:rFonts w:hint="eastAsia" w:ascii="楷体_GB2312" w:hAnsi="宋体" w:eastAsia="楷体_GB2312" w:cs="宋体"/>
          <w:b/>
          <w:color w:val="171717" w:themeColor="background2" w:themeShade="1A"/>
          <w:kern w:val="0"/>
          <w:sz w:val="32"/>
          <w:szCs w:val="32"/>
        </w:rPr>
        <w:t>（四）其他需说明的事项</w:t>
      </w:r>
    </w:p>
    <w:p>
      <w:pPr>
        <w:widowControl/>
        <w:spacing w:line="560" w:lineRule="exact"/>
        <w:ind w:firstLine="640" w:firstLineChars="200"/>
        <w:jc w:val="left"/>
        <w:rPr>
          <w:rFonts w:ascii="仿宋_GB2312" w:hAnsi="宋体" w:eastAsia="仿宋_GB2312" w:cs="宋体"/>
          <w:color w:val="171717" w:themeColor="background2" w:themeShade="1A"/>
          <w:kern w:val="0"/>
          <w:sz w:val="32"/>
          <w:szCs w:val="32"/>
        </w:rPr>
      </w:pPr>
      <w:r>
        <w:rPr>
          <w:rFonts w:hint="eastAsia" w:ascii="仿宋_GB2312" w:hAnsi="宋体" w:eastAsia="仿宋_GB2312" w:cs="宋体"/>
          <w:color w:val="171717" w:themeColor="background2" w:themeShade="1A"/>
          <w:kern w:val="0"/>
          <w:sz w:val="32"/>
          <w:szCs w:val="32"/>
        </w:rPr>
        <w:t>……</w:t>
      </w:r>
    </w:p>
    <w:p>
      <w:pPr>
        <w:widowControl/>
        <w:spacing w:beforeLines="50"/>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第四部分  名词解释</w:t>
      </w:r>
    </w:p>
    <w:p>
      <w:pPr>
        <w:widowControl/>
        <w:spacing w:line="56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名词解释：</w:t>
      </w:r>
    </w:p>
    <w:p>
      <w:pPr>
        <w:spacing w:line="550" w:lineRule="exact"/>
        <w:ind w:firstLine="642"/>
        <w:rPr>
          <w:rFonts w:ascii="仿宋_GB2312" w:eastAsia="仿宋_GB2312"/>
          <w:color w:val="171717" w:themeColor="background2" w:themeShade="1A"/>
          <w:sz w:val="32"/>
          <w:szCs w:val="32"/>
        </w:rPr>
      </w:pPr>
      <w:r>
        <w:rPr>
          <w:rFonts w:hint="eastAsia" w:ascii="黑体" w:hAnsi="黑体" w:eastAsia="黑体"/>
          <w:color w:val="171717" w:themeColor="background2" w:themeShade="1A"/>
          <w:sz w:val="32"/>
          <w:szCs w:val="32"/>
        </w:rPr>
        <w:t>一、财政拨款：</w:t>
      </w:r>
      <w:r>
        <w:rPr>
          <w:rFonts w:hint="eastAsia" w:asciiTheme="minorEastAsia" w:hAnsiTheme="minorEastAsia" w:eastAsiaTheme="minorEastAsia"/>
          <w:color w:val="171717" w:themeColor="background2" w:themeShade="1A"/>
          <w:sz w:val="28"/>
          <w:szCs w:val="28"/>
        </w:rPr>
        <w:t>指由一般公共预算、政府性基金预算安排的财政拨款数。</w:t>
      </w:r>
    </w:p>
    <w:p>
      <w:pPr>
        <w:spacing w:line="550" w:lineRule="exact"/>
        <w:ind w:firstLine="642"/>
        <w:rPr>
          <w:rFonts w:ascii="仿宋_GB2312" w:eastAsia="仿宋_GB2312"/>
          <w:color w:val="171717" w:themeColor="background2" w:themeShade="1A"/>
          <w:sz w:val="32"/>
          <w:szCs w:val="32"/>
        </w:rPr>
      </w:pPr>
      <w:r>
        <w:rPr>
          <w:rFonts w:hint="eastAsia" w:ascii="黑体" w:hAnsi="黑体" w:eastAsia="黑体"/>
          <w:color w:val="171717" w:themeColor="background2" w:themeShade="1A"/>
          <w:sz w:val="32"/>
          <w:szCs w:val="32"/>
        </w:rPr>
        <w:t>二、一般公共预算：</w:t>
      </w:r>
      <w:r>
        <w:rPr>
          <w:rFonts w:hint="eastAsia" w:asciiTheme="minorEastAsia" w:hAnsiTheme="minorEastAsia" w:eastAsiaTheme="minorEastAsia"/>
          <w:color w:val="171717" w:themeColor="background2" w:themeShade="1A"/>
          <w:sz w:val="28"/>
          <w:szCs w:val="28"/>
        </w:rPr>
        <w:t>包括公共财政拨款（补助）资金、专项收入。</w:t>
      </w:r>
    </w:p>
    <w:p>
      <w:pPr>
        <w:spacing w:line="550" w:lineRule="exact"/>
        <w:ind w:firstLine="642"/>
        <w:rPr>
          <w:rFonts w:ascii="仿宋_GB2312" w:eastAsia="仿宋_GB2312"/>
          <w:color w:val="171717" w:themeColor="background2" w:themeShade="1A"/>
          <w:sz w:val="32"/>
          <w:szCs w:val="32"/>
        </w:rPr>
      </w:pPr>
      <w:r>
        <w:rPr>
          <w:rFonts w:hint="eastAsia" w:ascii="黑体" w:hAnsi="黑体" w:eastAsia="黑体"/>
          <w:color w:val="171717" w:themeColor="background2" w:themeShade="1A"/>
          <w:sz w:val="32"/>
          <w:szCs w:val="32"/>
        </w:rPr>
        <w:t>三、非税收入：</w:t>
      </w:r>
      <w:r>
        <w:rPr>
          <w:rFonts w:hint="eastAsia" w:asciiTheme="minorEastAsia" w:hAnsiTheme="minorEastAsia" w:eastAsiaTheme="minorEastAsia"/>
          <w:color w:val="171717" w:themeColor="background2" w:themeShade="1A"/>
          <w:sz w:val="28"/>
          <w:szCs w:val="28"/>
        </w:rPr>
        <w:t>包括罚没收入、国有资源（资产）有偿使用收入、行政事业性收费收入等。</w:t>
      </w:r>
    </w:p>
    <w:p>
      <w:pPr>
        <w:spacing w:line="550" w:lineRule="exact"/>
        <w:ind w:firstLine="642"/>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四、其他资金：</w:t>
      </w:r>
      <w:r>
        <w:rPr>
          <w:rFonts w:hint="eastAsia" w:asciiTheme="minorEastAsia" w:hAnsiTheme="minorEastAsia" w:eastAsiaTheme="minorEastAsia"/>
          <w:color w:val="171717" w:themeColor="background2" w:themeShade="1A"/>
          <w:sz w:val="28"/>
          <w:szCs w:val="28"/>
        </w:rPr>
        <w:t>包括事业收入、经营收入、其他收入等。</w:t>
      </w:r>
    </w:p>
    <w:p>
      <w:pPr>
        <w:spacing w:line="550" w:lineRule="exact"/>
        <w:ind w:firstLine="642"/>
        <w:rPr>
          <w:rFonts w:ascii="仿宋_GB2312" w:eastAsia="仿宋_GB2312"/>
          <w:color w:val="171717" w:themeColor="background2" w:themeShade="1A"/>
          <w:sz w:val="32"/>
          <w:szCs w:val="32"/>
        </w:rPr>
      </w:pPr>
      <w:r>
        <w:rPr>
          <w:rFonts w:hint="eastAsia" w:asciiTheme="minorEastAsia" w:hAnsiTheme="minorEastAsia" w:eastAsiaTheme="minorEastAsia"/>
          <w:color w:val="171717" w:themeColor="background2" w:themeShade="1A"/>
          <w:sz w:val="28"/>
          <w:szCs w:val="28"/>
        </w:rPr>
        <w:t>五、基本支出：包括人员经费、商品和服务支出（定额）。其中，人员经费包括工资福利支出、对个人和家庭的补助。</w:t>
      </w:r>
    </w:p>
    <w:p>
      <w:pPr>
        <w:spacing w:line="550" w:lineRule="exact"/>
        <w:ind w:firstLine="642"/>
        <w:rPr>
          <w:rFonts w:ascii="仿宋_GB2312" w:eastAsia="仿宋_GB2312"/>
          <w:color w:val="171717" w:themeColor="background2" w:themeShade="1A"/>
          <w:sz w:val="32"/>
          <w:szCs w:val="32"/>
        </w:rPr>
      </w:pPr>
      <w:r>
        <w:rPr>
          <w:rFonts w:hint="eastAsia" w:ascii="黑体" w:hAnsi="黑体" w:eastAsia="黑体"/>
          <w:color w:val="171717" w:themeColor="background2" w:themeShade="1A"/>
          <w:sz w:val="32"/>
          <w:szCs w:val="32"/>
        </w:rPr>
        <w:t>六、项目支出：</w:t>
      </w:r>
      <w:r>
        <w:rPr>
          <w:rFonts w:hint="eastAsia" w:asciiTheme="minorEastAsia" w:hAnsiTheme="minorEastAsia" w:eastAsiaTheme="minorEastAsia"/>
          <w:color w:val="171717" w:themeColor="background2" w:themeShade="1A"/>
          <w:sz w:val="28"/>
          <w:szCs w:val="28"/>
        </w:rPr>
        <w:t>乌鲁木齐市第一一五小学支出预算的组成部分，是本级乌鲁木齐市第一一五小学为完成其特定的行政任务或事业发展目标，在基本支出预算之外编制的年度项目支出计划。</w:t>
      </w:r>
    </w:p>
    <w:p>
      <w:pPr>
        <w:spacing w:line="550" w:lineRule="exact"/>
        <w:ind w:firstLine="642"/>
        <w:rPr>
          <w:rFonts w:ascii="仿宋_GB2312" w:eastAsia="仿宋_GB2312"/>
          <w:color w:val="171717" w:themeColor="background2" w:themeShade="1A"/>
          <w:sz w:val="32"/>
          <w:szCs w:val="32"/>
        </w:rPr>
      </w:pPr>
      <w:r>
        <w:rPr>
          <w:rFonts w:hint="eastAsia" w:ascii="黑体" w:hAnsi="黑体" w:eastAsia="黑体"/>
          <w:color w:val="171717" w:themeColor="background2" w:themeShade="1A"/>
          <w:sz w:val="32"/>
          <w:szCs w:val="32"/>
        </w:rPr>
        <w:t>七、“三公”经费：</w:t>
      </w:r>
      <w:r>
        <w:rPr>
          <w:rFonts w:hint="eastAsia" w:asciiTheme="minorEastAsia" w:hAnsiTheme="minorEastAsia" w:eastAsiaTheme="minorEastAsia"/>
          <w:color w:val="171717" w:themeColor="background2" w:themeShade="1A"/>
          <w:sz w:val="28"/>
          <w:szCs w:val="28"/>
        </w:rPr>
        <w:t>指乌鲁木齐市第一一五小学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color w:val="171717" w:themeColor="background2" w:themeShade="1A"/>
          <w:sz w:val="32"/>
          <w:szCs w:val="32"/>
        </w:rPr>
      </w:pPr>
      <w:r>
        <w:rPr>
          <w:rFonts w:hint="eastAsia" w:ascii="黑体" w:hAnsi="黑体" w:eastAsia="黑体"/>
          <w:color w:val="171717" w:themeColor="background2" w:themeShade="1A"/>
          <w:sz w:val="32"/>
          <w:szCs w:val="32"/>
        </w:rPr>
        <w:t>八、机关运行经费：</w:t>
      </w:r>
      <w:r>
        <w:rPr>
          <w:rFonts w:hint="eastAsia" w:asciiTheme="minorEastAsia" w:hAnsiTheme="minorEastAsia" w:eastAsiaTheme="minorEastAsia"/>
          <w:color w:val="171717" w:themeColor="background2" w:themeShade="1A"/>
          <w:sz w:val="28"/>
          <w:szCs w:val="28"/>
        </w:rPr>
        <w:t>指乌鲁木齐市第一一五小学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right"/>
        <w:rPr>
          <w:rFonts w:ascii="仿宋_GB2312" w:hAnsi="宋体" w:eastAsia="仿宋_GB2312" w:cs="宋体"/>
          <w:color w:val="171717" w:themeColor="background2" w:themeShade="1A"/>
          <w:kern w:val="0"/>
          <w:sz w:val="32"/>
          <w:szCs w:val="32"/>
        </w:rPr>
      </w:pPr>
      <w:r>
        <w:rPr>
          <w:rFonts w:hint="eastAsia" w:ascii="仿宋_GB2312" w:hAnsi="宋体" w:eastAsia="仿宋_GB2312" w:cs="宋体"/>
          <w:color w:val="171717" w:themeColor="background2" w:themeShade="1A"/>
          <w:kern w:val="0"/>
          <w:sz w:val="32"/>
          <w:szCs w:val="32"/>
        </w:rPr>
        <w:t>乌鲁木齐市第一一五小学</w:t>
      </w:r>
    </w:p>
    <w:p>
      <w:pPr>
        <w:widowControl/>
        <w:spacing w:line="560" w:lineRule="exact"/>
        <w:jc w:val="right"/>
        <w:rPr>
          <w:color w:val="171717" w:themeColor="background2" w:themeShade="1A"/>
        </w:rPr>
      </w:pPr>
      <w:r>
        <w:rPr>
          <w:rFonts w:hint="eastAsia" w:ascii="仿宋_GB2312" w:hAnsi="宋体" w:eastAsia="仿宋_GB2312" w:cs="宋体"/>
          <w:color w:val="171717" w:themeColor="background2" w:themeShade="1A"/>
          <w:kern w:val="0"/>
          <w:sz w:val="32"/>
          <w:szCs w:val="32"/>
        </w:rPr>
        <w:t>201</w:t>
      </w:r>
      <w:r>
        <w:rPr>
          <w:rFonts w:hint="eastAsia" w:ascii="仿宋_GB2312" w:hAnsi="宋体" w:eastAsia="仿宋_GB2312" w:cs="宋体"/>
          <w:color w:val="171717" w:themeColor="background2" w:themeShade="1A"/>
          <w:kern w:val="0"/>
          <w:sz w:val="32"/>
          <w:szCs w:val="32"/>
          <w:lang w:val="en-US" w:eastAsia="zh-CN"/>
        </w:rPr>
        <w:t>8</w:t>
      </w:r>
      <w:r>
        <w:rPr>
          <w:rFonts w:ascii="仿宋_GB2312" w:hAnsi="宋体" w:eastAsia="仿宋_GB2312" w:cs="宋体"/>
          <w:color w:val="171717" w:themeColor="background2" w:themeShade="1A"/>
          <w:kern w:val="0"/>
          <w:sz w:val="32"/>
          <w:szCs w:val="32"/>
        </w:rPr>
        <w:t>年</w:t>
      </w:r>
      <w:r>
        <w:rPr>
          <w:rFonts w:hint="eastAsia" w:ascii="仿宋_GB2312" w:hAnsi="宋体" w:eastAsia="仿宋_GB2312" w:cs="宋体"/>
          <w:color w:val="171717" w:themeColor="background2" w:themeShade="1A"/>
          <w:kern w:val="0"/>
          <w:sz w:val="32"/>
          <w:szCs w:val="32"/>
          <w:lang w:val="en-US" w:eastAsia="zh-CN"/>
        </w:rPr>
        <w:t>1</w:t>
      </w:r>
      <w:r>
        <w:rPr>
          <w:rFonts w:hint="eastAsia" w:ascii="仿宋_GB2312" w:hAnsi="宋体" w:eastAsia="仿宋_GB2312" w:cs="宋体"/>
          <w:color w:val="171717" w:themeColor="background2" w:themeShade="1A"/>
          <w:kern w:val="0"/>
          <w:sz w:val="32"/>
          <w:szCs w:val="32"/>
        </w:rPr>
        <w:t>2</w:t>
      </w:r>
      <w:r>
        <w:rPr>
          <w:rFonts w:ascii="仿宋_GB2312" w:hAnsi="宋体" w:eastAsia="仿宋_GB2312" w:cs="宋体"/>
          <w:color w:val="171717" w:themeColor="background2" w:themeShade="1A"/>
          <w:kern w:val="0"/>
          <w:sz w:val="32"/>
          <w:szCs w:val="32"/>
        </w:rPr>
        <w:t>月</w:t>
      </w:r>
      <w:r>
        <w:rPr>
          <w:rFonts w:hint="eastAsia" w:ascii="仿宋_GB2312" w:hAnsi="宋体" w:eastAsia="仿宋_GB2312" w:cs="宋体"/>
          <w:color w:val="171717" w:themeColor="background2" w:themeShade="1A"/>
          <w:kern w:val="0"/>
          <w:sz w:val="32"/>
          <w:szCs w:val="32"/>
          <w:lang w:val="en-US" w:eastAsia="zh-CN"/>
        </w:rPr>
        <w:t>16</w:t>
      </w:r>
      <w:bookmarkStart w:id="0" w:name="_GoBack"/>
      <w:bookmarkEnd w:id="0"/>
      <w:r>
        <w:rPr>
          <w:rFonts w:ascii="仿宋_GB2312" w:hAnsi="宋体" w:eastAsia="仿宋_GB2312" w:cs="宋体"/>
          <w:color w:val="171717" w:themeColor="background2" w:themeShade="1A"/>
          <w:kern w:val="0"/>
          <w:sz w:val="32"/>
          <w:szCs w:val="32"/>
        </w:rPr>
        <w:t>日</w:t>
      </w:r>
    </w:p>
    <w:sectPr>
      <w:footerReference r:id="rId5" w:type="default"/>
      <w:footerReference r:id="rId6"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827" w:wrap="around" w:vAnchor="text" w:hAnchor="margin" w:xAlign="outside" w:y="1"/>
      <w:rPr>
        <w:rStyle w:val="9"/>
      </w:rPr>
    </w:pPr>
    <w:r>
      <w:rPr>
        <w:rStyle w:val="9"/>
        <w:rFonts w:hint="eastAsia"/>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19</w:t>
    </w:r>
    <w:r>
      <w:rPr>
        <w:rStyle w:val="9"/>
        <w:sz w:val="28"/>
        <w:szCs w:val="28"/>
      </w:rPr>
      <w:fldChar w:fldCharType="end"/>
    </w:r>
    <w:r>
      <w:rPr>
        <w:rStyle w:val="9"/>
        <w:rFonts w:hint="eastAsia"/>
      </w:rPr>
      <w:t>—</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383"/>
    <w:rsid w:val="00015A9E"/>
    <w:rsid w:val="000514D5"/>
    <w:rsid w:val="000678A0"/>
    <w:rsid w:val="000713EF"/>
    <w:rsid w:val="000A5A80"/>
    <w:rsid w:val="000F70C0"/>
    <w:rsid w:val="00100514"/>
    <w:rsid w:val="0013218A"/>
    <w:rsid w:val="0013298F"/>
    <w:rsid w:val="001518AA"/>
    <w:rsid w:val="001558E7"/>
    <w:rsid w:val="001A2442"/>
    <w:rsid w:val="001C7B0D"/>
    <w:rsid w:val="001E132A"/>
    <w:rsid w:val="00200CD6"/>
    <w:rsid w:val="00215D0F"/>
    <w:rsid w:val="002233DF"/>
    <w:rsid w:val="002757EA"/>
    <w:rsid w:val="002808A4"/>
    <w:rsid w:val="00292FB0"/>
    <w:rsid w:val="0031599B"/>
    <w:rsid w:val="0031698D"/>
    <w:rsid w:val="00323862"/>
    <w:rsid w:val="00352BFB"/>
    <w:rsid w:val="003819AE"/>
    <w:rsid w:val="00385E3A"/>
    <w:rsid w:val="0039631C"/>
    <w:rsid w:val="003A5132"/>
    <w:rsid w:val="003C372A"/>
    <w:rsid w:val="003C4590"/>
    <w:rsid w:val="00412C8A"/>
    <w:rsid w:val="00416D08"/>
    <w:rsid w:val="00420715"/>
    <w:rsid w:val="004270C3"/>
    <w:rsid w:val="004561DB"/>
    <w:rsid w:val="00472D3C"/>
    <w:rsid w:val="0047781C"/>
    <w:rsid w:val="004C78DF"/>
    <w:rsid w:val="00521E62"/>
    <w:rsid w:val="00541C4E"/>
    <w:rsid w:val="0054288B"/>
    <w:rsid w:val="00551343"/>
    <w:rsid w:val="00554107"/>
    <w:rsid w:val="005B158B"/>
    <w:rsid w:val="005C3759"/>
    <w:rsid w:val="005F28E3"/>
    <w:rsid w:val="005F2CC1"/>
    <w:rsid w:val="00645335"/>
    <w:rsid w:val="00651B3C"/>
    <w:rsid w:val="00666D83"/>
    <w:rsid w:val="00683416"/>
    <w:rsid w:val="00695757"/>
    <w:rsid w:val="006A01F8"/>
    <w:rsid w:val="006D07D5"/>
    <w:rsid w:val="006E564A"/>
    <w:rsid w:val="00737BB3"/>
    <w:rsid w:val="00785465"/>
    <w:rsid w:val="007A224B"/>
    <w:rsid w:val="007B51DF"/>
    <w:rsid w:val="007F786A"/>
    <w:rsid w:val="00821A1C"/>
    <w:rsid w:val="0084198C"/>
    <w:rsid w:val="00857223"/>
    <w:rsid w:val="0088085F"/>
    <w:rsid w:val="008919F8"/>
    <w:rsid w:val="008978F0"/>
    <w:rsid w:val="008A4EC3"/>
    <w:rsid w:val="008D4BCE"/>
    <w:rsid w:val="008E2BC5"/>
    <w:rsid w:val="0091201E"/>
    <w:rsid w:val="00920488"/>
    <w:rsid w:val="009204E5"/>
    <w:rsid w:val="009822C7"/>
    <w:rsid w:val="00985B47"/>
    <w:rsid w:val="009923AD"/>
    <w:rsid w:val="009A0A21"/>
    <w:rsid w:val="00A15073"/>
    <w:rsid w:val="00A5294A"/>
    <w:rsid w:val="00A5360F"/>
    <w:rsid w:val="00A64D0D"/>
    <w:rsid w:val="00A7576F"/>
    <w:rsid w:val="00A92C4B"/>
    <w:rsid w:val="00A938EB"/>
    <w:rsid w:val="00AE0BA3"/>
    <w:rsid w:val="00AE1429"/>
    <w:rsid w:val="00B03494"/>
    <w:rsid w:val="00B063BC"/>
    <w:rsid w:val="00B15F93"/>
    <w:rsid w:val="00B2225C"/>
    <w:rsid w:val="00B31735"/>
    <w:rsid w:val="00B33375"/>
    <w:rsid w:val="00B65159"/>
    <w:rsid w:val="00B93104"/>
    <w:rsid w:val="00B9668E"/>
    <w:rsid w:val="00BD5383"/>
    <w:rsid w:val="00C1143E"/>
    <w:rsid w:val="00C45F86"/>
    <w:rsid w:val="00C90C45"/>
    <w:rsid w:val="00C942EF"/>
    <w:rsid w:val="00CA6D41"/>
    <w:rsid w:val="00CB37FA"/>
    <w:rsid w:val="00CB4EA1"/>
    <w:rsid w:val="00CB6C71"/>
    <w:rsid w:val="00CC6E19"/>
    <w:rsid w:val="00CE0026"/>
    <w:rsid w:val="00D03A19"/>
    <w:rsid w:val="00D07E0B"/>
    <w:rsid w:val="00D3056D"/>
    <w:rsid w:val="00D66478"/>
    <w:rsid w:val="00D725B8"/>
    <w:rsid w:val="00D821B3"/>
    <w:rsid w:val="00DA4536"/>
    <w:rsid w:val="00DC3354"/>
    <w:rsid w:val="00E1477B"/>
    <w:rsid w:val="00E42932"/>
    <w:rsid w:val="00E50607"/>
    <w:rsid w:val="00E512D6"/>
    <w:rsid w:val="00E52978"/>
    <w:rsid w:val="00E61538"/>
    <w:rsid w:val="00E6619B"/>
    <w:rsid w:val="00EA47C7"/>
    <w:rsid w:val="00F04482"/>
    <w:rsid w:val="00F06325"/>
    <w:rsid w:val="00F56712"/>
    <w:rsid w:val="00FB6C16"/>
    <w:rsid w:val="03CA4CE3"/>
    <w:rsid w:val="04225A88"/>
    <w:rsid w:val="0840601A"/>
    <w:rsid w:val="0A5D4932"/>
    <w:rsid w:val="0E974440"/>
    <w:rsid w:val="1881294C"/>
    <w:rsid w:val="24762972"/>
    <w:rsid w:val="26EB188D"/>
    <w:rsid w:val="27F661D5"/>
    <w:rsid w:val="28B507C4"/>
    <w:rsid w:val="2A8A1FF3"/>
    <w:rsid w:val="2B362C2D"/>
    <w:rsid w:val="3106523D"/>
    <w:rsid w:val="35097F10"/>
    <w:rsid w:val="3582404A"/>
    <w:rsid w:val="37E41983"/>
    <w:rsid w:val="3BA237B2"/>
    <w:rsid w:val="3BE01EFA"/>
    <w:rsid w:val="3EDE5F92"/>
    <w:rsid w:val="4099302F"/>
    <w:rsid w:val="40D42CC7"/>
    <w:rsid w:val="42A61FE1"/>
    <w:rsid w:val="43F52E37"/>
    <w:rsid w:val="48FA6DBE"/>
    <w:rsid w:val="4C610ABB"/>
    <w:rsid w:val="4DD95122"/>
    <w:rsid w:val="4E7A5517"/>
    <w:rsid w:val="4E873A51"/>
    <w:rsid w:val="4F572D9D"/>
    <w:rsid w:val="4FC078E8"/>
    <w:rsid w:val="52C85EBA"/>
    <w:rsid w:val="550A4AF6"/>
    <w:rsid w:val="55821B29"/>
    <w:rsid w:val="55AA7116"/>
    <w:rsid w:val="563E0205"/>
    <w:rsid w:val="59A748C1"/>
    <w:rsid w:val="5BE66F56"/>
    <w:rsid w:val="5F60613C"/>
    <w:rsid w:val="612003EA"/>
    <w:rsid w:val="6121194A"/>
    <w:rsid w:val="696370B1"/>
    <w:rsid w:val="6AAF34D6"/>
    <w:rsid w:val="6AEA716C"/>
    <w:rsid w:val="6CD32209"/>
    <w:rsid w:val="6F0925B8"/>
    <w:rsid w:val="729171A8"/>
    <w:rsid w:val="75383360"/>
    <w:rsid w:val="75922B59"/>
    <w:rsid w:val="7C904375"/>
    <w:rsid w:val="7CD55F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bCs/>
    </w:rPr>
  </w:style>
  <w:style w:type="character" w:styleId="9">
    <w:name w:val="page number"/>
    <w:basedOn w:val="7"/>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脚 Char"/>
    <w:basedOn w:val="7"/>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7"/>
    <w:link w:val="2"/>
    <w:semiHidden/>
    <w:qFormat/>
    <w:uiPriority w:val="0"/>
    <w:rPr>
      <w:rFonts w:ascii="Times New Roman" w:hAnsi="Times New Roman" w:eastAsia="宋体" w:cs="Times New Roman"/>
      <w:sz w:val="18"/>
      <w:szCs w:val="18"/>
    </w:rPr>
  </w:style>
  <w:style w:type="character" w:customStyle="1" w:styleId="15">
    <w:name w:val="页眉 Char"/>
    <w:basedOn w:val="7"/>
    <w:link w:val="4"/>
    <w:qFormat/>
    <w:uiPriority w:val="0"/>
    <w:rPr>
      <w:rFonts w:ascii="Times New Roman" w:hAnsi="Times New Roman" w:eastAsia="宋体" w:cs="Times New Roman"/>
      <w:sz w:val="18"/>
      <w:szCs w:val="18"/>
    </w:rPr>
  </w:style>
  <w:style w:type="character" w:customStyle="1" w:styleId="16">
    <w:name w:val="正文文本缩进 3 Char"/>
    <w:basedOn w:val="7"/>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table" w:customStyle="1" w:styleId="19">
    <w:name w:val="网格型1"/>
    <w:basedOn w:val="1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
    <w:name w:val="普通(网站)2"/>
    <w:basedOn w:val="1"/>
    <w:qFormat/>
    <w:uiPriority w:val="0"/>
    <w:rPr>
      <w:rFonts w:ascii="Calibri" w:hAnsi="Calibri" w:cs="黑体"/>
      <w:sz w:val="24"/>
    </w:rPr>
  </w:style>
  <w:style w:type="paragraph" w:customStyle="1" w:styleId="21">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1243</Words>
  <Characters>7087</Characters>
  <Lines>59</Lines>
  <Paragraphs>16</Paragraphs>
  <TotalTime>117</TotalTime>
  <ScaleCrop>false</ScaleCrop>
  <LinksUpToDate>false</LinksUpToDate>
  <CharactersWithSpaces>8314</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2018-03-21T08:04:00Z</dcterms:created>
  <dc:creator>Administrator</dc:creator>
  <cp:lastModifiedBy>zx</cp:lastModifiedBy>
  <dcterms:modified xsi:type="dcterms:W3CDTF">2018-12-16T21:33:17Z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