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乌鲁木齐市第三十一中学2016年预算公开</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整改</w:t>
      </w: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300" w:lineRule="auto"/>
        <w:jc w:val="center"/>
        <w:outlineLvl w:val="1"/>
        <w:rPr>
          <w:rFonts w:ascii="黑体" w:hAnsi="黑体" w:eastAsia="黑体"/>
          <w:color w:val="171717" w:themeColor="background2" w:themeShade="1A"/>
          <w:kern w:val="0"/>
          <w:sz w:val="44"/>
          <w:szCs w:val="44"/>
        </w:rPr>
      </w:pP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乌鲁木齐市第三十一中学单位概况</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2016年部门预算公开表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2016年部门预算情况说明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一、关于乌鲁木齐市第三十一中学2016年收支预算情况的总体说明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二、关于乌鲁木齐市第三十一中学2016年收入预算情况说明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三、关于乌鲁木齐市第三十一中学2016年支出预算情况说明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四、关于乌鲁木齐市第三十一中学2016年财政拨款收支预算情况的总体说明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五、关于乌鲁木齐市第三十一中学2016年一般公共预算当年拨款情况说明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六、关于乌鲁木齐市第三十一中学2016年一般公共预算基本支出情况说明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七、关于乌鲁木齐市第三十一中学2016年项目支出情况说明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八、关于乌鲁木齐市第三十一中学2016年一般公共预算“三公”经费预算情况说明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九、关于乌鲁木齐市第三十一中学2016年政府性基金预算拨款情况说明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2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第一部分乌鲁木齐市第三十一中学单位概况</w:t>
      </w:r>
    </w:p>
    <w:p>
      <w:pPr>
        <w:widowControl/>
        <w:spacing w:line="300" w:lineRule="auto"/>
        <w:jc w:val="center"/>
        <w:outlineLvl w:val="1"/>
        <w:rPr>
          <w:rFonts w:ascii="黑体" w:hAnsi="黑体" w:eastAsia="黑体"/>
          <w:color w:val="171717" w:themeColor="background2" w:themeShade="1A"/>
          <w:kern w:val="0"/>
          <w:sz w:val="32"/>
          <w:szCs w:val="32"/>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shd w:val="clear" w:color="auto" w:fill="FFFFFF"/>
        </w:rPr>
      </w:pPr>
      <w:r>
        <w:rPr>
          <w:rFonts w:hint="eastAsia" w:cs="宋体" w:asciiTheme="minorEastAsia" w:hAnsiTheme="minorEastAsia" w:eastAsiaTheme="minorEastAsia"/>
          <w:color w:val="171717" w:themeColor="background2" w:themeShade="1A"/>
          <w:sz w:val="28"/>
          <w:szCs w:val="28"/>
          <w:shd w:val="clear" w:color="auto" w:fill="FFFFFF"/>
        </w:rPr>
        <w:t>我校系水磨沟区区属高中，主要职能是实施高中学历教育，促进基础教育发展，执行中小学校会计制度单位，属财政预算全额拨款。</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widowControl/>
        <w:spacing w:line="560" w:lineRule="exact"/>
        <w:ind w:firstLine="560" w:firstLineChars="200"/>
        <w:jc w:val="left"/>
        <w:rPr>
          <w:rFonts w:cs="宋体" w:asciiTheme="minorEastAsia" w:hAnsiTheme="minorEastAsia" w:eastAsiaTheme="minorEastAsia"/>
          <w:color w:val="171717" w:themeColor="background2" w:themeShade="1A"/>
          <w:sz w:val="28"/>
          <w:szCs w:val="28"/>
          <w:shd w:val="clear" w:color="auto" w:fill="FFFFFF"/>
        </w:rPr>
      </w:pPr>
      <w:r>
        <w:rPr>
          <w:rFonts w:hint="eastAsia" w:cs="宋体" w:asciiTheme="minorEastAsia" w:hAnsiTheme="minorEastAsia" w:eastAsiaTheme="minorEastAsia"/>
          <w:color w:val="171717" w:themeColor="background2" w:themeShade="1A"/>
          <w:sz w:val="28"/>
          <w:szCs w:val="28"/>
          <w:shd w:val="clear" w:color="auto" w:fill="FFFFFF"/>
        </w:rPr>
        <w:t>根据职责，纳入乌鲁木齐市第三十一中学</w:t>
      </w:r>
      <w:r>
        <w:rPr>
          <w:rFonts w:cs="宋体" w:asciiTheme="minorEastAsia" w:hAnsiTheme="minorEastAsia" w:eastAsiaTheme="minorEastAsia"/>
          <w:color w:val="171717" w:themeColor="background2" w:themeShade="1A"/>
          <w:sz w:val="28"/>
          <w:szCs w:val="28"/>
          <w:shd w:val="clear" w:color="auto" w:fill="FFFFFF"/>
        </w:rPr>
        <w:t>2016</w:t>
      </w:r>
      <w:r>
        <w:rPr>
          <w:rFonts w:hint="eastAsia" w:cs="宋体" w:asciiTheme="minorEastAsia" w:hAnsiTheme="minorEastAsia" w:eastAsiaTheme="minorEastAsia"/>
          <w:color w:val="171717" w:themeColor="background2" w:themeShade="1A"/>
          <w:sz w:val="28"/>
          <w:szCs w:val="28"/>
          <w:shd w:val="clear" w:color="auto" w:fill="FFFFFF"/>
        </w:rPr>
        <w:t>年部门决算编制范围的有机关内设的</w:t>
      </w:r>
      <w:r>
        <w:rPr>
          <w:rFonts w:cs="宋体" w:asciiTheme="minorEastAsia" w:hAnsiTheme="minorEastAsia" w:eastAsiaTheme="minorEastAsia"/>
          <w:color w:val="171717" w:themeColor="background2" w:themeShade="1A"/>
          <w:sz w:val="28"/>
          <w:szCs w:val="28"/>
          <w:shd w:val="clear" w:color="auto" w:fill="FFFFFF"/>
        </w:rPr>
        <w:t>5</w:t>
      </w:r>
      <w:r>
        <w:rPr>
          <w:rFonts w:hint="eastAsia" w:cs="宋体" w:asciiTheme="minorEastAsia" w:hAnsiTheme="minorEastAsia" w:eastAsiaTheme="minorEastAsia"/>
          <w:color w:val="171717" w:themeColor="background2" w:themeShade="1A"/>
          <w:sz w:val="28"/>
          <w:szCs w:val="28"/>
          <w:shd w:val="clear" w:color="auto" w:fill="FFFFFF"/>
        </w:rPr>
        <w:t>个机构，分别是办公室、教务处、教研室、德育处、保卫科。</w:t>
      </w:r>
    </w:p>
    <w:p>
      <w:pPr>
        <w:widowControl/>
        <w:spacing w:line="560" w:lineRule="exact"/>
        <w:ind w:firstLine="560" w:firstLineChars="200"/>
        <w:jc w:val="left"/>
        <w:rPr>
          <w:rFonts w:cs="宋体" w:asciiTheme="minorEastAsia" w:hAnsiTheme="minorEastAsia" w:eastAsiaTheme="minorEastAsia"/>
          <w:color w:val="171717" w:themeColor="background2" w:themeShade="1A"/>
          <w:sz w:val="28"/>
          <w:szCs w:val="28"/>
          <w:shd w:val="clear" w:color="auto" w:fill="FFFFFF"/>
        </w:rPr>
      </w:pPr>
      <w:r>
        <w:rPr>
          <w:rFonts w:hint="eastAsia" w:cs="宋体" w:asciiTheme="minorEastAsia" w:hAnsiTheme="minorEastAsia" w:eastAsiaTheme="minorEastAsia"/>
          <w:color w:val="171717" w:themeColor="background2" w:themeShade="1A"/>
          <w:sz w:val="28"/>
          <w:szCs w:val="28"/>
          <w:shd w:val="clear" w:color="auto" w:fill="FFFFFF"/>
        </w:rPr>
        <w:t>乌鲁木齐市第三十一中学编制人数</w:t>
      </w:r>
      <w:r>
        <w:rPr>
          <w:rFonts w:cs="宋体" w:asciiTheme="minorEastAsia" w:hAnsiTheme="minorEastAsia" w:eastAsiaTheme="minorEastAsia"/>
          <w:color w:val="171717" w:themeColor="background2" w:themeShade="1A"/>
          <w:sz w:val="28"/>
          <w:szCs w:val="28"/>
          <w:shd w:val="clear" w:color="auto" w:fill="FFFFFF"/>
        </w:rPr>
        <w:t>76</w:t>
      </w:r>
      <w:r>
        <w:rPr>
          <w:rFonts w:hint="eastAsia" w:cs="宋体" w:asciiTheme="minorEastAsia" w:hAnsiTheme="minorEastAsia" w:eastAsiaTheme="minorEastAsia"/>
          <w:color w:val="171717" w:themeColor="background2" w:themeShade="1A"/>
          <w:sz w:val="28"/>
          <w:szCs w:val="28"/>
          <w:shd w:val="clear" w:color="auto" w:fill="FFFFFF"/>
        </w:rPr>
        <w:t>人，均为事业编制。</w:t>
      </w:r>
    </w:p>
    <w:p>
      <w:pPr>
        <w:widowControl/>
        <w:spacing w:line="560" w:lineRule="exact"/>
        <w:ind w:firstLine="560" w:firstLineChars="200"/>
        <w:jc w:val="left"/>
        <w:rPr>
          <w:rFonts w:cs="宋体" w:asciiTheme="minorEastAsia" w:hAnsiTheme="minorEastAsia" w:eastAsiaTheme="minorEastAsia"/>
          <w:color w:val="171717" w:themeColor="background2" w:themeShade="1A"/>
          <w:sz w:val="28"/>
          <w:szCs w:val="28"/>
          <w:shd w:val="clear" w:color="auto" w:fill="FFFFFF"/>
        </w:rPr>
      </w:pPr>
      <w:r>
        <w:rPr>
          <w:rFonts w:hint="eastAsia" w:cs="宋体" w:asciiTheme="minorEastAsia" w:hAnsiTheme="minorEastAsia" w:eastAsiaTheme="minorEastAsia"/>
          <w:color w:val="171717" w:themeColor="background2" w:themeShade="1A"/>
          <w:sz w:val="28"/>
          <w:szCs w:val="28"/>
          <w:shd w:val="clear" w:color="auto" w:fill="FFFFFF"/>
        </w:rPr>
        <w:t>乌鲁木齐市第三十一中学</w:t>
      </w:r>
      <w:r>
        <w:rPr>
          <w:rFonts w:cs="宋体" w:asciiTheme="minorEastAsia" w:hAnsiTheme="minorEastAsia" w:eastAsiaTheme="minorEastAsia"/>
          <w:color w:val="171717" w:themeColor="background2" w:themeShade="1A"/>
          <w:sz w:val="28"/>
          <w:szCs w:val="28"/>
          <w:shd w:val="clear" w:color="auto" w:fill="FFFFFF"/>
        </w:rPr>
        <w:t>2016</w:t>
      </w:r>
      <w:r>
        <w:rPr>
          <w:rFonts w:hint="eastAsia" w:cs="宋体" w:asciiTheme="minorEastAsia" w:hAnsiTheme="minorEastAsia" w:eastAsiaTheme="minorEastAsia"/>
          <w:color w:val="171717" w:themeColor="background2" w:themeShade="1A"/>
          <w:sz w:val="28"/>
          <w:szCs w:val="28"/>
          <w:shd w:val="clear" w:color="auto" w:fill="FFFFFF"/>
        </w:rPr>
        <w:t>年实有在职人数51人，其中：实有在职人数51人，增加</w:t>
      </w:r>
      <w:r>
        <w:rPr>
          <w:rFonts w:cs="宋体" w:asciiTheme="minorEastAsia" w:hAnsiTheme="minorEastAsia" w:eastAsiaTheme="minorEastAsia"/>
          <w:color w:val="171717" w:themeColor="background2" w:themeShade="1A"/>
          <w:sz w:val="28"/>
          <w:szCs w:val="28"/>
          <w:shd w:val="clear" w:color="auto" w:fill="FFFFFF"/>
        </w:rPr>
        <w:t>0</w:t>
      </w:r>
      <w:r>
        <w:rPr>
          <w:rFonts w:hint="eastAsia" w:cs="宋体" w:asciiTheme="minorEastAsia" w:hAnsiTheme="minorEastAsia" w:eastAsiaTheme="minorEastAsia"/>
          <w:color w:val="171717" w:themeColor="background2" w:themeShade="1A"/>
          <w:sz w:val="28"/>
          <w:szCs w:val="28"/>
          <w:shd w:val="clear" w:color="auto" w:fill="FFFFFF"/>
        </w:rPr>
        <w:t>人，退休67人。</w:t>
      </w:r>
    </w:p>
    <w:p>
      <w:pPr>
        <w:widowControl/>
        <w:spacing w:line="560" w:lineRule="exact"/>
        <w:ind w:firstLine="200"/>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第二部分乌鲁木齐市第三十一中学2016年部门预算公开表</w:t>
      </w: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编制部门：乌鲁木齐市第三十一中学 单位：万元</w:t>
      </w:r>
    </w:p>
    <w:tbl>
      <w:tblPr>
        <w:tblStyle w:val="13"/>
        <w:tblW w:w="8931" w:type="dxa"/>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1425.46</w:t>
            </w: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1425.46</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1425.46</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1425.46</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1425.46</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tabs>
          <w:tab w:val="left" w:pos="1421"/>
        </w:tabs>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部门收入总体情况表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填报部门：乌鲁木齐市第三十一中学            单位：万元</w:t>
      </w:r>
    </w:p>
    <w:tbl>
      <w:tblPr>
        <w:tblStyle w:val="13"/>
        <w:tblW w:w="8976" w:type="dxa"/>
        <w:tblInd w:w="93" w:type="dxa"/>
        <w:tblLayout w:type="fixed"/>
        <w:tblCellMar>
          <w:top w:w="0" w:type="dxa"/>
          <w:left w:w="108" w:type="dxa"/>
          <w:bottom w:w="0" w:type="dxa"/>
          <w:right w:w="108" w:type="dxa"/>
        </w:tblCellMar>
      </w:tblPr>
      <w:tblGrid>
        <w:gridCol w:w="544"/>
        <w:gridCol w:w="457"/>
        <w:gridCol w:w="457"/>
        <w:gridCol w:w="1475"/>
        <w:gridCol w:w="951"/>
        <w:gridCol w:w="951"/>
        <w:gridCol w:w="680"/>
        <w:gridCol w:w="680"/>
        <w:gridCol w:w="680"/>
        <w:gridCol w:w="680"/>
        <w:gridCol w:w="741"/>
        <w:gridCol w:w="680"/>
      </w:tblGrid>
      <w:tr>
        <w:tblPrEx>
          <w:tblLayout w:type="fixed"/>
          <w:tblCellMar>
            <w:top w:w="0" w:type="dxa"/>
            <w:left w:w="108" w:type="dxa"/>
            <w:bottom w:w="0" w:type="dxa"/>
            <w:right w:w="108" w:type="dxa"/>
          </w:tblCellMar>
        </w:tblPrEx>
        <w:trPr>
          <w:trHeight w:val="510" w:hRule="atLeast"/>
        </w:trPr>
        <w:tc>
          <w:tcPr>
            <w:tcW w:w="1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4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  计</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475"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741"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04</w:t>
            </w:r>
          </w:p>
        </w:tc>
        <w:tc>
          <w:tcPr>
            <w:tcW w:w="147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高中教育</w:t>
            </w:r>
          </w:p>
        </w:tc>
        <w:tc>
          <w:tcPr>
            <w:tcW w:w="951"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1425.46</w:t>
            </w:r>
          </w:p>
        </w:tc>
        <w:tc>
          <w:tcPr>
            <w:tcW w:w="951"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1425.46</w:t>
            </w: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w:t>
            </w:r>
          </w:p>
        </w:tc>
        <w:tc>
          <w:tcPr>
            <w:tcW w:w="95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4"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75"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1425.46</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1425.46</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74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编制部门：乌鲁木齐市第三十一中学               单位：万元</w:t>
      </w:r>
    </w:p>
    <w:tbl>
      <w:tblPr>
        <w:tblStyle w:val="13"/>
        <w:tblW w:w="9229" w:type="dxa"/>
        <w:tblInd w:w="93" w:type="dxa"/>
        <w:tblLayout w:type="fixed"/>
        <w:tblCellMar>
          <w:top w:w="0" w:type="dxa"/>
          <w:left w:w="108" w:type="dxa"/>
          <w:bottom w:w="0" w:type="dxa"/>
          <w:right w:w="108" w:type="dxa"/>
        </w:tblCellMar>
      </w:tblPr>
      <w:tblGrid>
        <w:gridCol w:w="576"/>
        <w:gridCol w:w="457"/>
        <w:gridCol w:w="457"/>
        <w:gridCol w:w="2492"/>
        <w:gridCol w:w="1789"/>
        <w:gridCol w:w="1799"/>
        <w:gridCol w:w="1659"/>
      </w:tblGrid>
      <w:tr>
        <w:tblPrEx>
          <w:tblLayout w:type="fixed"/>
          <w:tblCellMar>
            <w:top w:w="0" w:type="dxa"/>
            <w:left w:w="108" w:type="dxa"/>
            <w:bottom w:w="0" w:type="dxa"/>
            <w:right w:w="108" w:type="dxa"/>
          </w:tblCellMar>
        </w:tblPrEx>
        <w:trPr>
          <w:trHeight w:val="345" w:hRule="atLeast"/>
        </w:trPr>
        <w:tc>
          <w:tcPr>
            <w:tcW w:w="39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4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78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79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49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8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9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04</w:t>
            </w:r>
          </w:p>
        </w:tc>
        <w:tc>
          <w:tcPr>
            <w:tcW w:w="2492"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高中教育</w:t>
            </w:r>
          </w:p>
        </w:tc>
        <w:tc>
          <w:tcPr>
            <w:tcW w:w="1789"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1425.46</w:t>
            </w:r>
          </w:p>
        </w:tc>
        <w:tc>
          <w:tcPr>
            <w:tcW w:w="179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1296.98</w:t>
            </w:r>
          </w:p>
        </w:tc>
        <w:tc>
          <w:tcPr>
            <w:tcW w:w="1659"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128.48</w:t>
            </w:r>
          </w:p>
        </w:tc>
      </w:tr>
      <w:tr>
        <w:tblPrEx>
          <w:tblLayout w:type="fixed"/>
          <w:tblCellMar>
            <w:top w:w="0" w:type="dxa"/>
            <w:left w:w="108" w:type="dxa"/>
            <w:bottom w:w="0" w:type="dxa"/>
            <w:right w:w="108" w:type="dxa"/>
          </w:tblCellMar>
        </w:tblPrEx>
        <w:trPr>
          <w:trHeight w:val="40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492"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178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sz w:val="18"/>
                <w:szCs w:val="18"/>
              </w:rPr>
            </w:pPr>
          </w:p>
        </w:tc>
        <w:tc>
          <w:tcPr>
            <w:tcW w:w="1799"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49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78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79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rPr>
              <w:t>1296.98</w:t>
            </w:r>
          </w:p>
        </w:tc>
        <w:tc>
          <w:tcPr>
            <w:tcW w:w="16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rPr>
              <w:t>128.48</w:t>
            </w:r>
          </w:p>
        </w:tc>
      </w:tr>
    </w:tbl>
    <w:p>
      <w:pPr>
        <w:widowControl/>
        <w:spacing w:beforeLines="50"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表四：</w:t>
      </w:r>
    </w:p>
    <w:p>
      <w:pPr>
        <w:widowControl/>
        <w:spacing w:beforeLines="50"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财政拨款收支预算总体情况表</w:t>
      </w:r>
    </w:p>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编制部门：乌鲁木齐市第三十一中学               单位：万元</w:t>
      </w:r>
    </w:p>
    <w:tbl>
      <w:tblPr>
        <w:tblStyle w:val="13"/>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225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jc w:val="left"/>
        <w:outlineLvl w:val="1"/>
        <w:rPr>
          <w:rFonts w:ascii="仿宋_GB2312" w:eastAsia="仿宋_GB2312" w:hAnsiTheme="minorEastAsia"/>
          <w:color w:val="171717" w:themeColor="background2" w:themeShade="1A"/>
          <w:kern w:val="0"/>
          <w:sz w:val="18"/>
          <w:szCs w:val="18"/>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232" w:type="dxa"/>
        <w:tblInd w:w="93" w:type="dxa"/>
        <w:tblLayout w:type="fixed"/>
        <w:tblCellMar>
          <w:top w:w="0" w:type="dxa"/>
          <w:left w:w="108" w:type="dxa"/>
          <w:bottom w:w="0" w:type="dxa"/>
          <w:right w:w="108" w:type="dxa"/>
        </w:tblCellMar>
      </w:tblPr>
      <w:tblGrid>
        <w:gridCol w:w="546"/>
        <w:gridCol w:w="492"/>
        <w:gridCol w:w="45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32" w:type="dxa"/>
            <w:gridSpan w:val="7"/>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编制部门：乌鲁木齐市第三十一中学                                 单位：万元</w:t>
            </w:r>
          </w:p>
        </w:tc>
      </w:tr>
      <w:tr>
        <w:tblPrEx>
          <w:tblLayout w:type="fixed"/>
          <w:tblCellMar>
            <w:top w:w="0" w:type="dxa"/>
            <w:left w:w="108" w:type="dxa"/>
            <w:bottom w:w="0" w:type="dxa"/>
            <w:right w:w="108" w:type="dxa"/>
          </w:tblCellMar>
        </w:tblPrEx>
        <w:trPr>
          <w:trHeight w:val="405" w:hRule="atLeast"/>
        </w:trPr>
        <w:tc>
          <w:tcPr>
            <w:tcW w:w="400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9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高中教育</w:t>
            </w: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1296.98</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128.48</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1425.46</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rPr>
              <w:t>1296.98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rPr>
              <w:t>128.48</w:t>
            </w:r>
          </w:p>
        </w:tc>
      </w:tr>
    </w:tbl>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表六：</w:t>
      </w:r>
    </w:p>
    <w:tbl>
      <w:tblPr>
        <w:tblStyle w:val="13"/>
        <w:tblW w:w="9117" w:type="dxa"/>
        <w:tblInd w:w="93" w:type="dxa"/>
        <w:tblLayout w:type="fixed"/>
        <w:tblCellMar>
          <w:top w:w="0" w:type="dxa"/>
          <w:left w:w="108" w:type="dxa"/>
          <w:bottom w:w="0" w:type="dxa"/>
          <w:right w:w="108" w:type="dxa"/>
        </w:tblCellMar>
      </w:tblPr>
      <w:tblGrid>
        <w:gridCol w:w="546"/>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117" w:type="dxa"/>
            <w:gridSpan w:val="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编制部门：乌鲁木齐市第三十一中学                                 单位：万元</w:t>
            </w:r>
          </w:p>
        </w:tc>
      </w:tr>
      <w:tr>
        <w:tblPrEx>
          <w:tblLayout w:type="fixed"/>
          <w:tblCellMar>
            <w:top w:w="0" w:type="dxa"/>
            <w:left w:w="108" w:type="dxa"/>
            <w:bottom w:w="0" w:type="dxa"/>
            <w:right w:w="108" w:type="dxa"/>
          </w:tblCellMar>
        </w:tblPrEx>
        <w:trPr>
          <w:trHeight w:val="390" w:hRule="atLeast"/>
        </w:trPr>
        <w:tc>
          <w:tcPr>
            <w:tcW w:w="401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trPr>
        <w:tc>
          <w:tcPr>
            <w:tcW w:w="112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153.87</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153.87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50.34</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50.34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社会保障缴费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222.9</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222.9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146.87</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146.87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1.09</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13.9</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6.95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6.95</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9.43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9.43</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3.97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3.97</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办公取暖费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26.2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26.2</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物业管理费</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1.99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1.99</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5.96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5.96</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13.41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13.41</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租赁费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1.49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1.49</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培训费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14.96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14.96</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0.69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0.69</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专用材料费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5.46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5.46</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劳务费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1.99</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2.17</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9.12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9.12</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18.31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18.31</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退休费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414.62</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414.62</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79.29</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79.29</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54.68</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54.68</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采暖补贴</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10.86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10.86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26.46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26.46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1296.98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1160.98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136</w:t>
            </w: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olor w:val="171717" w:themeColor="background2" w:themeShade="1A"/>
                <w:sz w:val="18"/>
                <w:szCs w:val="18"/>
              </w:rPr>
            </w:pP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表七：</w:t>
      </w:r>
    </w:p>
    <w:tbl>
      <w:tblPr>
        <w:tblStyle w:val="13"/>
        <w:tblW w:w="10593" w:type="dxa"/>
        <w:jc w:val="center"/>
        <w:tblInd w:w="0" w:type="dxa"/>
        <w:tblLayout w:type="fixed"/>
        <w:tblCellMar>
          <w:top w:w="0" w:type="dxa"/>
          <w:left w:w="108" w:type="dxa"/>
          <w:bottom w:w="0" w:type="dxa"/>
          <w:right w:w="108" w:type="dxa"/>
        </w:tblCellMar>
      </w:tblPr>
      <w:tblGrid>
        <w:gridCol w:w="11"/>
        <w:gridCol w:w="535"/>
        <w:gridCol w:w="457"/>
        <w:gridCol w:w="457"/>
        <w:gridCol w:w="851"/>
        <w:gridCol w:w="1456"/>
        <w:gridCol w:w="846"/>
        <w:gridCol w:w="629"/>
        <w:gridCol w:w="883"/>
        <w:gridCol w:w="652"/>
        <w:gridCol w:w="652"/>
        <w:gridCol w:w="698"/>
        <w:gridCol w:w="457"/>
        <w:gridCol w:w="698"/>
        <w:gridCol w:w="457"/>
        <w:gridCol w:w="457"/>
        <w:gridCol w:w="389"/>
        <w:gridCol w:w="8"/>
      </w:tblGrid>
      <w:tr>
        <w:tblPrEx>
          <w:tblLayout w:type="fixed"/>
          <w:tblCellMar>
            <w:top w:w="0" w:type="dxa"/>
            <w:left w:w="108" w:type="dxa"/>
            <w:bottom w:w="0" w:type="dxa"/>
            <w:right w:w="108" w:type="dxa"/>
          </w:tblCellMar>
        </w:tblPrEx>
        <w:trPr>
          <w:gridBefore w:val="1"/>
          <w:gridAfter w:val="1"/>
          <w:wBefore w:w="11" w:type="dxa"/>
          <w:wAfter w:w="8" w:type="dxa"/>
          <w:trHeight w:val="375" w:hRule="atLeast"/>
          <w:jc w:val="center"/>
        </w:trPr>
        <w:tc>
          <w:tcPr>
            <w:tcW w:w="10574" w:type="dxa"/>
            <w:gridSpan w:val="1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编制部门：乌鲁木齐市第三十一中学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0" w:type="dxa"/>
            <w:gridSpan w:val="4"/>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 目 编 码</w:t>
            </w:r>
          </w:p>
        </w:tc>
        <w:tc>
          <w:tcPr>
            <w:tcW w:w="851" w:type="dxa"/>
            <w:vMerge w:val="restart"/>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456" w:type="dxa"/>
            <w:vMerge w:val="restart"/>
            <w:shd w:val="clear" w:color="auto" w:fill="auto"/>
            <w:noWrap/>
            <w:vAlign w:val="center"/>
          </w:tcPr>
          <w:p>
            <w:pPr>
              <w:spacing w:line="300" w:lineRule="auto"/>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84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629"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883"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39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546" w:type="dxa"/>
            <w:gridSpan w:val="2"/>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29"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83"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39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04</w:t>
            </w:r>
          </w:p>
        </w:tc>
        <w:tc>
          <w:tcPr>
            <w:tcW w:w="851"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高中教育</w:t>
            </w:r>
          </w:p>
        </w:tc>
        <w:tc>
          <w:tcPr>
            <w:tcW w:w="1456"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校园绿化美化经费</w:t>
            </w:r>
          </w:p>
        </w:tc>
        <w:tc>
          <w:tcPr>
            <w:tcW w:w="846"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10</w:t>
            </w:r>
          </w:p>
        </w:tc>
        <w:tc>
          <w:tcPr>
            <w:tcW w:w="629"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83"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10</w:t>
            </w: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04</w:t>
            </w:r>
          </w:p>
        </w:tc>
        <w:tc>
          <w:tcPr>
            <w:tcW w:w="851"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高中教育</w:t>
            </w:r>
          </w:p>
        </w:tc>
        <w:tc>
          <w:tcPr>
            <w:tcW w:w="1456"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护校队、安保人员经费</w:t>
            </w:r>
          </w:p>
        </w:tc>
        <w:tc>
          <w:tcPr>
            <w:tcW w:w="846" w:type="dxa"/>
            <w:shd w:val="clear" w:color="auto" w:fill="auto"/>
          </w:tcPr>
          <w:p>
            <w:pPr>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49.2</w:t>
            </w:r>
          </w:p>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29" w:type="dxa"/>
            <w:shd w:val="clear" w:color="auto" w:fill="auto"/>
          </w:tcPr>
          <w:p>
            <w:pPr>
              <w:jc w:val="right"/>
              <w:rPr>
                <w:rFonts w:ascii="仿宋_GB2312" w:eastAsia="仿宋_GB2312" w:cs="宋体" w:hAnsiTheme="minorEastAsia"/>
                <w:color w:val="171717" w:themeColor="background2" w:themeShade="1A"/>
                <w:sz w:val="18"/>
                <w:szCs w:val="18"/>
              </w:rPr>
            </w:pPr>
          </w:p>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83"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ascii="仿宋_GB2312" w:eastAsia="仿宋_GB2312" w:hAnsiTheme="minorEastAsia"/>
                <w:color w:val="171717" w:themeColor="background2" w:themeShade="1A"/>
                <w:kern w:val="0"/>
                <w:sz w:val="18"/>
                <w:szCs w:val="18"/>
              </w:rPr>
              <w:t>49.2</w:t>
            </w: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04</w:t>
            </w:r>
          </w:p>
        </w:tc>
        <w:tc>
          <w:tcPr>
            <w:tcW w:w="851"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高中教育</w:t>
            </w:r>
          </w:p>
        </w:tc>
        <w:tc>
          <w:tcPr>
            <w:tcW w:w="1456"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高考工作经费</w:t>
            </w:r>
          </w:p>
        </w:tc>
        <w:tc>
          <w:tcPr>
            <w:tcW w:w="846" w:type="dxa"/>
            <w:shd w:val="clear" w:color="auto" w:fill="auto"/>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p>
        </w:tc>
        <w:tc>
          <w:tcPr>
            <w:tcW w:w="629"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83" w:type="dxa"/>
            <w:shd w:val="clear" w:color="auto" w:fill="auto"/>
          </w:tcPr>
          <w:p>
            <w:pPr>
              <w:jc w:val="right"/>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20</w:t>
            </w: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04</w:t>
            </w:r>
          </w:p>
        </w:tc>
        <w:tc>
          <w:tcPr>
            <w:tcW w:w="851"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高中教育</w:t>
            </w:r>
          </w:p>
        </w:tc>
        <w:tc>
          <w:tcPr>
            <w:tcW w:w="1456"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特色教育经费</w:t>
            </w:r>
          </w:p>
        </w:tc>
        <w:tc>
          <w:tcPr>
            <w:tcW w:w="846" w:type="dxa"/>
            <w:shd w:val="clear" w:color="auto" w:fill="auto"/>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w:t>
            </w:r>
          </w:p>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29"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83" w:type="dxa"/>
            <w:shd w:val="clear" w:color="auto" w:fill="auto"/>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w:t>
            </w:r>
          </w:p>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04</w:t>
            </w:r>
          </w:p>
        </w:tc>
        <w:tc>
          <w:tcPr>
            <w:tcW w:w="851" w:type="dxa"/>
            <w:shd w:val="clear" w:color="auto" w:fill="auto"/>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高中教育</w:t>
            </w: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2016年临时聘用人员经费</w:t>
            </w:r>
          </w:p>
        </w:tc>
        <w:tc>
          <w:tcPr>
            <w:tcW w:w="846"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39.28</w:t>
            </w:r>
          </w:p>
        </w:tc>
        <w:tc>
          <w:tcPr>
            <w:tcW w:w="629"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83"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39.28</w:t>
            </w: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98"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846"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29"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83"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98"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widowControl/>
              <w:spacing w:line="300" w:lineRule="auto"/>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合计</w:t>
            </w:r>
          </w:p>
        </w:tc>
        <w:tc>
          <w:tcPr>
            <w:tcW w:w="84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ascii="仿宋_GB2312" w:eastAsia="仿宋_GB2312" w:hAnsiTheme="minorEastAsia"/>
                <w:color w:val="171717" w:themeColor="background2" w:themeShade="1A"/>
                <w:kern w:val="0"/>
                <w:sz w:val="18"/>
                <w:szCs w:val="18"/>
              </w:rPr>
              <w:t>128.48</w:t>
            </w:r>
          </w:p>
        </w:tc>
        <w:tc>
          <w:tcPr>
            <w:tcW w:w="629"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83"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ascii="仿宋_GB2312" w:eastAsia="仿宋_GB2312" w:hAnsiTheme="minorEastAsia"/>
                <w:color w:val="171717" w:themeColor="background2" w:themeShade="1A"/>
                <w:kern w:val="0"/>
                <w:sz w:val="18"/>
                <w:szCs w:val="18"/>
              </w:rPr>
              <w:t>79.28</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ascii="仿宋_GB2312" w:eastAsia="仿宋_GB2312" w:hAnsiTheme="minorEastAsia"/>
                <w:color w:val="171717" w:themeColor="background2" w:themeShade="1A"/>
                <w:kern w:val="0"/>
                <w:sz w:val="18"/>
                <w:szCs w:val="18"/>
              </w:rPr>
              <w:t>49.2</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bl>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编制单位：乌鲁木齐市第三十一中学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0.69</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政府性基金预算支出情况表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编制单位：乌鲁木齐市第三十一中学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第三部分乌鲁木齐市第三十一中学2016年部门预算情况说明</w:t>
      </w:r>
    </w:p>
    <w:p>
      <w:pPr>
        <w:rPr>
          <w:rFonts w:ascii="黑体" w:hAnsi="黑体" w:eastAsia="黑体"/>
          <w:color w:val="171717" w:themeColor="background2" w:themeShade="1A"/>
          <w:sz w:val="32"/>
          <w:szCs w:val="32"/>
        </w:rPr>
      </w:pPr>
    </w:p>
    <w:p>
      <w:pPr>
        <w:widowControl/>
        <w:spacing w:line="300" w:lineRule="auto"/>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2016年部门预算情况说明</w:t>
      </w:r>
    </w:p>
    <w:p>
      <w:pPr>
        <w:widowControl/>
        <w:spacing w:line="300" w:lineRule="auto"/>
        <w:jc w:val="center"/>
        <w:outlineLvl w:val="1"/>
        <w:rPr>
          <w:rFonts w:ascii="黑体" w:hAnsi="黑体" w:eastAsia="黑体"/>
          <w:color w:val="171717" w:themeColor="background2" w:themeShade="1A"/>
          <w:kern w:val="0"/>
          <w:sz w:val="32"/>
          <w:szCs w:val="32"/>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一、关于乌鲁木齐市第三十一中学2016年收支预算情况的总体说明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按照全口径预算的原则，乌鲁木齐市第三十一中学2016年所有收入和支出均纳入部门预算管理。收支总预算1425.46万元。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收入预算包括：一般公共预算、单位上年结余（不包括国库集中支付额度结余）等。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支出预算包括：教育支出、社会保障和就业支出等。</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二、关于乌鲁木齐市第三十一中学2016年收入预算情况说明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乌鲁木齐市第三十一中学收入预算1425.46万元，其中：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一般公共预算1425.46万元，比上年增加 537.88万元；是因为退休人员人数由2015年的15人增加到2016年的67人，由于人员增加，经费上涨。</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财政预算拨款结余结转未安排。</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三、关于乌鲁木齐市第三十一中学单位2016年支出预算情况说明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乌鲁木齐市第三十一中学单位2016年支出预算1425.46万元，其中：</w:t>
      </w:r>
    </w:p>
    <w:p>
      <w:pPr>
        <w:widowControl/>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基本支出1296.98万元，比上年增加538.11万元。主要原因是接收52名退休教师，导致人员经费大幅增加。</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项目支出128.48万元，比上年减少0.23万元。主要原因是核减了临时聘用人员人数，导致人员经费减少。</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四、关于乌鲁木齐市第三十一中学2016年财政拨款收支预算情况的总体说明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财政拨款收支总预算1425.46万元。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五、关于乌鲁木齐市第三十一中学2016年一般公共预算基本支出情况说明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乌鲁木齐市第三十一中学2016年一般公共预算基本支出1296.98万元，其中：</w:t>
      </w:r>
    </w:p>
    <w:p>
      <w:pPr>
        <w:spacing w:line="560" w:lineRule="exact"/>
        <w:ind w:firstLine="560" w:firstLineChars="200"/>
        <w:jc w:val="left"/>
        <w:rPr>
          <w:rFonts w:cs="宋体"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人员经费1160.98万元，主要包括：基本工资、津贴补贴、社会保障缴费</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绩效工资、其他工资福利支出、退休费、奖励金、住房公积金、采暖补贴、其他对个人和家庭的补助等。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4"/>
        </w:rPr>
      </w:pPr>
      <w:r>
        <w:rPr>
          <w:rFonts w:hint="eastAsia" w:cs="宋体" w:asciiTheme="minorEastAsia" w:hAnsiTheme="minorEastAsia" w:eastAsiaTheme="minorEastAsia"/>
          <w:color w:val="171717" w:themeColor="background2" w:themeShade="1A"/>
          <w:kern w:val="0"/>
          <w:sz w:val="28"/>
          <w:szCs w:val="28"/>
        </w:rPr>
        <w:t>公用经费136万元，主要包括：办公费、水费、电费、邮电费、取暖费、物业管理费、差旅费、维修（护）费、租赁费、培训费、公务接待费、专用材料费、劳务费、工会经费、福利费、其他商品和服务支出等。</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六、关于乌鲁木齐市第三十一中学2016年一般公共预算项目支出情况说明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项目名称：高考工作经费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设立的政策依据：根据高考工作经费设立依据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预算安排规模：2</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项目承担单位：乌鲁木齐市第三十一中学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资金分配情况：用于高考工作</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资金执行时间：2016年1月-2016年12月</w:t>
      </w:r>
    </w:p>
    <w:p>
      <w:pPr>
        <w:widowControl/>
        <w:spacing w:line="560" w:lineRule="exact"/>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 xml:space="preserve">    </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项目名称：校园绿化美化经费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设立的政策依据：根据校园绿化美化经费设立依据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w:t>
      </w:r>
      <w:r>
        <w:rPr>
          <w:rFonts w:asciiTheme="minorEastAsia" w:hAnsiTheme="minorEastAsia" w:eastAsiaTheme="minorEastAsia"/>
          <w:color w:val="171717" w:themeColor="background2" w:themeShade="1A"/>
          <w:sz w:val="28"/>
          <w:szCs w:val="28"/>
        </w:rPr>
        <w:t>10</w:t>
      </w:r>
      <w:r>
        <w:rPr>
          <w:rFonts w:hint="eastAsia" w:asciiTheme="minorEastAsia" w:hAnsiTheme="minorEastAsia" w:eastAsiaTheme="minorEastAsia"/>
          <w:color w:val="171717" w:themeColor="background2" w:themeShade="1A"/>
          <w:sz w:val="28"/>
          <w:szCs w:val="28"/>
        </w:rPr>
        <w:t>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项目承担单位：乌鲁木齐市第三十一中学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资金分配情况：用于校园环境美化绿化</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资金执行时间：2016年1月-2016年12月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项目名称：特色教育经费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设立的政策依据：根据特殊教育活动经费、材料购置费设立依据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w:t>
      </w:r>
      <w:r>
        <w:rPr>
          <w:rFonts w:asciiTheme="minorEastAsia" w:hAnsiTheme="minorEastAsia" w:eastAsiaTheme="minorEastAsia"/>
          <w:color w:val="171717" w:themeColor="background2" w:themeShade="1A"/>
          <w:sz w:val="28"/>
          <w:szCs w:val="28"/>
        </w:rPr>
        <w:t>10</w:t>
      </w:r>
      <w:r>
        <w:rPr>
          <w:rFonts w:hint="eastAsia" w:asciiTheme="minorEastAsia" w:hAnsiTheme="minorEastAsia" w:eastAsiaTheme="minorEastAsia"/>
          <w:color w:val="171717" w:themeColor="background2" w:themeShade="1A"/>
          <w:sz w:val="28"/>
          <w:szCs w:val="28"/>
        </w:rPr>
        <w:t>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项目承担单位：乌鲁木齐市第三十一中学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资金分配情况：用于学校特色教育</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资金执行时间：2016年1月-2016年12月</w:t>
      </w:r>
    </w:p>
    <w:p>
      <w:pPr>
        <w:widowControl/>
        <w:spacing w:line="560" w:lineRule="exact"/>
        <w:jc w:val="left"/>
        <w:rPr>
          <w:rFonts w:cs="仿宋_GB2312" w:asciiTheme="minorEastAsia" w:hAnsiTheme="minorEastAsia" w:eastAsiaTheme="minorEastAsia"/>
          <w:color w:val="171717" w:themeColor="background2" w:themeShade="1A"/>
          <w:sz w:val="28"/>
          <w:szCs w:val="28"/>
        </w:rPr>
      </w:pP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2016年临时聘用人员经费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sz w:val="28"/>
          <w:szCs w:val="28"/>
        </w:rPr>
        <w:t>根据临时聘用人员经费设立依据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cs="仿宋_GB2312" w:asciiTheme="minorEastAsia" w:hAnsiTheme="minorEastAsia" w:eastAsiaTheme="minorEastAsia"/>
          <w:color w:val="171717" w:themeColor="background2" w:themeShade="1A"/>
          <w:kern w:val="0"/>
          <w:sz w:val="28"/>
          <w:szCs w:val="28"/>
        </w:rPr>
        <w:t>39.28</w:t>
      </w:r>
      <w:r>
        <w:rPr>
          <w:rFonts w:hint="eastAsia" w:cs="仿宋_GB2312"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：乌鲁木齐市第三十一中学</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代课教师10人</w:t>
      </w:r>
      <w:r>
        <w:rPr>
          <w:rFonts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rPr>
        <w:t>临时工4人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14人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w:t>
      </w:r>
      <w:r>
        <w:rPr>
          <w:rFonts w:hint="eastAsia" w:cs="宋体" w:asciiTheme="minorEastAsia" w:hAnsiTheme="minorEastAsia" w:eastAsiaTheme="minorEastAsia"/>
          <w:color w:val="171717" w:themeColor="background2" w:themeShade="1A"/>
          <w:kern w:val="0"/>
          <w:sz w:val="28"/>
          <w:szCs w:val="28"/>
        </w:rPr>
        <w:t>2381元/月/人</w:t>
      </w:r>
      <w:r>
        <w:rPr>
          <w:rFonts w:cs="宋体" w:asciiTheme="minorEastAsia" w:hAnsiTheme="minorEastAsia" w:eastAsiaTheme="minorEastAsia"/>
          <w:color w:val="171717" w:themeColor="background2" w:themeShade="1A"/>
          <w:kern w:val="0"/>
          <w:sz w:val="28"/>
          <w:szCs w:val="28"/>
        </w:rPr>
        <w:t>；临时工：</w:t>
      </w:r>
      <w:r>
        <w:rPr>
          <w:rFonts w:hint="eastAsia" w:cs="宋体" w:asciiTheme="minorEastAsia" w:hAnsiTheme="minorEastAsia" w:eastAsiaTheme="minorEastAsia"/>
          <w:color w:val="171717" w:themeColor="background2" w:themeShade="1A"/>
          <w:kern w:val="0"/>
          <w:sz w:val="28"/>
          <w:szCs w:val="28"/>
        </w:rPr>
        <w:t>2231元/月/人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及临</w:t>
      </w:r>
      <w:r>
        <w:rPr>
          <w:rFonts w:hint="eastAsia" w:cs="宋体" w:asciiTheme="minorEastAsia" w:hAnsiTheme="minorEastAsia" w:eastAsiaTheme="minorEastAsia"/>
          <w:color w:val="171717" w:themeColor="background2" w:themeShade="1A"/>
          <w:kern w:val="0"/>
          <w:sz w:val="28"/>
          <w:szCs w:val="28"/>
        </w:rPr>
        <w:t>聘</w:t>
      </w:r>
      <w:r>
        <w:rPr>
          <w:rFonts w:cs="宋体" w:asciiTheme="minorEastAsia" w:hAnsiTheme="minorEastAsia" w:eastAsiaTheme="minorEastAsia"/>
          <w:color w:val="171717" w:themeColor="background2" w:themeShade="1A"/>
          <w:kern w:val="0"/>
          <w:sz w:val="28"/>
          <w:szCs w:val="28"/>
        </w:rPr>
        <w:t>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及临</w:t>
      </w:r>
      <w:r>
        <w:rPr>
          <w:rFonts w:hint="eastAsia" w:cs="宋体" w:asciiTheme="minorEastAsia" w:hAnsiTheme="minorEastAsia" w:eastAsiaTheme="minorEastAsia"/>
          <w:color w:val="171717" w:themeColor="background2" w:themeShade="1A"/>
          <w:kern w:val="0"/>
          <w:sz w:val="28"/>
          <w:szCs w:val="28"/>
        </w:rPr>
        <w:t>聘</w:t>
      </w:r>
      <w:r>
        <w:rPr>
          <w:rFonts w:cs="宋体" w:asciiTheme="minorEastAsia" w:hAnsiTheme="minorEastAsia" w:eastAsiaTheme="minorEastAsia"/>
          <w:color w:val="171717" w:themeColor="background2" w:themeShade="1A"/>
          <w:kern w:val="0"/>
          <w:sz w:val="28"/>
          <w:szCs w:val="28"/>
        </w:rPr>
        <w:t>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sz w:val="28"/>
          <w:szCs w:val="28"/>
        </w:rPr>
        <w:t>根据护校队、安保人员经费设立依据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49.2万元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：乌鲁木齐市第三十一中学</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校内</w:t>
      </w:r>
      <w:r>
        <w:rPr>
          <w:rFonts w:cs="仿宋_GB2312" w:asciiTheme="minorEastAsia" w:hAnsiTheme="minorEastAsia" w:eastAsiaTheme="minorEastAsia"/>
          <w:color w:val="171717" w:themeColor="background2" w:themeShade="1A"/>
          <w:kern w:val="0"/>
          <w:sz w:val="28"/>
          <w:szCs w:val="28"/>
        </w:rPr>
        <w:t>护校队</w:t>
      </w:r>
      <w:r>
        <w:rPr>
          <w:rFonts w:hint="eastAsia" w:cs="仿宋_GB2312" w:asciiTheme="minorEastAsia" w:hAnsiTheme="minorEastAsia" w:eastAsiaTheme="minorEastAsia"/>
          <w:color w:val="171717" w:themeColor="background2" w:themeShade="1A"/>
          <w:kern w:val="0"/>
          <w:sz w:val="28"/>
          <w:szCs w:val="28"/>
        </w:rPr>
        <w:t>10人</w:t>
      </w:r>
      <w:r>
        <w:rPr>
          <w:rFonts w:cs="仿宋_GB2312" w:asciiTheme="minorEastAsia" w:hAnsiTheme="minorEastAsia" w:eastAsiaTheme="minorEastAsia"/>
          <w:color w:val="171717" w:themeColor="background2" w:themeShade="1A"/>
          <w:kern w:val="0"/>
          <w:sz w:val="28"/>
          <w:szCs w:val="28"/>
        </w:rPr>
        <w:t>，保安公司</w:t>
      </w:r>
      <w:r>
        <w:rPr>
          <w:rFonts w:hint="eastAsia" w:cs="仿宋_GB2312" w:asciiTheme="minorEastAsia" w:hAnsiTheme="minorEastAsia" w:eastAsiaTheme="minorEastAsia"/>
          <w:color w:val="171717" w:themeColor="background2" w:themeShade="1A"/>
          <w:kern w:val="0"/>
          <w:sz w:val="28"/>
          <w:szCs w:val="28"/>
        </w:rPr>
        <w:t>10人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校内</w:t>
      </w:r>
      <w:r>
        <w:rPr>
          <w:rFonts w:cs="宋体" w:asciiTheme="minorEastAsia" w:hAnsiTheme="minorEastAsia" w:eastAsiaTheme="minorEastAsia"/>
          <w:color w:val="171717" w:themeColor="background2" w:themeShade="1A"/>
          <w:kern w:val="0"/>
          <w:sz w:val="28"/>
          <w:szCs w:val="28"/>
        </w:rPr>
        <w:t>护校队</w:t>
      </w:r>
      <w:r>
        <w:rPr>
          <w:rFonts w:hint="eastAsia" w:cs="宋体" w:asciiTheme="minorEastAsia" w:hAnsiTheme="minorEastAsia" w:eastAsiaTheme="minorEastAsia"/>
          <w:color w:val="171717" w:themeColor="background2" w:themeShade="1A"/>
          <w:kern w:val="0"/>
          <w:sz w:val="28"/>
          <w:szCs w:val="28"/>
        </w:rPr>
        <w:t>：15</w:t>
      </w:r>
      <w:r>
        <w:rPr>
          <w:rFonts w:cs="宋体" w:asciiTheme="minorEastAsia" w:hAnsiTheme="minorEastAsia" w:eastAsiaTheme="minorEastAsia"/>
          <w:color w:val="171717" w:themeColor="background2" w:themeShade="1A"/>
          <w:kern w:val="0"/>
          <w:sz w:val="28"/>
          <w:szCs w:val="28"/>
        </w:rPr>
        <w:t>00</w:t>
      </w:r>
      <w:r>
        <w:rPr>
          <w:rFonts w:hint="eastAsia" w:cs="宋体" w:asciiTheme="minorEastAsia" w:hAnsiTheme="minorEastAsia" w:eastAsiaTheme="minorEastAsia"/>
          <w:color w:val="171717" w:themeColor="background2" w:themeShade="1A"/>
          <w:kern w:val="0"/>
          <w:sz w:val="28"/>
          <w:szCs w:val="28"/>
        </w:rPr>
        <w:t>元/月/人；保安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rPr>
        <w:t>2500元/月/人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spacing w:line="300" w:lineRule="auto"/>
        <w:rPr>
          <w:rFonts w:asciiTheme="minorEastAsia" w:hAnsiTheme="minorEastAsia" w:eastAsiaTheme="minorEastAsia"/>
          <w:color w:val="171717" w:themeColor="background2" w:themeShade="1A"/>
          <w:sz w:val="28"/>
          <w:szCs w:val="28"/>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七、关于乌鲁木齐市第三十一中学2016年一般公共预算“三公”经费预算情况说明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乌鲁木齐市第三十一中学2016年“三公”经费财政拨款预算数为0.69万元，其中：因公出国（境）费0万元，公务用车购置0万元，公务用车运行费0万元，公务接待费0.69万元。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三公”经费财政拨款预算与上年持平，其中：因公出国（境）费、公务用车购置费、公务用车运行费未安排预算；公务接待费比上年增加0.06万元。主要原因是由于退休人员人数增加到67名，经费相应有所增加。</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八、关于乌鲁木齐市第三十一中学2016年政府性基金预算拨款情况说明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乌鲁木齐市第三十一中学2016年没有使用政府性基金预算拨款安排的支出，政府性基金预算支出情况表为空表。</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ind w:firstLine="640"/>
        <w:rPr>
          <w:rFonts w:ascii="楷体" w:hAnsi="楷体" w:eastAsia="楷体"/>
          <w:color w:val="171717" w:themeColor="background2" w:themeShade="1A"/>
          <w:sz w:val="32"/>
        </w:rPr>
      </w:pPr>
      <w:r>
        <w:rPr>
          <w:rFonts w:hint="eastAsia" w:ascii="楷体" w:hAnsi="楷体" w:eastAsia="楷体"/>
          <w:color w:val="171717" w:themeColor="background2" w:themeShade="1A"/>
          <w:sz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2016年度本部门面向中小企业预留政府采购项目预算金额0万元，其中：面向小微企业预留政府采购项目预算金额0万元。</w:t>
      </w:r>
    </w:p>
    <w:p>
      <w:pPr>
        <w:pStyle w:val="4"/>
        <w:ind w:firstLine="640"/>
        <w:rPr>
          <w:rFonts w:ascii="楷体" w:hAnsi="楷体" w:eastAsia="楷体"/>
          <w:color w:val="171717" w:themeColor="background2" w:themeShade="1A"/>
          <w:sz w:val="32"/>
        </w:rPr>
      </w:pPr>
      <w:r>
        <w:rPr>
          <w:rFonts w:hint="eastAsia" w:ascii="楷体" w:hAnsi="楷体" w:eastAsia="楷体"/>
          <w:color w:val="171717" w:themeColor="background2" w:themeShade="1A"/>
          <w:sz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截至2015年底，乌鲁木齐市第三十一中学及下属各预算单位占用使用国有资产总体情况为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w:t>
      </w:r>
      <w:r>
        <w:rPr>
          <w:rFonts w:cs="宋体" w:asciiTheme="minorEastAsia" w:hAnsiTheme="minorEastAsia" w:eastAsiaTheme="minorEastAsia"/>
          <w:color w:val="171717" w:themeColor="background2" w:themeShade="1A"/>
          <w:kern w:val="0"/>
          <w:sz w:val="28"/>
          <w:szCs w:val="28"/>
        </w:rPr>
        <w:t>16,713.71</w:t>
      </w:r>
      <w:r>
        <w:rPr>
          <w:rFonts w:hint="eastAsia" w:cs="宋体" w:asciiTheme="minorEastAsia" w:hAnsiTheme="minorEastAsia" w:eastAsiaTheme="minorEastAsia"/>
          <w:color w:val="171717" w:themeColor="background2" w:themeShade="1A"/>
          <w:kern w:val="0"/>
          <w:sz w:val="28"/>
          <w:szCs w:val="28"/>
        </w:rPr>
        <w:t>平方米，价值</w:t>
      </w:r>
      <w:r>
        <w:rPr>
          <w:rFonts w:cs="宋体" w:asciiTheme="minorEastAsia" w:hAnsiTheme="minorEastAsia" w:eastAsiaTheme="minorEastAsia"/>
          <w:color w:val="171717" w:themeColor="background2" w:themeShade="1A"/>
          <w:kern w:val="0"/>
          <w:sz w:val="28"/>
          <w:szCs w:val="28"/>
        </w:rPr>
        <w:t>3,64</w:t>
      </w:r>
      <w:r>
        <w:rPr>
          <w:rFonts w:hint="eastAsia" w:cs="宋体" w:asciiTheme="minorEastAsia" w:hAnsiTheme="minorEastAsia" w:eastAsiaTheme="minorEastAsia"/>
          <w:color w:val="171717" w:themeColor="background2" w:themeShade="1A"/>
          <w:kern w:val="0"/>
          <w:sz w:val="28"/>
          <w:szCs w:val="28"/>
        </w:rPr>
        <w:t>1.25万元。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2.车辆1辆，价值21.38万元；其中：一般公务用车1辆，价值21.38万元；执法执勤用车0辆，价值0万元；其他车辆0辆，价值0万元。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.其他资产（含</w:t>
      </w:r>
      <w:r>
        <w:rPr>
          <w:rFonts w:cs="宋体" w:asciiTheme="minorEastAsia" w:hAnsiTheme="minorEastAsia" w:eastAsiaTheme="minorEastAsia"/>
          <w:color w:val="171717" w:themeColor="background2" w:themeShade="1A"/>
          <w:kern w:val="0"/>
          <w:sz w:val="28"/>
          <w:szCs w:val="28"/>
        </w:rPr>
        <w:t>办公家具</w:t>
      </w:r>
      <w:r>
        <w:rPr>
          <w:rFonts w:hint="eastAsia" w:cs="宋体" w:asciiTheme="minorEastAsia" w:hAnsiTheme="minorEastAsia" w:eastAsiaTheme="minorEastAsia"/>
          <w:color w:val="171717" w:themeColor="background2" w:themeShade="1A"/>
          <w:kern w:val="0"/>
          <w:sz w:val="28"/>
          <w:szCs w:val="28"/>
        </w:rPr>
        <w:t>）价值842.85万元。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2016年部门预算未安排购置车辆经费（或安排购置车辆经费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pStyle w:val="4"/>
        <w:ind w:firstLine="640"/>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spacing w:line="560" w:lineRule="exact"/>
        <w:ind w:firstLine="480" w:firstLineChars="200"/>
        <w:jc w:val="left"/>
        <w:rPr>
          <w:rFonts w:cs="宋体" w:asciiTheme="minorEastAsia" w:hAnsiTheme="minorEastAsia" w:eastAsiaTheme="minorEastAsia"/>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spacing w:line="300" w:lineRule="auto"/>
        <w:jc w:val="center"/>
        <w:rPr>
          <w:rFonts w:cs="宋体" w:asciiTheme="minorEastAsia" w:hAnsiTheme="minorEastAsia" w:eastAsiaTheme="minorEastAsia"/>
          <w:b/>
          <w:color w:val="171717" w:themeColor="background2" w:themeShade="1A"/>
          <w:kern w:val="0"/>
          <w:sz w:val="36"/>
          <w:szCs w:val="36"/>
        </w:rPr>
      </w:pPr>
      <w:r>
        <w:rPr>
          <w:rFonts w:hint="eastAsia" w:cs="宋体" w:asciiTheme="minorEastAsia" w:hAnsiTheme="minorEastAsia" w:eastAsiaTheme="min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476"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spacing w:line="300" w:lineRule="auto"/>
              <w:rPr>
                <w:rFonts w:ascii="仿宋_GB2312" w:eastAsia="仿宋_GB2312" w:cs="宋体" w:hAnsiTheme="minorEastAsia"/>
                <w:color w:val="171717" w:themeColor="background2" w:themeShade="1A"/>
                <w:sz w:val="24"/>
              </w:rPr>
            </w:pPr>
          </w:p>
        </w:tc>
      </w:tr>
      <w:tr>
        <w:tblPrEx>
          <w:tblLayout w:type="fixed"/>
          <w:tblCellMar>
            <w:top w:w="0" w:type="dxa"/>
            <w:left w:w="108" w:type="dxa"/>
            <w:bottom w:w="0" w:type="dxa"/>
            <w:right w:w="108" w:type="dxa"/>
          </w:tblCellMar>
        </w:tblPrEx>
        <w:trPr>
          <w:trHeight w:val="653"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bl>
    <w:p>
      <w:pPr>
        <w:pStyle w:val="4"/>
        <w:ind w:firstLine="640"/>
        <w:rPr>
          <w:rFonts w:ascii="楷体" w:hAnsi="楷体" w:eastAsia="楷体"/>
          <w:color w:val="171717" w:themeColor="background2" w:themeShade="1A"/>
          <w:sz w:val="32"/>
        </w:rPr>
      </w:pPr>
      <w:r>
        <w:rPr>
          <w:rFonts w:hint="eastAsia" w:ascii="楷体" w:hAnsi="楷体" w:eastAsia="楷体"/>
          <w:color w:val="171717" w:themeColor="background2" w:themeShade="1A"/>
          <w:sz w:val="32"/>
        </w:rPr>
        <w:t>（四）其他需说明的事项</w:t>
      </w:r>
    </w:p>
    <w:p>
      <w:pPr>
        <w:spacing w:line="560" w:lineRule="exact"/>
        <w:ind w:firstLine="560" w:firstLineChars="200"/>
        <w:jc w:val="left"/>
        <w:rPr>
          <w:color w:val="171717" w:themeColor="background2" w:themeShade="1A"/>
          <w:sz w:val="28"/>
          <w:szCs w:val="28"/>
        </w:rPr>
      </w:pPr>
      <w:r>
        <w:rPr>
          <w:rFonts w:hint="eastAsia"/>
          <w:color w:val="171717" w:themeColor="background2" w:themeShade="1A"/>
          <w:sz w:val="28"/>
          <w:szCs w:val="28"/>
        </w:rPr>
        <w:t>……</w:t>
      </w: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第四部分名词解释</w:t>
      </w:r>
    </w:p>
    <w:p>
      <w:pPr>
        <w:widowControl/>
        <w:spacing w:line="300" w:lineRule="auto"/>
        <w:ind w:firstLine="640"/>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部门支出预算的组成部分，是本级部门为完成其特定的行政任务或事业发展目标，在基本支出预算之外编制的年度项目支出计划。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ind w:firstLine="640" w:firstLineChars="200"/>
        <w:jc w:val="right"/>
        <w:rPr>
          <w:rFonts w:ascii="仿宋_GB2312" w:eastAsia="仿宋_GB2312" w:hAnsiTheme="minorEastAsia"/>
          <w:color w:val="171717" w:themeColor="background2" w:themeShade="1A"/>
          <w:sz w:val="32"/>
          <w:szCs w:val="32"/>
        </w:rPr>
      </w:pPr>
      <w:r>
        <w:rPr>
          <w:rFonts w:hint="eastAsia" w:ascii="仿宋_GB2312" w:hAnsi="宋体" w:eastAsia="仿宋_GB2312" w:cs="仿宋_GB2312"/>
          <w:color w:val="171717" w:themeColor="background2" w:themeShade="1A"/>
          <w:kern w:val="0"/>
          <w:sz w:val="32"/>
          <w:szCs w:val="32"/>
        </w:rPr>
        <w:t>乌鲁木齐市</w:t>
      </w:r>
      <w:r>
        <w:rPr>
          <w:rFonts w:hint="eastAsia" w:ascii="仿宋_GB2312" w:eastAsia="仿宋_GB2312" w:cs="宋体"/>
          <w:color w:val="171717" w:themeColor="background2" w:themeShade="1A"/>
          <w:sz w:val="32"/>
          <w:szCs w:val="32"/>
          <w:shd w:val="clear" w:color="auto" w:fill="FFFFFF"/>
        </w:rPr>
        <w:t>第三十一中学</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2018年12月1</w:t>
      </w:r>
      <w:r>
        <w:rPr>
          <w:rFonts w:hint="eastAsia" w:ascii="仿宋_GB2312" w:eastAsia="仿宋_GB2312" w:cs="宋体" w:hAnsiTheme="minorEastAsia"/>
          <w:color w:val="171717" w:themeColor="background2" w:themeShade="1A"/>
          <w:kern w:val="0"/>
          <w:sz w:val="32"/>
          <w:szCs w:val="32"/>
          <w:lang w:val="en-US" w:eastAsia="zh-CN"/>
        </w:rPr>
        <w:t>6</w:t>
      </w:r>
      <w:r>
        <w:rPr>
          <w:rFonts w:hint="eastAsia" w:ascii="仿宋_GB2312" w:eastAsia="仿宋_GB2312" w:cs="宋体" w:hAnsiTheme="minorEastAsia"/>
          <w:color w:val="171717" w:themeColor="background2" w:themeShade="1A"/>
          <w:kern w:val="0"/>
          <w:sz w:val="32"/>
          <w:szCs w:val="32"/>
        </w:rPr>
        <w:t>日</w:t>
      </w:r>
    </w:p>
    <w:p>
      <w:pPr>
        <w:widowControl/>
        <w:spacing w:line="300" w:lineRule="auto"/>
        <w:jc w:val="left"/>
        <w:rPr>
          <w:rFonts w:asciiTheme="minorEastAsia" w:hAnsiTheme="minorEastAsia" w:eastAsiaTheme="minorEastAsia"/>
          <w:color w:val="171717" w:themeColor="background2" w:themeShade="1A"/>
          <w:sz w:val="24"/>
        </w:rPr>
      </w:pPr>
      <w:bookmarkStart w:id="0" w:name="_GoBack"/>
      <w:bookmarkEnd w:id="0"/>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18</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24BBA"/>
    <w:rsid w:val="00066641"/>
    <w:rsid w:val="00077735"/>
    <w:rsid w:val="000830ED"/>
    <w:rsid w:val="00087911"/>
    <w:rsid w:val="00107BA3"/>
    <w:rsid w:val="00121724"/>
    <w:rsid w:val="00152FC0"/>
    <w:rsid w:val="00157231"/>
    <w:rsid w:val="00166BDA"/>
    <w:rsid w:val="001A03D4"/>
    <w:rsid w:val="001E4320"/>
    <w:rsid w:val="001E6CC5"/>
    <w:rsid w:val="00206F95"/>
    <w:rsid w:val="00295008"/>
    <w:rsid w:val="002E727D"/>
    <w:rsid w:val="00343031"/>
    <w:rsid w:val="00344271"/>
    <w:rsid w:val="00376BBB"/>
    <w:rsid w:val="00386D35"/>
    <w:rsid w:val="00390932"/>
    <w:rsid w:val="00396EF9"/>
    <w:rsid w:val="003A321C"/>
    <w:rsid w:val="003A4EB8"/>
    <w:rsid w:val="003E13BF"/>
    <w:rsid w:val="003F6C48"/>
    <w:rsid w:val="00413CDC"/>
    <w:rsid w:val="004154F4"/>
    <w:rsid w:val="00425587"/>
    <w:rsid w:val="00471ECA"/>
    <w:rsid w:val="00472D3C"/>
    <w:rsid w:val="0049470F"/>
    <w:rsid w:val="004A51A5"/>
    <w:rsid w:val="004B756E"/>
    <w:rsid w:val="004C411B"/>
    <w:rsid w:val="004E1B88"/>
    <w:rsid w:val="004E3FA5"/>
    <w:rsid w:val="004F121F"/>
    <w:rsid w:val="0050681C"/>
    <w:rsid w:val="005153B7"/>
    <w:rsid w:val="00523655"/>
    <w:rsid w:val="00526B2F"/>
    <w:rsid w:val="00530C66"/>
    <w:rsid w:val="00547F3D"/>
    <w:rsid w:val="00584B4C"/>
    <w:rsid w:val="005927A9"/>
    <w:rsid w:val="005A7F19"/>
    <w:rsid w:val="005E25F4"/>
    <w:rsid w:val="005F7DD5"/>
    <w:rsid w:val="0061125E"/>
    <w:rsid w:val="006215A0"/>
    <w:rsid w:val="00675F4B"/>
    <w:rsid w:val="006C1832"/>
    <w:rsid w:val="007261E5"/>
    <w:rsid w:val="00773628"/>
    <w:rsid w:val="00817D49"/>
    <w:rsid w:val="00854262"/>
    <w:rsid w:val="00877836"/>
    <w:rsid w:val="0088252D"/>
    <w:rsid w:val="00927588"/>
    <w:rsid w:val="0094162B"/>
    <w:rsid w:val="00992B6E"/>
    <w:rsid w:val="00994D90"/>
    <w:rsid w:val="009B0DAE"/>
    <w:rsid w:val="009C1509"/>
    <w:rsid w:val="009F45AD"/>
    <w:rsid w:val="00A07780"/>
    <w:rsid w:val="00A34ADB"/>
    <w:rsid w:val="00A80C20"/>
    <w:rsid w:val="00AB6DD1"/>
    <w:rsid w:val="00AD18C1"/>
    <w:rsid w:val="00B0537D"/>
    <w:rsid w:val="00B33FCE"/>
    <w:rsid w:val="00B46216"/>
    <w:rsid w:val="00B950D6"/>
    <w:rsid w:val="00BA634B"/>
    <w:rsid w:val="00BC4322"/>
    <w:rsid w:val="00BD5383"/>
    <w:rsid w:val="00C00BF0"/>
    <w:rsid w:val="00C038E9"/>
    <w:rsid w:val="00C07497"/>
    <w:rsid w:val="00C44644"/>
    <w:rsid w:val="00C46D57"/>
    <w:rsid w:val="00C60911"/>
    <w:rsid w:val="00C82B8D"/>
    <w:rsid w:val="00C850CE"/>
    <w:rsid w:val="00C86789"/>
    <w:rsid w:val="00CB3C1F"/>
    <w:rsid w:val="00D374CA"/>
    <w:rsid w:val="00D7676F"/>
    <w:rsid w:val="00D93571"/>
    <w:rsid w:val="00DA2544"/>
    <w:rsid w:val="00DE7AAA"/>
    <w:rsid w:val="00E40FB5"/>
    <w:rsid w:val="00E50607"/>
    <w:rsid w:val="00EA697A"/>
    <w:rsid w:val="00EF125A"/>
    <w:rsid w:val="00F016C4"/>
    <w:rsid w:val="00F62070"/>
    <w:rsid w:val="00FA4F89"/>
    <w:rsid w:val="00FE7367"/>
    <w:rsid w:val="13785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uiPriority w:val="0"/>
    <w:rPr>
      <w:sz w:val="18"/>
      <w:szCs w:val="18"/>
    </w:rPr>
  </w:style>
  <w:style w:type="paragraph" w:styleId="6">
    <w:name w:val="footer"/>
    <w:basedOn w:val="1"/>
    <w:link w:val="15"/>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uiPriority w:val="0"/>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uiPriority w:val="99"/>
    <w:rPr>
      <w:rFonts w:ascii="Times New Roman" w:hAnsi="Times New Roman" w:eastAsia="黑体" w:cs="Times New Roman"/>
      <w:snapToGrid w:val="0"/>
      <w:kern w:val="0"/>
      <w:sz w:val="18"/>
      <w:szCs w:val="18"/>
    </w:rPr>
  </w:style>
  <w:style w:type="paragraph" w:customStyle="1" w:styleId="1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uiPriority w:val="0"/>
    <w:rPr>
      <w:rFonts w:ascii="Times New Roman" w:hAnsi="Times New Roman" w:eastAsia="宋体" w:cs="Times New Roman"/>
      <w:sz w:val="18"/>
      <w:szCs w:val="18"/>
    </w:rPr>
  </w:style>
  <w:style w:type="character" w:customStyle="1" w:styleId="18">
    <w:name w:val="页眉 Char"/>
    <w:basedOn w:val="10"/>
    <w:link w:val="7"/>
    <w:uiPriority w:val="0"/>
    <w:rPr>
      <w:rFonts w:ascii="Times New Roman" w:hAnsi="Times New Roman" w:eastAsia="宋体" w:cs="Times New Roman"/>
      <w:sz w:val="18"/>
      <w:szCs w:val="18"/>
    </w:rPr>
  </w:style>
  <w:style w:type="character" w:customStyle="1" w:styleId="19">
    <w:name w:val="正文文本缩进 3 Char"/>
    <w:basedOn w:val="10"/>
    <w:link w:val="8"/>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uiPriority w:val="0"/>
    <w:rPr>
      <w:rFonts w:ascii="Calibri" w:hAnsi="Calibri" w:cs="黑体"/>
      <w:sz w:val="24"/>
    </w:rPr>
  </w:style>
  <w:style w:type="table" w:customStyle="1" w:styleId="22">
    <w:name w:val="网格型1"/>
    <w:basedOn w:val="1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uiPriority w:val="0"/>
    <w:rPr>
      <w:rFonts w:ascii="Calibri" w:hAnsi="Calibri" w:cs="黑体"/>
      <w:sz w:val="24"/>
    </w:rPr>
  </w:style>
  <w:style w:type="paragraph" w:customStyle="1" w:styleId="24">
    <w:name w:val="普通(网站)3"/>
    <w:basedOn w:val="1"/>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uiPriority w:val="9"/>
    <w:rPr>
      <w:rFonts w:asciiTheme="majorHAnsi" w:hAnsiTheme="majorHAnsi" w:eastAsiaTheme="majorEastAsia" w:cstheme="majorBidi"/>
      <w:b/>
      <w:bCs/>
      <w:sz w:val="30"/>
      <w:szCs w:val="32"/>
    </w:rPr>
  </w:style>
  <w:style w:type="character" w:customStyle="1" w:styleId="27">
    <w:name w:val="标题 3 Char"/>
    <w:basedOn w:val="10"/>
    <w:link w:val="4"/>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1230</Words>
  <Characters>7012</Characters>
  <Lines>58</Lines>
  <Paragraphs>16</Paragraphs>
  <TotalTime>123</TotalTime>
  <ScaleCrop>false</ScaleCrop>
  <LinksUpToDate>false</LinksUpToDate>
  <CharactersWithSpaces>8226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2018-03-22T04:32:00Z</dcterms:created>
  <dc:creator>Administrator</dc:creator>
  <cp:lastModifiedBy>zx</cp:lastModifiedBy>
  <dcterms:modified xsi:type="dcterms:W3CDTF">2018-12-16T21:37:10Z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