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0357D3" w:rsidRDefault="00BD5383" w:rsidP="002E727D">
      <w:pPr>
        <w:spacing w:line="300" w:lineRule="auto"/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0357D3" w:rsidRDefault="00BD5383" w:rsidP="002E727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Theme="majorEastAsia" w:eastAsiaTheme="majorEastAsia" w:hAnsiTheme="majorEastAsia"/>
          <w:b/>
          <w:color w:val="171717" w:themeColor="background2" w:themeShade="1A"/>
          <w:kern w:val="0"/>
          <w:sz w:val="44"/>
          <w:szCs w:val="44"/>
        </w:rPr>
      </w:pPr>
    </w:p>
    <w:p w:rsidR="00BD5383" w:rsidRPr="000357D3" w:rsidRDefault="00BD5383" w:rsidP="002E727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Theme="majorEastAsia" w:eastAsiaTheme="majorEastAsia" w:hAnsiTheme="majorEastAsia"/>
          <w:b/>
          <w:color w:val="171717" w:themeColor="background2" w:themeShade="1A"/>
          <w:kern w:val="0"/>
          <w:sz w:val="44"/>
          <w:szCs w:val="44"/>
        </w:rPr>
      </w:pPr>
    </w:p>
    <w:p w:rsidR="00BD5383" w:rsidRPr="000357D3" w:rsidRDefault="00BD5383" w:rsidP="002E727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Theme="majorEastAsia" w:eastAsiaTheme="majorEastAsia" w:hAnsiTheme="majorEastAsia"/>
          <w:b/>
          <w:color w:val="171717" w:themeColor="background2" w:themeShade="1A"/>
          <w:kern w:val="0"/>
          <w:sz w:val="44"/>
          <w:szCs w:val="44"/>
        </w:rPr>
      </w:pPr>
    </w:p>
    <w:p w:rsidR="00BD5383" w:rsidRPr="000357D3" w:rsidRDefault="00F6789F" w:rsidP="00E11215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0357D3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乌鲁木齐市水磨沟区人民法院</w:t>
      </w:r>
      <w:r w:rsidR="00220D67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2016</w:t>
      </w:r>
      <w:r w:rsidR="00E11215" w:rsidRPr="000357D3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</w:t>
      </w:r>
      <w:r w:rsidR="00BD5383" w:rsidRPr="000357D3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</w:p>
    <w:p w:rsidR="002E727D" w:rsidRPr="000357D3" w:rsidRDefault="002E727D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br w:type="page"/>
      </w:r>
    </w:p>
    <w:p w:rsidR="00BD5383" w:rsidRPr="000357D3" w:rsidRDefault="00BD5383" w:rsidP="002E727D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0357D3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lastRenderedPageBreak/>
        <w:t>目录</w:t>
      </w:r>
    </w:p>
    <w:p w:rsidR="00E11215" w:rsidRPr="000357D3" w:rsidRDefault="00E11215" w:rsidP="002E727D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0357D3" w:rsidRDefault="00BD5383" w:rsidP="00780640">
      <w:pPr>
        <w:widowControl/>
        <w:spacing w:line="460" w:lineRule="exact"/>
        <w:outlineLvl w:val="1"/>
        <w:rPr>
          <w:rFonts w:ascii="仿宋_GB2312" w:eastAsia="仿宋_GB2312" w:hAnsi="仿宋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 xml:space="preserve">第一部分 </w:t>
      </w:r>
      <w:r w:rsidR="00F6789F"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单位概况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一、主要职能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二、机构设置及人员情况</w:t>
      </w:r>
    </w:p>
    <w:p w:rsidR="00BD5383" w:rsidRPr="000357D3" w:rsidRDefault="00BD5383" w:rsidP="00780640">
      <w:pPr>
        <w:widowControl/>
        <w:spacing w:line="460" w:lineRule="exact"/>
        <w:outlineLvl w:val="1"/>
        <w:rPr>
          <w:rFonts w:ascii="仿宋_GB2312" w:eastAsia="仿宋_GB2312" w:hAnsi="仿宋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 xml:space="preserve">第二部分 </w:t>
      </w:r>
      <w:r w:rsidR="007C2791"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年部门预算公开表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一、部门收支总体情况表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二、部门收入总体情况表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三、部门支出总体情况表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四、财政拨款收支总体情况表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五、一般公共预算支出情况表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六、一般公共预算基本支出情况表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七、项目支出情况表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八、一般公共预算“三公”经费支出情况表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九、政府性基金预算支出情况表</w:t>
      </w:r>
    </w:p>
    <w:p w:rsidR="00BD5383" w:rsidRPr="000357D3" w:rsidRDefault="00BD5383" w:rsidP="00780640">
      <w:pPr>
        <w:widowControl/>
        <w:spacing w:line="460" w:lineRule="exact"/>
        <w:outlineLvl w:val="1"/>
        <w:rPr>
          <w:rFonts w:ascii="仿宋_GB2312" w:eastAsia="仿宋_GB2312" w:hAnsi="仿宋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 xml:space="preserve">第三部分 </w:t>
      </w:r>
      <w:r w:rsidR="007C2791"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年部门预算情况说明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一、关于</w:t>
      </w:r>
      <w:r w:rsidR="00333D02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年收支预算情况的总体说明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二、关于</w:t>
      </w:r>
      <w:r w:rsidR="00333D02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年收入预算情况说明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三、关于</w:t>
      </w:r>
      <w:r w:rsidR="00333D02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年支出预算情况说明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四、关于</w:t>
      </w:r>
      <w:r w:rsidR="00333D02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年财政拨款收支预算情况的总体说明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lastRenderedPageBreak/>
        <w:t>五、关于</w:t>
      </w:r>
      <w:r w:rsidR="00333D02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年一般公共预算当年拨款情况说明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六、关于</w:t>
      </w:r>
      <w:r w:rsidR="00333D02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年一般公共预算基本支出情况说明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七、关于</w:t>
      </w:r>
      <w:r w:rsidR="00333D02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年项目支出情况说明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八、关于</w:t>
      </w:r>
      <w:r w:rsidR="00333D02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九、关于</w:t>
      </w:r>
      <w:r w:rsidR="00333D02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乌鲁木齐市水磨沟区人民法院</w:t>
      </w:r>
      <w:r w:rsidR="00220D67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2016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年政府性基金预算拨款情况说明</w:t>
      </w:r>
    </w:p>
    <w:p w:rsidR="00BD5383" w:rsidRPr="000357D3" w:rsidRDefault="00BD5383" w:rsidP="00E11215">
      <w:pPr>
        <w:widowControl/>
        <w:spacing w:line="4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十、其他重要事项的情况说明</w:t>
      </w:r>
    </w:p>
    <w:p w:rsidR="00BD5383" w:rsidRPr="000357D3" w:rsidRDefault="00BD5383" w:rsidP="00780640">
      <w:pPr>
        <w:widowControl/>
        <w:spacing w:line="460" w:lineRule="exact"/>
        <w:outlineLvl w:val="1"/>
        <w:rPr>
          <w:rFonts w:ascii="仿宋_GB2312" w:eastAsia="仿宋_GB2312" w:hAnsi="仿宋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="仿宋" w:hint="eastAsia"/>
          <w:b/>
          <w:color w:val="171717" w:themeColor="background2" w:themeShade="1A"/>
          <w:kern w:val="0"/>
          <w:sz w:val="32"/>
          <w:szCs w:val="32"/>
        </w:rPr>
        <w:t>第四部分  名词解释</w:t>
      </w:r>
    </w:p>
    <w:p w:rsidR="002E727D" w:rsidRPr="000357D3" w:rsidRDefault="002E727D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br w:type="page"/>
      </w:r>
    </w:p>
    <w:p w:rsidR="00BD5383" w:rsidRPr="000357D3" w:rsidRDefault="00BD5383" w:rsidP="002E727D">
      <w:pPr>
        <w:pStyle w:val="1"/>
        <w:spacing w:before="240"/>
        <w:rPr>
          <w:color w:val="171717" w:themeColor="background2" w:themeShade="1A"/>
        </w:rPr>
      </w:pPr>
      <w:r w:rsidRPr="000357D3">
        <w:rPr>
          <w:rFonts w:hint="eastAsia"/>
          <w:color w:val="171717" w:themeColor="background2" w:themeShade="1A"/>
        </w:rPr>
        <w:lastRenderedPageBreak/>
        <w:t>第一部分</w:t>
      </w:r>
      <w:r w:rsidR="00F6789F" w:rsidRPr="000357D3">
        <w:rPr>
          <w:rFonts w:hint="eastAsia"/>
          <w:color w:val="171717" w:themeColor="background2" w:themeShade="1A"/>
        </w:rPr>
        <w:t>乌鲁木齐市水磨沟区人民法院</w:t>
      </w:r>
      <w:r w:rsidRPr="000357D3">
        <w:rPr>
          <w:rFonts w:hint="eastAsia"/>
          <w:color w:val="171717" w:themeColor="background2" w:themeShade="1A"/>
        </w:rPr>
        <w:t>单位概况</w:t>
      </w:r>
    </w:p>
    <w:p w:rsidR="00F6789F" w:rsidRPr="000357D3" w:rsidRDefault="00F6789F" w:rsidP="00F6789F">
      <w:pPr>
        <w:rPr>
          <w:color w:val="171717" w:themeColor="background2" w:themeShade="1A"/>
        </w:rPr>
      </w:pPr>
    </w:p>
    <w:p w:rsidR="00BD5383" w:rsidRPr="000357D3" w:rsidRDefault="00BD5383" w:rsidP="00E11215">
      <w:pPr>
        <w:rPr>
          <w:b/>
          <w:color w:val="171717" w:themeColor="background2" w:themeShade="1A"/>
          <w:sz w:val="30"/>
          <w:szCs w:val="30"/>
        </w:rPr>
      </w:pPr>
      <w:r w:rsidRPr="000357D3">
        <w:rPr>
          <w:rFonts w:hint="eastAsia"/>
          <w:b/>
          <w:color w:val="171717" w:themeColor="background2" w:themeShade="1A"/>
          <w:sz w:val="30"/>
          <w:szCs w:val="30"/>
        </w:rPr>
        <w:t>一、主要职能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1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依法审判法律规定由本级人民法院管辖的第一审刑事、民事、行政案件。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2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受理不服本院已经发生法律效力的判决、裁定的申诉和申请再审案件，处理当事人涉诉涉法信访上访案件。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3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接受上级法院交办的案件。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4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依法行使司法执行权和司法决定权。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5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对案件审理中发现的问题提出司法建议。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6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组织本院法官与其他法院间的司法交流活动。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7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抓好本院的思想政治教育、业务教育培训、党建工作、文化建设工作和工青妇工作；按照权限管理本院法官、其他工作人员和聘用人员。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8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结合审判业务，开展平安社区建设和法制宣传。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9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对人民调解组织和街道司法助理员进行业务指导。</w:t>
      </w:r>
    </w:p>
    <w:p w:rsidR="00CF35BC" w:rsidRPr="000357D3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1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．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承担由区委下达的维护辖区稳定工作任务。</w:t>
      </w:r>
    </w:p>
    <w:p w:rsidR="00BD5383" w:rsidRPr="000357D3" w:rsidRDefault="00BD5383" w:rsidP="002E727D">
      <w:pPr>
        <w:pStyle w:val="2"/>
        <w:ind w:firstLine="301"/>
        <w:rPr>
          <w:color w:val="171717" w:themeColor="background2" w:themeShade="1A"/>
        </w:rPr>
      </w:pPr>
      <w:r w:rsidRPr="000357D3">
        <w:rPr>
          <w:rFonts w:hint="eastAsia"/>
          <w:color w:val="171717" w:themeColor="background2" w:themeShade="1A"/>
        </w:rPr>
        <w:t>二、机构设置及人员情况</w:t>
      </w:r>
    </w:p>
    <w:p w:rsidR="009A7A78" w:rsidRPr="009A7A78" w:rsidRDefault="00CF35BC" w:rsidP="00780640">
      <w:pPr>
        <w:spacing w:line="460" w:lineRule="exact"/>
        <w:ind w:firstLineChars="200" w:firstLine="560"/>
        <w:rPr>
          <w:rFonts w:asciiTheme="minorEastAsia" w:eastAsiaTheme="minorEastAsia" w:hAnsiTheme="minorEastAsia" w:hint="eastAsia"/>
          <w:color w:val="2B2B2B"/>
          <w:spacing w:val="14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根据职责，纳入新疆乌鲁木齐市水磨沟区人民法院</w:t>
      </w:r>
      <w:r w:rsidR="00220D67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2016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年部门决算编制范围的有厅机关内设的</w:t>
      </w:r>
      <w:r w:rsidR="00220D6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13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个机构。</w:t>
      </w:r>
      <w:r w:rsidR="009A7A78" w:rsidRPr="009A7A78">
        <w:rPr>
          <w:rFonts w:ascii="宋体" w:hAnsi="宋体" w:hint="eastAsia"/>
          <w:color w:val="2B2B2B"/>
          <w:spacing w:val="14"/>
          <w:sz w:val="28"/>
          <w:szCs w:val="28"/>
        </w:rPr>
        <w:t>包括监察科、办公室、政工科、研究室、民一庭、民二庭、民三庭、少年庭、刑庭、行政庭、审监庭、立案庭、执行局、法警队。</w:t>
      </w:r>
    </w:p>
    <w:p w:rsidR="00CF35BC" w:rsidRPr="000357D3" w:rsidRDefault="00CF35BC" w:rsidP="009A7A78">
      <w:pPr>
        <w:spacing w:line="4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新疆乌鲁木齐市水磨沟区人民法院编制人数114人，其中：行政人员编制110人，参照公务员管理的事业单位人员编制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4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人。新疆乌鲁木齐市水磨沟区人民法院实有在职人数10</w:t>
      </w:r>
      <w:r w:rsidR="00EE1DD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9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人，其中：行政人员编制10</w:t>
      </w:r>
      <w:r w:rsidR="00EE1DD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人，参照公务员管理的事业单位人员编制4人。</w:t>
      </w:r>
    </w:p>
    <w:p w:rsidR="00BD5383" w:rsidRPr="000357D3" w:rsidRDefault="002E727D" w:rsidP="00780640">
      <w:pPr>
        <w:pStyle w:val="1"/>
        <w:spacing w:beforeLines="0" w:line="560" w:lineRule="exact"/>
        <w:rPr>
          <w:color w:val="171717" w:themeColor="background2" w:themeShade="1A"/>
        </w:rPr>
      </w:pPr>
      <w:r w:rsidRPr="000357D3"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br w:type="page"/>
      </w:r>
      <w:r w:rsidR="00BD5383" w:rsidRPr="000357D3">
        <w:rPr>
          <w:rFonts w:ascii="黑体" w:eastAsia="黑体" w:hAnsi="黑体" w:hint="eastAsia"/>
          <w:b w:val="0"/>
          <w:color w:val="171717" w:themeColor="background2" w:themeShade="1A"/>
        </w:rPr>
        <w:lastRenderedPageBreak/>
        <w:t xml:space="preserve">第二部分 </w:t>
      </w:r>
      <w:r w:rsidR="007C2791" w:rsidRPr="000357D3">
        <w:rPr>
          <w:rFonts w:ascii="黑体" w:eastAsia="黑体" w:hAnsi="黑体" w:hint="eastAsia"/>
          <w:b w:val="0"/>
          <w:color w:val="171717" w:themeColor="background2" w:themeShade="1A"/>
        </w:rPr>
        <w:t>乌鲁木齐市水磨沟区人民法院</w:t>
      </w:r>
      <w:r w:rsidR="00220D67">
        <w:rPr>
          <w:rFonts w:ascii="黑体" w:eastAsia="黑体" w:hAnsi="黑体" w:hint="eastAsia"/>
          <w:b w:val="0"/>
          <w:color w:val="171717" w:themeColor="background2" w:themeShade="1A"/>
        </w:rPr>
        <w:t>2016</w:t>
      </w:r>
      <w:r w:rsidR="00BD5383" w:rsidRPr="000357D3">
        <w:rPr>
          <w:rFonts w:ascii="黑体" w:eastAsia="黑体" w:hAnsi="黑体" w:hint="eastAsia"/>
          <w:b w:val="0"/>
          <w:color w:val="171717" w:themeColor="background2" w:themeShade="1A"/>
        </w:rPr>
        <w:t>年部门预算公开表</w:t>
      </w:r>
    </w:p>
    <w:p w:rsidR="00BD5383" w:rsidRPr="000357D3" w:rsidRDefault="00BD5383" w:rsidP="00B67107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表</w:t>
      </w:r>
      <w:proofErr w:type="gramStart"/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一</w:t>
      </w:r>
      <w:proofErr w:type="gramEnd"/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p w:rsidR="00F6789F" w:rsidRPr="000357D3" w:rsidRDefault="00BD5383" w:rsidP="00F6789F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部门收支总体情况表</w:t>
      </w:r>
    </w:p>
    <w:p w:rsidR="00BD5383" w:rsidRPr="000357D3" w:rsidRDefault="00BD5383" w:rsidP="00780640">
      <w:pPr>
        <w:widowControl/>
        <w:spacing w:line="3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</w:t>
      </w:r>
      <w:r w:rsidR="00F6789F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乌鲁木齐市水磨沟区人民法院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       </w:t>
      </w:r>
      <w:r w:rsidR="00C40F98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    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 单位：万元</w:t>
      </w:r>
    </w:p>
    <w:tbl>
      <w:tblPr>
        <w:tblW w:w="8931" w:type="dxa"/>
        <w:jc w:val="center"/>
        <w:tblInd w:w="-176" w:type="dxa"/>
        <w:tblLook w:val="04A0"/>
      </w:tblPr>
      <w:tblGrid>
        <w:gridCol w:w="2549"/>
        <w:gridCol w:w="1704"/>
        <w:gridCol w:w="2977"/>
        <w:gridCol w:w="1701"/>
      </w:tblGrid>
      <w:tr w:rsidR="00BD5383" w:rsidRPr="000357D3" w:rsidTr="00C40F98">
        <w:trPr>
          <w:trHeight w:val="36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     出</w:t>
            </w:r>
          </w:p>
        </w:tc>
      </w:tr>
      <w:tr w:rsidR="00BD5383" w:rsidRPr="000357D3" w:rsidTr="00C40F98">
        <w:trPr>
          <w:trHeight w:hRule="exact" w:val="38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223AAB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223AAB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非税收入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223AAB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结余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223AAB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223AAB" w:rsidP="00780640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</w:tr>
    </w:tbl>
    <w:p w:rsidR="00BD5383" w:rsidRPr="000357D3" w:rsidRDefault="002E727D" w:rsidP="00B67107">
      <w:pPr>
        <w:widowControl/>
        <w:spacing w:beforeLines="50" w:line="300" w:lineRule="auto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  <w:br w:type="page"/>
      </w:r>
      <w:r w:rsidR="00BD5383"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表二：</w:t>
      </w:r>
    </w:p>
    <w:p w:rsidR="00BD5383" w:rsidRPr="000357D3" w:rsidRDefault="00BD5383" w:rsidP="002E727D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部门收入总体情况表</w:t>
      </w:r>
    </w:p>
    <w:p w:rsidR="00BD5383" w:rsidRPr="000357D3" w:rsidRDefault="00BD5383" w:rsidP="0016683A">
      <w:pPr>
        <w:widowControl/>
        <w:spacing w:line="3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填报部门：</w:t>
      </w:r>
      <w:r w:rsidR="00F6789F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乌鲁木齐市水磨沟区人民法院  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    </w:t>
      </w:r>
      <w:r w:rsidR="00C40F98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           单位：万元</w:t>
      </w:r>
    </w:p>
    <w:tbl>
      <w:tblPr>
        <w:tblW w:w="8976" w:type="dxa"/>
        <w:tblInd w:w="93" w:type="dxa"/>
        <w:tblLook w:val="04A0"/>
      </w:tblPr>
      <w:tblGrid>
        <w:gridCol w:w="535"/>
        <w:gridCol w:w="431"/>
        <w:gridCol w:w="431"/>
        <w:gridCol w:w="1387"/>
        <w:gridCol w:w="1056"/>
        <w:gridCol w:w="1056"/>
        <w:gridCol w:w="680"/>
        <w:gridCol w:w="680"/>
        <w:gridCol w:w="680"/>
        <w:gridCol w:w="680"/>
        <w:gridCol w:w="680"/>
        <w:gridCol w:w="680"/>
      </w:tblGrid>
      <w:tr w:rsidR="00BD5383" w:rsidRPr="000357D3" w:rsidTr="00223AAB">
        <w:trPr>
          <w:trHeight w:val="510"/>
        </w:trPr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功能分类科目编码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功能分类科目名称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总  计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非税收入拨款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其他资金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事业单位经营收入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</w:tr>
      <w:tr w:rsidR="00BD5383" w:rsidRPr="000357D3" w:rsidTr="00223AAB">
        <w:trPr>
          <w:trHeight w:val="18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类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款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项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sz w:val="18"/>
                <w:szCs w:val="18"/>
              </w:rPr>
              <w:t>结转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sz w:val="18"/>
                <w:szCs w:val="18"/>
              </w:rPr>
              <w:t>结余</w:t>
            </w:r>
          </w:p>
        </w:tc>
      </w:tr>
      <w:tr w:rsidR="00BD5383" w:rsidRPr="000357D3" w:rsidTr="00223AA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3A5CAD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3A5CAD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3A5CAD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3A5CAD" w:rsidP="00B3575B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行政运行（法院）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83" w:rsidRPr="000357D3" w:rsidRDefault="00223AAB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1904.67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83" w:rsidRPr="000357D3" w:rsidRDefault="00223AAB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1904.67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BD5383" w:rsidRPr="000357D3" w:rsidTr="00223AA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3A5CAD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3A5CAD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45520D" w:rsidP="0045520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45520D" w:rsidP="00B3575B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其他法院支出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223AAB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496.82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223AAB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496.82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BD5383" w:rsidRPr="000357D3" w:rsidTr="00223AA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45520D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45520D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45520D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45520D" w:rsidP="002E727D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事业运行（法院）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223AAB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64.16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AB" w:rsidRPr="000357D3" w:rsidRDefault="00223AAB" w:rsidP="00223AA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64.16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BD5383" w:rsidRPr="000357D3" w:rsidTr="00223AAB">
        <w:trPr>
          <w:trHeight w:val="4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="宋体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223AAB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2465.65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223AAB" w:rsidP="00223AA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sz w:val="18"/>
                <w:szCs w:val="18"/>
              </w:rPr>
              <w:t>2465.65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</w:tbl>
    <w:p w:rsidR="002E727D" w:rsidRPr="000357D3" w:rsidRDefault="002E727D" w:rsidP="002E727D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2E727D" w:rsidRPr="000357D3" w:rsidRDefault="002E727D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br w:type="page"/>
      </w:r>
    </w:p>
    <w:p w:rsidR="00BD5383" w:rsidRPr="000357D3" w:rsidRDefault="00BD5383" w:rsidP="00B67107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表三：</w:t>
      </w:r>
    </w:p>
    <w:p w:rsidR="00BD5383" w:rsidRPr="000357D3" w:rsidRDefault="00BD5383" w:rsidP="002E727D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部门支出总体情况表</w:t>
      </w:r>
    </w:p>
    <w:p w:rsidR="00F6789F" w:rsidRPr="000357D3" w:rsidRDefault="00F6789F" w:rsidP="0016683A">
      <w:pPr>
        <w:widowControl/>
        <w:spacing w:line="3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编制部门：乌鲁木齐市水磨沟区人民法院                  单位：万元</w:t>
      </w:r>
    </w:p>
    <w:tbl>
      <w:tblPr>
        <w:tblW w:w="9229" w:type="dxa"/>
        <w:jc w:val="center"/>
        <w:tblInd w:w="93" w:type="dxa"/>
        <w:tblLook w:val="04A0"/>
      </w:tblPr>
      <w:tblGrid>
        <w:gridCol w:w="579"/>
        <w:gridCol w:w="458"/>
        <w:gridCol w:w="458"/>
        <w:gridCol w:w="2498"/>
        <w:gridCol w:w="1794"/>
        <w:gridCol w:w="1795"/>
        <w:gridCol w:w="1647"/>
      </w:tblGrid>
      <w:tr w:rsidR="00BD5383" w:rsidRPr="000357D3" w:rsidTr="00C40F98">
        <w:trPr>
          <w:trHeight w:val="345"/>
          <w:jc w:val="center"/>
        </w:trPr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支出预算</w:t>
            </w:r>
          </w:p>
        </w:tc>
      </w:tr>
      <w:tr w:rsidR="00BD5383" w:rsidRPr="000357D3" w:rsidTr="00C40F98">
        <w:trPr>
          <w:trHeight w:val="480"/>
          <w:jc w:val="center"/>
        </w:trPr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BD5383" w:rsidRPr="000357D3" w:rsidTr="00C40F98">
        <w:trPr>
          <w:trHeight w:val="27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40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383" w:rsidRPr="000357D3" w:rsidRDefault="0061674D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204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383" w:rsidRPr="000357D3" w:rsidRDefault="0061674D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383" w:rsidRPr="000357D3" w:rsidRDefault="0061674D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01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61674D" w:rsidP="004543F2">
            <w:pPr>
              <w:widowControl/>
              <w:spacing w:line="300" w:lineRule="auto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行政运行（法院）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34AD8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1904.67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34AD8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1904.67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543F2" w:rsidRPr="000357D3" w:rsidTr="00C40F98">
        <w:trPr>
          <w:trHeight w:val="40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F2" w:rsidRPr="000357D3" w:rsidRDefault="004543F2" w:rsidP="004543F2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F2" w:rsidRPr="000357D3" w:rsidRDefault="004543F2" w:rsidP="004543F2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F2" w:rsidRPr="000357D3" w:rsidRDefault="004543F2" w:rsidP="004543F2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F2" w:rsidRPr="000357D3" w:rsidRDefault="004543F2" w:rsidP="004543F2">
            <w:pPr>
              <w:widowControl/>
              <w:spacing w:line="300" w:lineRule="auto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事业运行（法院）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F2" w:rsidRPr="000357D3" w:rsidRDefault="00A34AD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64.16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F2" w:rsidRPr="000357D3" w:rsidRDefault="00A34AD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64.16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F2" w:rsidRPr="000357D3" w:rsidRDefault="004543F2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4543F2" w:rsidRPr="000357D3" w:rsidTr="00C40F98">
        <w:trPr>
          <w:trHeight w:val="40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F2" w:rsidRPr="000357D3" w:rsidRDefault="004543F2" w:rsidP="004543F2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F2" w:rsidRPr="000357D3" w:rsidRDefault="004543F2" w:rsidP="004543F2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3F2" w:rsidRPr="000357D3" w:rsidRDefault="004543F2" w:rsidP="004543F2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F2" w:rsidRPr="000357D3" w:rsidRDefault="004543F2" w:rsidP="004543F2">
            <w:pPr>
              <w:widowControl/>
              <w:spacing w:line="300" w:lineRule="auto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其他法院支出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F2" w:rsidRPr="000357D3" w:rsidRDefault="00A34AD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496.82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F2" w:rsidRPr="000357D3" w:rsidRDefault="004543F2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F2" w:rsidRPr="000357D3" w:rsidRDefault="00A34AD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496.82</w:t>
            </w:r>
          </w:p>
        </w:tc>
      </w:tr>
      <w:tr w:rsidR="00BD5383" w:rsidRPr="000357D3" w:rsidTr="00C40F98">
        <w:trPr>
          <w:trHeight w:val="40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34AD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34AD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1968.83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34AD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496.82</w:t>
            </w:r>
          </w:p>
        </w:tc>
      </w:tr>
    </w:tbl>
    <w:p w:rsidR="002E727D" w:rsidRPr="000357D3" w:rsidRDefault="002E727D" w:rsidP="00B67107">
      <w:pPr>
        <w:widowControl/>
        <w:spacing w:beforeLines="50" w:line="300" w:lineRule="auto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2E727D" w:rsidRPr="000357D3" w:rsidRDefault="002E727D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  <w:br w:type="page"/>
      </w:r>
    </w:p>
    <w:p w:rsidR="00BD5383" w:rsidRPr="000357D3" w:rsidRDefault="00BD5383" w:rsidP="00B67107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表四：</w:t>
      </w:r>
    </w:p>
    <w:p w:rsidR="00BD5383" w:rsidRPr="000357D3" w:rsidRDefault="00BD5383" w:rsidP="0016683A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财政拨款收支预算总体情况表</w:t>
      </w:r>
    </w:p>
    <w:p w:rsidR="00BD5383" w:rsidRPr="000357D3" w:rsidRDefault="00BD5383" w:rsidP="0016683A">
      <w:pPr>
        <w:widowControl/>
        <w:spacing w:line="3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</w:t>
      </w:r>
      <w:r w:rsidR="00F6789F"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乌鲁木齐市水磨沟区人民法院</w:t>
      </w: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         单位：万元</w:t>
      </w:r>
    </w:p>
    <w:tbl>
      <w:tblPr>
        <w:tblW w:w="9229" w:type="dxa"/>
        <w:jc w:val="center"/>
        <w:tblInd w:w="93" w:type="dxa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BD5383" w:rsidRPr="000357D3" w:rsidTr="00C40F98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BD5383" w:rsidRPr="000357D3" w:rsidTr="00C40F98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91C45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2465.65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2E727D" w:rsidRPr="000357D3" w:rsidRDefault="002E727D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br w:type="page"/>
      </w:r>
    </w:p>
    <w:p w:rsidR="00BD5383" w:rsidRPr="000357D3" w:rsidRDefault="00BD5383" w:rsidP="00B67107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表五：</w:t>
      </w:r>
    </w:p>
    <w:tbl>
      <w:tblPr>
        <w:tblW w:w="9217" w:type="dxa"/>
        <w:jc w:val="center"/>
        <w:tblInd w:w="93" w:type="dxa"/>
        <w:tblLook w:val="04A0"/>
      </w:tblPr>
      <w:tblGrid>
        <w:gridCol w:w="531"/>
        <w:gridCol w:w="492"/>
        <w:gridCol w:w="457"/>
        <w:gridCol w:w="2510"/>
        <w:gridCol w:w="1684"/>
        <w:gridCol w:w="1842"/>
        <w:gridCol w:w="1701"/>
      </w:tblGrid>
      <w:tr w:rsidR="00BD5383" w:rsidRPr="000357D3" w:rsidTr="00C40F98">
        <w:trPr>
          <w:trHeight w:val="450"/>
          <w:jc w:val="center"/>
        </w:trPr>
        <w:tc>
          <w:tcPr>
            <w:tcW w:w="9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32"/>
                <w:szCs w:val="32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F6789F" w:rsidRPr="000357D3" w:rsidRDefault="00F6789F" w:rsidP="0016683A">
            <w:pPr>
              <w:widowControl/>
              <w:spacing w:line="360" w:lineRule="exact"/>
              <w:outlineLvl w:val="1"/>
              <w:rPr>
                <w:rFonts w:asciiTheme="minorEastAsia" w:eastAsiaTheme="minorEastAsia" w:hAnsiTheme="minorEastAsia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编制部门：乌鲁木齐市水磨沟区人民法院                   单位：万元</w:t>
            </w:r>
          </w:p>
        </w:tc>
      </w:tr>
      <w:tr w:rsidR="00BD5383" w:rsidRPr="000357D3" w:rsidTr="00C40F98">
        <w:trPr>
          <w:trHeight w:val="405"/>
          <w:jc w:val="center"/>
        </w:trPr>
        <w:tc>
          <w:tcPr>
            <w:tcW w:w="3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BD5383" w:rsidRPr="000357D3" w:rsidTr="00C40F98">
        <w:trPr>
          <w:trHeight w:val="465"/>
          <w:jc w:val="center"/>
        </w:trPr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BD5383" w:rsidRPr="000357D3" w:rsidTr="00C40F98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173615" w:rsidRPr="000357D3" w:rsidTr="00C40F98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F6789F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行政运行（法院）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15" w:rsidRPr="000357D3" w:rsidRDefault="00DF179B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1904.67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15" w:rsidRPr="000357D3" w:rsidRDefault="00DF179B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1904.67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15" w:rsidRPr="000357D3" w:rsidRDefault="00173615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173615" w:rsidRPr="000357D3" w:rsidTr="00C40F98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F6789F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事业运行（法院）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15" w:rsidRPr="000357D3" w:rsidRDefault="00DF179B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64.16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15" w:rsidRPr="000357D3" w:rsidRDefault="00DF179B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64.16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15" w:rsidRPr="000357D3" w:rsidRDefault="00173615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173615" w:rsidRPr="000357D3" w:rsidTr="00C40F98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F6789F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其他法院支出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DF179B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496.82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DF179B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496.82</w:t>
            </w:r>
          </w:p>
        </w:tc>
      </w:tr>
      <w:tr w:rsidR="00173615" w:rsidRPr="000357D3" w:rsidTr="00C40F98">
        <w:trPr>
          <w:trHeight w:val="45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173615" w:rsidP="00173615">
            <w:pPr>
              <w:jc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DF179B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2465.65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DF179B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1968.83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615" w:rsidRPr="000357D3" w:rsidRDefault="00DF179B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496.82</w:t>
            </w:r>
          </w:p>
        </w:tc>
      </w:tr>
    </w:tbl>
    <w:p w:rsidR="002E727D" w:rsidRPr="000357D3" w:rsidRDefault="002E727D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  <w:br w:type="page"/>
      </w:r>
    </w:p>
    <w:p w:rsidR="00BD5383" w:rsidRPr="000357D3" w:rsidRDefault="00BD5383" w:rsidP="00B67107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表六：</w:t>
      </w:r>
    </w:p>
    <w:tbl>
      <w:tblPr>
        <w:tblW w:w="9147" w:type="dxa"/>
        <w:jc w:val="center"/>
        <w:tblInd w:w="93" w:type="dxa"/>
        <w:tblLook w:val="04A0"/>
      </w:tblPr>
      <w:tblGrid>
        <w:gridCol w:w="576"/>
        <w:gridCol w:w="577"/>
        <w:gridCol w:w="3398"/>
        <w:gridCol w:w="1418"/>
        <w:gridCol w:w="1477"/>
        <w:gridCol w:w="1701"/>
      </w:tblGrid>
      <w:tr w:rsidR="00BD5383" w:rsidRPr="000357D3" w:rsidTr="00C40F98">
        <w:trPr>
          <w:trHeight w:val="375"/>
          <w:jc w:val="center"/>
        </w:trPr>
        <w:tc>
          <w:tcPr>
            <w:tcW w:w="9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32"/>
                <w:szCs w:val="32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32"/>
                <w:szCs w:val="32"/>
              </w:rPr>
              <w:t>一般公共预算基本支出情况表</w:t>
            </w:r>
          </w:p>
          <w:p w:rsidR="00F6789F" w:rsidRPr="000357D3" w:rsidRDefault="00F6789F" w:rsidP="0016683A">
            <w:pPr>
              <w:widowControl/>
              <w:spacing w:line="360" w:lineRule="exact"/>
              <w:outlineLvl w:val="1"/>
              <w:rPr>
                <w:rFonts w:asciiTheme="minorEastAsia" w:eastAsiaTheme="minorEastAsia" w:hAnsiTheme="minorEastAsia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编制部门：乌鲁木齐市水磨沟区人民法院                   单位：万元</w:t>
            </w:r>
          </w:p>
        </w:tc>
      </w:tr>
      <w:tr w:rsidR="00BD5383" w:rsidRPr="000357D3" w:rsidTr="00C40F98">
        <w:trPr>
          <w:trHeight w:val="390"/>
          <w:jc w:val="center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BD5383" w:rsidRPr="000357D3" w:rsidTr="00C40F98">
        <w:trPr>
          <w:trHeight w:val="495"/>
          <w:jc w:val="center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公用经费</w:t>
            </w:r>
          </w:p>
        </w:tc>
      </w:tr>
      <w:tr w:rsidR="00BD5383" w:rsidRPr="000357D3" w:rsidTr="00C40F98">
        <w:trPr>
          <w:trHeight w:val="2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B1F41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2E727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279.19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F6CA9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279.19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433.26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F6CA9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433.26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奖金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23.27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F6CA9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4B063C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331.61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F6CA9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331.61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17.26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F6CA9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17.26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8647F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7F" w:rsidRPr="000357D3" w:rsidRDefault="00E8647F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7F" w:rsidRPr="000357D3" w:rsidRDefault="00E8647F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7F" w:rsidRPr="000357D3" w:rsidRDefault="00E8647F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7F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9.74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7F" w:rsidRPr="000357D3" w:rsidRDefault="007F6CA9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9.74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7F" w:rsidRPr="000357D3" w:rsidRDefault="00E8647F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5.02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4B063C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5.02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B1F41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16.35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16.35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水费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2.62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2.62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电费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4.58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4.58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8.4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8.4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办公取暖费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15.18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15.18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103.55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103.55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16.35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16.35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维修(护)费(含其他维修)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6.28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6.28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6.51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6.51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0.64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0.64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4.35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4.35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18.24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18.24</w:t>
            </w:r>
          </w:p>
        </w:tc>
      </w:tr>
      <w:tr w:rsidR="00756378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其他商品服务支出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28.99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756378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378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28.99</w:t>
            </w:r>
          </w:p>
        </w:tc>
      </w:tr>
      <w:tr w:rsidR="00AB1F41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41" w:rsidRPr="000357D3" w:rsidRDefault="00AB1F41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E0A3C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CE0A3C" w:rsidP="00CE0A3C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CE0A3C" w:rsidP="00CE0A3C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CE0A3C" w:rsidP="00CE0A3C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5D3EDA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113.26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5D3EDA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113.26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E0A3C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CE0A3C" w:rsidP="00CE0A3C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CE0A3C" w:rsidP="00CE0A3C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CE0A3C" w:rsidP="00CE0A3C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5D3EDA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398.07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5D3EDA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398.07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F6CA9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B91E9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B91E9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B91E9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5D3EDA" w:rsidP="00B91E9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112.31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5D3EDA" w:rsidP="00B91E9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112.31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B91E9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F6CA9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CE0A3C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CE0A3C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CE0A3C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采暖补贴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5D3EDA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11.96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5D3EDA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11.96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F6CA9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756378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1.84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5D3EDA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1.84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CA9" w:rsidRPr="000357D3" w:rsidRDefault="007F6CA9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7F6CA9" w:rsidRPr="000357D3" w:rsidTr="00C40F98">
        <w:trPr>
          <w:trHeight w:val="4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A9" w:rsidRPr="000357D3" w:rsidRDefault="007F6CA9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A9" w:rsidRPr="000357D3" w:rsidRDefault="007F6CA9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A9" w:rsidRPr="000357D3" w:rsidRDefault="007F6CA9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A9" w:rsidRPr="000357D3" w:rsidRDefault="005D3EDA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1968.83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A9" w:rsidRPr="000357D3" w:rsidRDefault="005D3EDA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1736.79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A9" w:rsidRPr="000357D3" w:rsidRDefault="005D3EDA" w:rsidP="0016683A">
            <w:pPr>
              <w:widowControl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232.04</w:t>
            </w:r>
          </w:p>
        </w:tc>
      </w:tr>
    </w:tbl>
    <w:p w:rsidR="00BD5383" w:rsidRPr="000357D3" w:rsidRDefault="00BD5383" w:rsidP="002E727D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2E727D" w:rsidRPr="000357D3" w:rsidRDefault="002E727D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  <w:br w:type="page"/>
      </w:r>
    </w:p>
    <w:p w:rsidR="00BD5383" w:rsidRPr="000357D3" w:rsidRDefault="00BD5383" w:rsidP="00B67107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表七：</w:t>
      </w:r>
    </w:p>
    <w:tbl>
      <w:tblPr>
        <w:tblW w:w="11041" w:type="dxa"/>
        <w:jc w:val="center"/>
        <w:tblLook w:val="04A0"/>
      </w:tblPr>
      <w:tblGrid>
        <w:gridCol w:w="531"/>
        <w:gridCol w:w="457"/>
        <w:gridCol w:w="457"/>
        <w:gridCol w:w="851"/>
        <w:gridCol w:w="1456"/>
        <w:gridCol w:w="936"/>
        <w:gridCol w:w="910"/>
        <w:gridCol w:w="756"/>
        <w:gridCol w:w="816"/>
        <w:gridCol w:w="790"/>
        <w:gridCol w:w="698"/>
        <w:gridCol w:w="457"/>
        <w:gridCol w:w="698"/>
        <w:gridCol w:w="457"/>
        <w:gridCol w:w="457"/>
        <w:gridCol w:w="384"/>
        <w:gridCol w:w="14"/>
      </w:tblGrid>
      <w:tr w:rsidR="00BD5383" w:rsidRPr="000357D3" w:rsidTr="0013013A">
        <w:trPr>
          <w:gridAfter w:val="1"/>
          <w:wAfter w:w="68" w:type="dxa"/>
          <w:trHeight w:val="375"/>
          <w:jc w:val="center"/>
        </w:trPr>
        <w:tc>
          <w:tcPr>
            <w:tcW w:w="109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32"/>
                <w:szCs w:val="32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32"/>
                <w:szCs w:val="32"/>
              </w:rPr>
              <w:t>一般公共预算项目支出情况表</w:t>
            </w:r>
          </w:p>
          <w:p w:rsidR="00F6789F" w:rsidRPr="000357D3" w:rsidRDefault="00F6789F" w:rsidP="0016683A">
            <w:pPr>
              <w:widowControl/>
              <w:spacing w:line="360" w:lineRule="exact"/>
              <w:outlineLvl w:val="1"/>
              <w:rPr>
                <w:rFonts w:asciiTheme="minorEastAsia" w:eastAsiaTheme="minorEastAsia" w:hAnsiTheme="minorEastAsia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编制部门：乌鲁木齐市水磨沟区人民法院                   单位：万元</w:t>
            </w:r>
          </w:p>
        </w:tc>
      </w:tr>
      <w:tr w:rsidR="00BD5383" w:rsidRPr="000357D3" w:rsidTr="001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445" w:type="dxa"/>
            <w:gridSpan w:val="3"/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spacing w:line="300" w:lineRule="auto"/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57" w:type="dxa"/>
            <w:gridSpan w:val="2"/>
            <w:vMerge w:val="restart"/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</w:tr>
      <w:tr w:rsidR="00BD5383" w:rsidRPr="000357D3" w:rsidTr="001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E0A3C" w:rsidRPr="000357D3" w:rsidTr="001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CE0A3C" w:rsidRPr="000357D3" w:rsidRDefault="00CE0A3C" w:rsidP="00C1490C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C1490C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C1490C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0A3C" w:rsidRPr="000357D3" w:rsidRDefault="00CE0A3C" w:rsidP="00C1490C">
            <w:pPr>
              <w:widowControl/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其他法院支出</w:t>
            </w: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CE0A3C" w:rsidRPr="000357D3" w:rsidRDefault="00CE0A3C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CE0A3C" w:rsidRPr="000357D3" w:rsidTr="001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CE0A3C" w:rsidRPr="000357D3" w:rsidRDefault="00CE0A3C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0A3C" w:rsidRPr="000357D3" w:rsidRDefault="00CE0A3C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CE0A3C" w:rsidRPr="000357D3" w:rsidRDefault="00220D67" w:rsidP="0016683A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2016</w:t>
            </w:r>
            <w:r w:rsidR="00CE0A3C"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年临时聘用人员经费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E0A3C" w:rsidRPr="000357D3" w:rsidRDefault="005E0C22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182.62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CE0A3C" w:rsidRPr="000357D3" w:rsidRDefault="005E0C22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182.62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  <w:hideMark/>
          </w:tcPr>
          <w:p w:rsidR="00CE0A3C" w:rsidRPr="000357D3" w:rsidRDefault="00CE0A3C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66569" w:rsidRPr="000357D3" w:rsidTr="001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66569" w:rsidRPr="000357D3" w:rsidRDefault="00A66569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6569" w:rsidRPr="000357D3" w:rsidRDefault="00A66569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A66569" w:rsidRPr="000357D3" w:rsidRDefault="004C6828" w:rsidP="0016683A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案款返还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A66569" w:rsidRPr="000357D3" w:rsidRDefault="005E0C22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116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66569" w:rsidRPr="000357D3" w:rsidRDefault="005E0C22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116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66569" w:rsidRPr="000357D3" w:rsidTr="001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66569" w:rsidRPr="000357D3" w:rsidRDefault="00A66569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66569" w:rsidRPr="000357D3" w:rsidRDefault="00A66569" w:rsidP="00C1490C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临时聘用司机、安保等</w:t>
            </w:r>
            <w:proofErr w:type="gramStart"/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人员维稳补助</w:t>
            </w:r>
            <w:proofErr w:type="gramEnd"/>
            <w:r w:rsidRPr="000357D3"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经费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A66569" w:rsidRPr="000357D3" w:rsidRDefault="005E0C22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55.2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66569" w:rsidRPr="000357D3" w:rsidRDefault="005E0C22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55.2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9E3356" w:rsidRPr="000357D3" w:rsidTr="001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1" w:type="dxa"/>
            <w:shd w:val="clear" w:color="auto" w:fill="auto"/>
            <w:hideMark/>
          </w:tcPr>
          <w:p w:rsidR="009E3356" w:rsidRPr="000357D3" w:rsidRDefault="009E3356" w:rsidP="00A66569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hideMark/>
          </w:tcPr>
          <w:p w:rsidR="009E3356" w:rsidRPr="000357D3" w:rsidRDefault="009E3356" w:rsidP="00A66569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hideMark/>
          </w:tcPr>
          <w:p w:rsidR="009E3356" w:rsidRPr="000357D3" w:rsidRDefault="009E3356" w:rsidP="00A66569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E3356" w:rsidRPr="000357D3" w:rsidRDefault="009E3356" w:rsidP="00A66569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办案经费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E3356" w:rsidRPr="000357D3" w:rsidRDefault="005E0C22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143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9E3356" w:rsidRPr="000357D3" w:rsidRDefault="005E0C22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143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  <w:hideMark/>
          </w:tcPr>
          <w:p w:rsidR="009E3356" w:rsidRPr="000357D3" w:rsidRDefault="009E3356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66569" w:rsidRPr="000357D3" w:rsidTr="0013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31" w:type="dxa"/>
            <w:shd w:val="clear" w:color="auto" w:fill="auto"/>
            <w:hideMark/>
          </w:tcPr>
          <w:p w:rsidR="00A66569" w:rsidRPr="000357D3" w:rsidRDefault="00A66569" w:rsidP="00A66569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hideMark/>
          </w:tcPr>
          <w:p w:rsidR="00A66569" w:rsidRPr="000357D3" w:rsidRDefault="00A66569" w:rsidP="00A66569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hideMark/>
          </w:tcPr>
          <w:p w:rsidR="00A66569" w:rsidRPr="000357D3" w:rsidRDefault="00A66569" w:rsidP="00A66569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66569" w:rsidRPr="000357D3" w:rsidRDefault="00A66569" w:rsidP="00A66569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A66569" w:rsidRPr="000357D3" w:rsidRDefault="005E0C22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496.82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66569" w:rsidRPr="000357D3" w:rsidRDefault="005E0C22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441.62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A66569" w:rsidRPr="000357D3" w:rsidRDefault="005E0C22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55.2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  <w:vAlign w:val="center"/>
            <w:hideMark/>
          </w:tcPr>
          <w:p w:rsidR="00A66569" w:rsidRPr="000357D3" w:rsidRDefault="00A66569" w:rsidP="0016683A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BD5383" w:rsidRPr="000357D3" w:rsidRDefault="00BD5383" w:rsidP="002E727D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2E727D" w:rsidRPr="000357D3" w:rsidRDefault="002E727D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  <w:br w:type="page"/>
      </w:r>
    </w:p>
    <w:p w:rsidR="00BD5383" w:rsidRPr="000357D3" w:rsidRDefault="00BD5383" w:rsidP="00B67107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表八：</w:t>
      </w:r>
    </w:p>
    <w:p w:rsidR="00BD5383" w:rsidRPr="000357D3" w:rsidRDefault="00BD5383" w:rsidP="002E727D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一般公共预算“三公”经费支出情况表</w:t>
      </w:r>
    </w:p>
    <w:p w:rsidR="00F6789F" w:rsidRPr="000357D3" w:rsidRDefault="00F6789F" w:rsidP="0016683A">
      <w:pPr>
        <w:widowControl/>
        <w:spacing w:line="3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编制部门：乌鲁木齐市水磨沟区人民法院                   单位：万元</w:t>
      </w:r>
    </w:p>
    <w:tbl>
      <w:tblPr>
        <w:tblW w:w="9087" w:type="dxa"/>
        <w:jc w:val="center"/>
        <w:tblInd w:w="93" w:type="dxa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BD5383" w:rsidRPr="000357D3" w:rsidTr="00C40F98">
        <w:trPr>
          <w:trHeight w:val="546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公务接待费</w:t>
            </w:r>
          </w:p>
        </w:tc>
      </w:tr>
      <w:tr w:rsidR="00BD5383" w:rsidRPr="000357D3" w:rsidTr="00C40F98">
        <w:trPr>
          <w:trHeight w:val="81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9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66569" w:rsidP="0016683A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104.19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FE08CE" w:rsidP="0016683A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66569" w:rsidP="0016683A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103.55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FE08CE" w:rsidP="0016683A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66569" w:rsidP="0016683A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103.55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A66569" w:rsidP="0016683A">
            <w:pPr>
              <w:widowControl/>
              <w:spacing w:line="300" w:lineRule="auto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0.64</w:t>
            </w:r>
          </w:p>
        </w:tc>
      </w:tr>
      <w:tr w:rsidR="00BD5383" w:rsidRPr="000357D3" w:rsidTr="00C40F98">
        <w:trPr>
          <w:trHeight w:val="558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5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6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8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2E727D" w:rsidRPr="000357D3" w:rsidRDefault="002E727D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br w:type="page"/>
      </w:r>
    </w:p>
    <w:p w:rsidR="00BD5383" w:rsidRPr="000357D3" w:rsidRDefault="00BD5383" w:rsidP="00B67107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表九：</w:t>
      </w:r>
    </w:p>
    <w:p w:rsidR="00BD5383" w:rsidRPr="000357D3" w:rsidRDefault="00BD5383" w:rsidP="002E727D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政府性基金预算支出情况表</w:t>
      </w:r>
    </w:p>
    <w:p w:rsidR="00F6789F" w:rsidRPr="000357D3" w:rsidRDefault="00F6789F" w:rsidP="0016683A">
      <w:pPr>
        <w:widowControl/>
        <w:spacing w:line="360" w:lineRule="exac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编制部门：乌鲁木齐市水磨沟区人民法院                   单位：万元</w:t>
      </w:r>
    </w:p>
    <w:tbl>
      <w:tblPr>
        <w:tblW w:w="9087" w:type="dxa"/>
        <w:jc w:val="center"/>
        <w:tblInd w:w="93" w:type="dxa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BD5383" w:rsidRPr="000357D3" w:rsidTr="00C40F98">
        <w:trPr>
          <w:trHeight w:val="465"/>
          <w:jc w:val="center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政府性基金预算支出</w:t>
            </w:r>
          </w:p>
        </w:tc>
      </w:tr>
      <w:tr w:rsidR="00BD5383" w:rsidRPr="000357D3" w:rsidTr="00C40F98">
        <w:trPr>
          <w:trHeight w:val="360"/>
          <w:jc w:val="center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BD5383" w:rsidRPr="000357D3" w:rsidTr="00C40F98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D5383" w:rsidRPr="000357D3" w:rsidTr="00C40F98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2E727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83" w:rsidRPr="000357D3" w:rsidRDefault="00BD5383" w:rsidP="001668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BD5383" w:rsidRPr="00D96F70" w:rsidRDefault="00BD5383" w:rsidP="00D96F70">
      <w:pPr>
        <w:widowControl/>
        <w:spacing w:line="300" w:lineRule="auto"/>
        <w:outlineLvl w:val="1"/>
        <w:rPr>
          <w:rFonts w:ascii="仿宋_GB2312" w:eastAsia="仿宋_GB2312" w:hAnsiTheme="minorEastAsia" w:hint="eastAsia"/>
          <w:color w:val="171717" w:themeColor="background2" w:themeShade="1A"/>
          <w:kern w:val="0"/>
          <w:sz w:val="18"/>
          <w:szCs w:val="18"/>
        </w:rPr>
      </w:pPr>
      <w:r w:rsidRPr="000357D3">
        <w:rPr>
          <w:rFonts w:ascii="仿宋_GB2312" w:eastAsia="仿宋_GB2312" w:hAnsiTheme="minorEastAsia" w:hint="eastAsia"/>
          <w:color w:val="171717" w:themeColor="background2" w:themeShade="1A"/>
          <w:kern w:val="0"/>
          <w:sz w:val="18"/>
          <w:szCs w:val="18"/>
        </w:rPr>
        <w:t>备注：无内容应公开空表并说明情况。</w:t>
      </w:r>
    </w:p>
    <w:p w:rsidR="00D96F70" w:rsidRPr="00D96F70" w:rsidRDefault="00D96F70" w:rsidP="002E727D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8"/>
          <w:szCs w:val="28"/>
        </w:rPr>
        <w:sectPr w:rsidR="00D96F70" w:rsidRPr="00D96F70" w:rsidSect="0083132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  <w:r w:rsidRPr="00D96F70">
        <w:rPr>
          <w:rFonts w:asciiTheme="minorEastAsia" w:eastAsiaTheme="minorEastAsia" w:hAnsiTheme="minorEastAsia" w:hint="eastAsia"/>
          <w:color w:val="171717" w:themeColor="background2" w:themeShade="1A"/>
          <w:kern w:val="0"/>
          <w:sz w:val="28"/>
          <w:szCs w:val="28"/>
        </w:rPr>
        <w:t>本单位无政府性基金预算</w:t>
      </w:r>
    </w:p>
    <w:p w:rsidR="00BD5383" w:rsidRPr="000357D3" w:rsidRDefault="00BD5383" w:rsidP="00714FB7">
      <w:pPr>
        <w:pStyle w:val="1"/>
        <w:spacing w:beforeLines="0" w:line="560" w:lineRule="exact"/>
        <w:rPr>
          <w:rFonts w:ascii="黑体" w:eastAsia="黑体" w:hAnsi="黑体"/>
          <w:b w:val="0"/>
          <w:color w:val="171717" w:themeColor="background2" w:themeShade="1A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</w:rPr>
        <w:lastRenderedPageBreak/>
        <w:t xml:space="preserve">第三部分 </w:t>
      </w:r>
      <w:r w:rsidR="007C2791" w:rsidRPr="000357D3">
        <w:rPr>
          <w:rFonts w:ascii="黑体" w:eastAsia="黑体" w:hAnsi="黑体" w:hint="eastAsia"/>
          <w:b w:val="0"/>
          <w:color w:val="171717" w:themeColor="background2" w:themeShade="1A"/>
        </w:rPr>
        <w:t>乌鲁木齐市水磨沟区人民法院</w:t>
      </w:r>
      <w:r w:rsidR="00220D67">
        <w:rPr>
          <w:rFonts w:ascii="黑体" w:eastAsia="黑体" w:hAnsi="黑体" w:hint="eastAsia"/>
          <w:b w:val="0"/>
          <w:color w:val="171717" w:themeColor="background2" w:themeShade="1A"/>
        </w:rPr>
        <w:t>2016</w:t>
      </w:r>
      <w:r w:rsidRPr="000357D3">
        <w:rPr>
          <w:rFonts w:ascii="黑体" w:eastAsia="黑体" w:hAnsi="黑体" w:hint="eastAsia"/>
          <w:b w:val="0"/>
          <w:color w:val="171717" w:themeColor="background2" w:themeShade="1A"/>
        </w:rPr>
        <w:t>年部门预算情况说明</w:t>
      </w:r>
    </w:p>
    <w:p w:rsidR="00BD5383" w:rsidRPr="000357D3" w:rsidRDefault="00220D67" w:rsidP="002E727D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2016</w:t>
      </w:r>
      <w:r w:rsidR="00BD5383" w:rsidRPr="000357D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年部门预算情况说明</w:t>
      </w:r>
    </w:p>
    <w:p w:rsidR="00BD5383" w:rsidRPr="000357D3" w:rsidRDefault="00BD5383" w:rsidP="00714FB7">
      <w:pPr>
        <w:pStyle w:val="2"/>
        <w:spacing w:line="560" w:lineRule="exact"/>
        <w:ind w:firstLineChars="0" w:firstLine="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一、关于</w:t>
      </w:r>
      <w:r w:rsidR="00F6789F"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乌鲁木齐市水磨沟区人民法院</w:t>
      </w:r>
      <w:r w:rsidR="00220D6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年收支预算情况的总体说明</w:t>
      </w:r>
    </w:p>
    <w:p w:rsidR="00BD5383" w:rsidRPr="000357D3" w:rsidRDefault="00BD5383" w:rsidP="00714FB7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按照全口径预算的原则，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乌鲁木齐市水磨沟区人民法院</w:t>
      </w:r>
      <w:r w:rsidR="00220D6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年所有收入和支出均纳入部门预算管理。收支总预算</w:t>
      </w:r>
      <w:r w:rsidR="00471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2465.65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0357D3" w:rsidRDefault="00BD5383" w:rsidP="00714FB7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收入预算包括：一般公共预算、单位上年结</w:t>
      </w:r>
      <w:r w:rsidR="000E66EC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转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（不包括国库集中支付额度结余）等。</w:t>
      </w:r>
    </w:p>
    <w:p w:rsidR="00BD5383" w:rsidRPr="000357D3" w:rsidRDefault="00BD5383" w:rsidP="00714FB7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支出预算包括：公共安全支出、社会保障和就业支出等。</w:t>
      </w:r>
    </w:p>
    <w:p w:rsidR="00BD5383" w:rsidRPr="000357D3" w:rsidRDefault="00BD5383" w:rsidP="00142A6C">
      <w:pPr>
        <w:pStyle w:val="2"/>
        <w:spacing w:line="560" w:lineRule="exact"/>
        <w:ind w:firstLineChars="0" w:firstLine="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二、关于</w:t>
      </w:r>
      <w:r w:rsidR="00F6789F"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乌鲁木齐市水磨沟区人民法院</w:t>
      </w:r>
      <w:r w:rsidR="00220D6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年收入预算情况说明</w:t>
      </w:r>
    </w:p>
    <w:p w:rsidR="00BD5383" w:rsidRPr="000357D3" w:rsidRDefault="00F6789F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乌鲁木齐市水磨沟区人民法院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</w:t>
      </w:r>
      <w:r w:rsidR="00471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2465.65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元，其中：</w:t>
      </w:r>
    </w:p>
    <w:p w:rsidR="004714C4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一般公共预算</w:t>
      </w:r>
      <w:r w:rsidR="00471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2465.65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</w:t>
      </w:r>
      <w:r w:rsidR="00471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增加464.29</w:t>
      </w:r>
      <w:r w:rsidR="004A51A5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万元；</w:t>
      </w:r>
      <w:r w:rsidR="0083132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原因：</w:t>
      </w:r>
      <w:r w:rsidR="00471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2016年我院行政人员增加，工资调增，开始缴纳养老金；退休人员增加，工资数额上升。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非税收入拨款未安排。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基金预算拨款未安排。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财政预算拨款结余结转</w:t>
      </w:r>
      <w:r w:rsidR="00471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0357D3" w:rsidRDefault="00BD5383" w:rsidP="00142A6C">
      <w:pPr>
        <w:pStyle w:val="2"/>
        <w:spacing w:line="560" w:lineRule="exact"/>
        <w:ind w:firstLineChars="0" w:firstLine="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lastRenderedPageBreak/>
        <w:t>三、关于</w:t>
      </w:r>
      <w:r w:rsidR="00F6789F"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乌鲁木齐市水磨沟区人民法院</w:t>
      </w: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单位</w:t>
      </w:r>
      <w:r w:rsidR="00220D6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年支出预算情况说明</w:t>
      </w:r>
    </w:p>
    <w:p w:rsidR="00BD5383" w:rsidRPr="000357D3" w:rsidRDefault="00F6789F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乌鲁木齐市水磨沟区人民法院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</w:t>
      </w:r>
      <w:r w:rsidR="00220D6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年支出预算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2465.65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元，其中：</w:t>
      </w:r>
    </w:p>
    <w:p w:rsidR="00BD5383" w:rsidRPr="003254C4" w:rsidRDefault="00BD5383" w:rsidP="003254C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基本支出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1968.83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万元，比上年增加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379.83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  <w:r w:rsidR="0083132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原因：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2016年我院行政人员增加，工资调增，开始缴纳养老金；退休人员增加，工资数额上升。</w:t>
      </w:r>
    </w:p>
    <w:p w:rsidR="0083132F" w:rsidRDefault="00BD5383" w:rsidP="0083132F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项目支出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496.82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万元，比上年增加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84.46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  <w:r w:rsidR="0083132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原因专项经费增加了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案款返还一项，临聘人员经费增加。</w:t>
      </w:r>
    </w:p>
    <w:p w:rsidR="00BD5383" w:rsidRPr="0083132F" w:rsidRDefault="00BD5383" w:rsidP="0083132F">
      <w:pPr>
        <w:widowControl/>
        <w:spacing w:line="560" w:lineRule="exact"/>
        <w:ind w:firstLineChars="200" w:firstLine="64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32"/>
        </w:rPr>
        <w:t>四、关于</w:t>
      </w:r>
      <w:r w:rsidR="00F6789F" w:rsidRPr="000357D3">
        <w:rPr>
          <w:rFonts w:ascii="黑体" w:eastAsia="黑体" w:hAnsi="黑体" w:hint="eastAsia"/>
          <w:color w:val="171717" w:themeColor="background2" w:themeShade="1A"/>
          <w:sz w:val="32"/>
        </w:rPr>
        <w:t>乌鲁木齐市水磨沟区人民法院</w:t>
      </w:r>
      <w:r w:rsidR="00220D67">
        <w:rPr>
          <w:rFonts w:ascii="黑体" w:eastAsia="黑体" w:hAnsi="黑体" w:hint="eastAsia"/>
          <w:color w:val="171717" w:themeColor="background2" w:themeShade="1A"/>
          <w:sz w:val="32"/>
        </w:rPr>
        <w:t>2016</w:t>
      </w:r>
      <w:r w:rsidRPr="000357D3">
        <w:rPr>
          <w:rFonts w:ascii="黑体" w:eastAsia="黑体" w:hAnsi="黑体" w:hint="eastAsia"/>
          <w:color w:val="171717" w:themeColor="background2" w:themeShade="1A"/>
          <w:sz w:val="32"/>
        </w:rPr>
        <w:t>年财政拨款收支预算情况的总体说明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财政拨款收支总预算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2465.65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收入全部为一般公共预算拨款，无政府性基金预算拨款。</w:t>
      </w:r>
    </w:p>
    <w:p w:rsidR="00BD5383" w:rsidRPr="000357D3" w:rsidRDefault="00BD5383" w:rsidP="00142A6C">
      <w:pPr>
        <w:pStyle w:val="2"/>
        <w:spacing w:line="560" w:lineRule="exact"/>
        <w:ind w:firstLineChars="0" w:firstLine="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五、关于</w:t>
      </w:r>
      <w:r w:rsidR="00F6789F"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乌鲁木齐市水磨沟区人民法院</w:t>
      </w:r>
      <w:r w:rsidR="00220D6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年一般公共预算基本支出情况说明</w:t>
      </w:r>
    </w:p>
    <w:p w:rsidR="00BD5383" w:rsidRPr="000357D3" w:rsidRDefault="00F6789F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乌鲁木齐市水磨沟区人民法院</w:t>
      </w:r>
      <w:r w:rsidR="00220D6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年一般公共预算基本支出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1968.83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人员经费</w:t>
      </w:r>
      <w:r w:rsidR="003254C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1736.79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万元，主要包括：基本工资、津贴补贴、奖金、伙食补助费、绩效工资、机关事业单位基本养老保险缴费、其他社会保障缴费、住房公积金、其他工资福利支出、</w:t>
      </w:r>
      <w:r w:rsidR="002946F4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退休费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、奖励金、</w:t>
      </w:r>
      <w:r w:rsidR="002946F4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采暖补贴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、其他对个人和家庭的补助等。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lastRenderedPageBreak/>
        <w:t>公用经费</w:t>
      </w:r>
      <w:r w:rsidR="009420A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232.04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万元，主要包括：办公费、水费、电费、邮电费、取暖费、差旅费、维修（护）费、培训费、公务接待费、工会经费、福利费、公务用车运行维护费、其他商品和服务支出等。</w:t>
      </w:r>
    </w:p>
    <w:p w:rsidR="00BD5383" w:rsidRPr="000357D3" w:rsidRDefault="00BD5383" w:rsidP="00142A6C">
      <w:pPr>
        <w:pStyle w:val="2"/>
        <w:spacing w:line="560" w:lineRule="exact"/>
        <w:ind w:firstLineChars="0" w:firstLine="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六、关于</w:t>
      </w:r>
      <w:r w:rsidR="00F6789F"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乌鲁木齐市水磨沟区人民法院</w:t>
      </w:r>
      <w:r w:rsidR="00220D6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年一般公共预算项目支出情况说明</w:t>
      </w:r>
    </w:p>
    <w:p w:rsidR="00BD5383" w:rsidRPr="000357D3" w:rsidRDefault="00BD5383" w:rsidP="00142A6C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  <w:r w:rsidRPr="000357D3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</w:t>
      </w:r>
      <w:proofErr w:type="gramStart"/>
      <w:r w:rsidRPr="000357D3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一</w:t>
      </w:r>
      <w:proofErr w:type="gramEnd"/>
      <w:r w:rsidRPr="000357D3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：（项目支出、专项业务费按下列内容说明）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1.项目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名称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：办案经费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设立的政策依据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C40F98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根据办案经费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预算安排规模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9420AE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143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项目承担单位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：乌鲁木齐市水磨沟区人民法院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资金分配情况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：计划用于</w:t>
      </w:r>
      <w:r w:rsidR="00B71D4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当年度办案各项开支，购买办案装备等。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资金执行时间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220D6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B62E10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2.项目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名称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B62E1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案款返还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设立的政策依据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B62E1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案款</w:t>
      </w:r>
      <w:r w:rsidR="00B62E10"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 xml:space="preserve"> 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预算安排规模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B62E1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116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项目承担单位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：乌鲁木齐市水磨沟区人民法院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资金分配情况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B62E10"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 xml:space="preserve"> </w:t>
      </w:r>
      <w:proofErr w:type="gramStart"/>
      <w:r w:rsidR="00B62E1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按照案</w:t>
      </w:r>
      <w:proofErr w:type="gramEnd"/>
      <w:r w:rsidR="00B62E10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款管理规定使用</w:t>
      </w:r>
    </w:p>
    <w:p w:rsidR="00F2420E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资金执行时间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220D6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</w:p>
    <w:p w:rsidR="007D0AD4" w:rsidRDefault="007D0AD4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.项目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名称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年临聘人员经费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设立的政策依据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：根据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年临聘人员经费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lastRenderedPageBreak/>
        <w:t>预算安排规模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182.62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项目承担单位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：乌鲁木齐市水磨沟区人民法院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资金分配情况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：用于发放单位聘用人员、保安保洁工资每月按劳务派遣公司开具发票金额支付</w:t>
      </w:r>
    </w:p>
    <w:p w:rsidR="007D0AD4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资金执行时间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资金来源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：区财政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补贴人数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：临聘人员流动性大，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人数不定</w:t>
      </w: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 xml:space="preserve"> 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补贴标准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：统一工资标准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补贴范围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：所有临聘人员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补贴方式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：按月发放</w:t>
      </w:r>
    </w:p>
    <w:p w:rsidR="007D0AD4" w:rsidRPr="000357D3" w:rsidRDefault="007D0AD4" w:rsidP="007D0AD4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发放程序：每月按劳务派遣公司开具发票金额报领导审批后支付</w:t>
      </w:r>
    </w:p>
    <w:p w:rsidR="007D0AD4" w:rsidRPr="000357D3" w:rsidRDefault="007D0AD4" w:rsidP="007D0AD4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受益人群和社会效益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：聘用人员</w:t>
      </w:r>
    </w:p>
    <w:p w:rsidR="007D0AD4" w:rsidRPr="007D0AD4" w:rsidRDefault="007D0AD4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F2420E" w:rsidRPr="007D0AD4" w:rsidRDefault="00BD5383" w:rsidP="007D0AD4">
      <w:pPr>
        <w:widowControl/>
        <w:spacing w:line="300" w:lineRule="auto"/>
        <w:ind w:firstLine="64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4"/>
        </w:rPr>
      </w:pPr>
      <w:r w:rsidRPr="000357D3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情况二：（</w:t>
      </w:r>
      <w:r w:rsidRPr="000357D3"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  <w:t>属于对个人补贴的项目支出</w:t>
      </w:r>
      <w:r w:rsidRPr="000357D3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按下列内容说明）红色</w:t>
      </w:r>
      <w:r w:rsidRPr="000357D3"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  <w:t>部分各单位填写</w:t>
      </w:r>
      <w:r w:rsidRPr="000357D3"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）</w:t>
      </w:r>
    </w:p>
    <w:p w:rsidR="00F2420E" w:rsidRPr="000357D3" w:rsidRDefault="007D0AD4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 w:rsidR="00F2420E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.项目</w:t>
      </w:r>
      <w:r w:rsidR="00F2420E"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名称</w:t>
      </w:r>
      <w:r w:rsidR="00F2420E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：临时聘用司机、安保等</w:t>
      </w:r>
      <w:proofErr w:type="gramStart"/>
      <w:r w:rsidR="00F2420E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人员维稳补助</w:t>
      </w:r>
      <w:proofErr w:type="gramEnd"/>
      <w:r w:rsidR="00F2420E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经费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设立的政策依据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373116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根据</w:t>
      </w:r>
      <w:r w:rsidR="007F045A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临时聘用司机、安保等</w:t>
      </w:r>
      <w:proofErr w:type="gramStart"/>
      <w:r w:rsidR="007F045A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人员维稳补助</w:t>
      </w:r>
      <w:proofErr w:type="gramEnd"/>
      <w:r w:rsidR="007F045A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经费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预算安排规模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B71D4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55.2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项目承担单位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：乌鲁木齐市水磨沟区人民法院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资金分配情况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：按月发放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资金执行时间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</w:t>
      </w:r>
      <w:r w:rsidR="00220D6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资金来源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：区财政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lastRenderedPageBreak/>
        <w:t>补贴人数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：临聘人员流动性大</w:t>
      </w:r>
      <w:r w:rsidR="00B71D4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，人数不定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补贴标准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；750/人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补贴范围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：所有临聘人员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补贴方式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：按月发放</w:t>
      </w:r>
    </w:p>
    <w:p w:rsidR="00F2420E" w:rsidRPr="000357D3" w:rsidRDefault="00F2420E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发放程序：经由人事局审批后由单位财务发放</w:t>
      </w:r>
    </w:p>
    <w:p w:rsidR="00F2420E" w:rsidRPr="000357D3" w:rsidRDefault="00F2420E" w:rsidP="00142A6C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受益人群和社会效益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：所有临聘人员</w:t>
      </w:r>
    </w:p>
    <w:p w:rsidR="00F2420E" w:rsidRPr="000357D3" w:rsidRDefault="00F2420E" w:rsidP="00142A6C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BD5383" w:rsidRPr="000357D3" w:rsidRDefault="00BD5383" w:rsidP="00142A6C">
      <w:pPr>
        <w:pStyle w:val="2"/>
        <w:spacing w:line="560" w:lineRule="exact"/>
        <w:ind w:firstLineChars="0" w:firstLine="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七、关于</w:t>
      </w:r>
      <w:r w:rsidR="00F6789F"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乌鲁木齐市水磨沟区人民法院</w:t>
      </w:r>
      <w:r w:rsidR="00220D6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年一般公共预算“三公”经费预算情况说明</w:t>
      </w:r>
    </w:p>
    <w:p w:rsidR="00BD5383" w:rsidRPr="000357D3" w:rsidRDefault="00F6789F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乌鲁木齐市水磨沟区人民法院</w:t>
      </w:r>
      <w:r w:rsidR="00220D6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2946F4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年“三公”经费财政拨款预算数</w:t>
      </w:r>
      <w:r w:rsidR="002946F4"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104.19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2946F4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2946F4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2946F4"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103.55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="002946F4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0.64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0357D3" w:rsidRDefault="00220D67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B76745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上年</w:t>
      </w:r>
      <w:r w:rsidR="00B76745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一致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</w:t>
      </w:r>
      <w:r w:rsidR="00D9762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无增减变化。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其中：因公出国（境）费</w:t>
      </w:r>
      <w:r w:rsidR="00B76745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万元；公务用车购置费为0，未安排预算。[或公务用车购置费</w:t>
      </w:r>
      <w:r w:rsidR="00B76745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万元]；公务用车运行费</w:t>
      </w:r>
      <w:r w:rsidR="00B76745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与上年一致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</w:t>
      </w:r>
      <w:r w:rsidR="00D9762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因</w:t>
      </w:r>
      <w:proofErr w:type="gramStart"/>
      <w:r w:rsidR="00D9762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车辆数未变化</w:t>
      </w:r>
      <w:proofErr w:type="gramEnd"/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B76745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与上年一致</w:t>
      </w:r>
      <w:r w:rsidR="00D9762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，无增减变化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BD5383" w:rsidRPr="000357D3" w:rsidRDefault="00BD5383" w:rsidP="00142A6C">
      <w:pPr>
        <w:pStyle w:val="2"/>
        <w:spacing w:line="560" w:lineRule="exact"/>
        <w:ind w:firstLineChars="0" w:firstLine="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八、关于</w:t>
      </w:r>
      <w:r w:rsidR="00F6789F"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乌鲁木齐市水磨沟区人民法院</w:t>
      </w:r>
      <w:r w:rsidR="00220D67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年政府性基金预算拨款情况说明</w:t>
      </w:r>
    </w:p>
    <w:p w:rsidR="00BD5383" w:rsidRPr="000357D3" w:rsidRDefault="00F6789F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乌鲁木齐市水磨沟区人民法院</w:t>
      </w:r>
      <w:r w:rsidR="00220D6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年没有使用政府性基金预算拨款安排的支出，政府性基金预算支出情况表为空表。</w:t>
      </w:r>
    </w:p>
    <w:p w:rsidR="00BD5383" w:rsidRPr="000357D3" w:rsidRDefault="00BD5383" w:rsidP="00142A6C">
      <w:pPr>
        <w:pStyle w:val="2"/>
        <w:spacing w:line="560" w:lineRule="exact"/>
        <w:ind w:firstLineChars="0" w:firstLine="0"/>
        <w:rPr>
          <w:rFonts w:ascii="黑体" w:eastAsia="黑体" w:hAnsi="黑体"/>
          <w:b w:val="0"/>
          <w:color w:val="171717" w:themeColor="background2" w:themeShade="1A"/>
          <w:sz w:val="32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  <w:sz w:val="32"/>
        </w:rPr>
        <w:lastRenderedPageBreak/>
        <w:t>九、其他重要事项的情况说明</w:t>
      </w:r>
    </w:p>
    <w:p w:rsidR="00BD5383" w:rsidRPr="000357D3" w:rsidRDefault="00BD5383" w:rsidP="00142A6C">
      <w:pPr>
        <w:pStyle w:val="3"/>
        <w:spacing w:line="560" w:lineRule="exact"/>
        <w:ind w:firstLineChars="0" w:firstLine="0"/>
        <w:rPr>
          <w:rFonts w:ascii="楷体" w:eastAsia="楷体" w:hAnsi="楷体"/>
          <w:color w:val="171717" w:themeColor="background2" w:themeShade="1A"/>
          <w:sz w:val="32"/>
        </w:rPr>
      </w:pPr>
      <w:r w:rsidRPr="000357D3">
        <w:rPr>
          <w:rFonts w:ascii="楷体" w:eastAsia="楷体" w:hAnsi="楷体" w:hint="eastAsia"/>
          <w:color w:val="171717" w:themeColor="background2" w:themeShade="1A"/>
          <w:sz w:val="32"/>
        </w:rPr>
        <w:t>（一）政府采购情况</w:t>
      </w:r>
    </w:p>
    <w:p w:rsidR="00BD5383" w:rsidRPr="000357D3" w:rsidRDefault="00220D67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年，</w:t>
      </w:r>
      <w:r w:rsidR="00C00BF0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部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门及下属单位政府采购预算</w:t>
      </w:r>
      <w:r w:rsidR="002E727D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万元，其中：政府采购货物预算</w:t>
      </w:r>
      <w:r w:rsidR="002E727D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万元，政府采购工程预算</w:t>
      </w:r>
      <w:r w:rsidR="002E727D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万元，政府采购服务预算</w:t>
      </w:r>
      <w:r w:rsidR="002E727D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0357D3" w:rsidRDefault="00220D67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年度本部门面向中小企业预留政府采购项目预算金额</w:t>
      </w:r>
      <w:r w:rsidR="002E727D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万元，其中：面向小</w:t>
      </w:r>
      <w:proofErr w:type="gramStart"/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微企业</w:t>
      </w:r>
      <w:proofErr w:type="gramEnd"/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预留政府采购项目预算金额</w:t>
      </w:r>
      <w:r w:rsidR="002E727D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0357D3" w:rsidRDefault="00BD5383" w:rsidP="00142A6C">
      <w:pPr>
        <w:pStyle w:val="3"/>
        <w:spacing w:line="560" w:lineRule="exact"/>
        <w:ind w:firstLineChars="0" w:firstLine="0"/>
        <w:rPr>
          <w:rFonts w:ascii="楷体" w:eastAsia="楷体" w:hAnsi="楷体"/>
          <w:color w:val="171717" w:themeColor="background2" w:themeShade="1A"/>
          <w:sz w:val="32"/>
        </w:rPr>
      </w:pPr>
      <w:r w:rsidRPr="000357D3">
        <w:rPr>
          <w:rFonts w:ascii="楷体" w:eastAsia="楷体" w:hAnsi="楷体" w:hint="eastAsia"/>
          <w:color w:val="171717" w:themeColor="background2" w:themeShade="1A"/>
          <w:sz w:val="32"/>
        </w:rPr>
        <w:t>（二）国有资产占用使用情况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截至</w:t>
      </w:r>
      <w:r w:rsidR="002E727D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D500C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年底，</w:t>
      </w:r>
      <w:r w:rsidR="00F6789F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乌鲁木齐市水磨沟区人民法院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及下属各预算单位占用使用国有资产总体情况为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1.房屋</w:t>
      </w:r>
      <w:r w:rsidR="00B76745"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8,755.57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平方米，价值</w:t>
      </w:r>
      <w:r w:rsidR="00B76745"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3,120.54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2.车辆</w:t>
      </w:r>
      <w:r w:rsidR="00B76745"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45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 w:rsidR="00B76745" w:rsidRPr="000357D3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1,039.00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万元；其中：一般公务用车</w:t>
      </w:r>
      <w:r w:rsidR="00D500C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45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 w:rsidR="00D500C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1039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0357D3" w:rsidRDefault="00BD5383" w:rsidP="00D500CB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3.其他资产价值</w:t>
      </w:r>
      <w:r w:rsidR="00E847D7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8508.51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BD5383" w:rsidRPr="000357D3" w:rsidRDefault="00BD5383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单位价值</w:t>
      </w:r>
      <w:r w:rsidR="00D500C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0万元以上大型设备</w:t>
      </w:r>
      <w:r w:rsidR="00D500C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</w:t>
      </w:r>
      <w:r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台（套）。</w:t>
      </w:r>
    </w:p>
    <w:p w:rsidR="00BD5383" w:rsidRPr="000357D3" w:rsidRDefault="00220D67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年部门预算未安排购置车辆经费。</w:t>
      </w:r>
    </w:p>
    <w:p w:rsidR="00BD5383" w:rsidRPr="000357D3" w:rsidRDefault="00BD5383" w:rsidP="00142A6C">
      <w:pPr>
        <w:pStyle w:val="3"/>
        <w:spacing w:line="560" w:lineRule="exact"/>
        <w:ind w:firstLineChars="0" w:firstLine="0"/>
        <w:rPr>
          <w:rFonts w:ascii="楷体" w:eastAsia="楷体" w:hAnsi="楷体"/>
          <w:color w:val="171717" w:themeColor="background2" w:themeShade="1A"/>
          <w:sz w:val="32"/>
        </w:rPr>
      </w:pPr>
      <w:r w:rsidRPr="000357D3">
        <w:rPr>
          <w:rFonts w:ascii="楷体" w:eastAsia="楷体" w:hAnsi="楷体" w:hint="eastAsia"/>
          <w:color w:val="171717" w:themeColor="background2" w:themeShade="1A"/>
          <w:sz w:val="32"/>
        </w:rPr>
        <w:t>（三）预算绩效情况</w:t>
      </w:r>
    </w:p>
    <w:p w:rsidR="00BD5383" w:rsidRPr="000357D3" w:rsidRDefault="00220D67" w:rsidP="00142A6C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年度，本年度实行绩效管理的项目</w:t>
      </w:r>
      <w:r w:rsidR="00D20FCB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个，涉及预算金额</w:t>
      </w:r>
      <w:r w:rsidR="00D20FCB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0357D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万元。具体情况见下表（按项目分别填报）：</w:t>
      </w:r>
    </w:p>
    <w:p w:rsidR="00C00BF0" w:rsidRPr="000357D3" w:rsidRDefault="00C00BF0">
      <w:pPr>
        <w:widowControl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4"/>
        </w:rPr>
      </w:pPr>
      <w:r w:rsidRPr="000357D3"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4"/>
        </w:rPr>
        <w:br w:type="page"/>
      </w:r>
    </w:p>
    <w:p w:rsidR="00142A6C" w:rsidRPr="000357D3" w:rsidRDefault="00142A6C" w:rsidP="00142A6C">
      <w:pPr>
        <w:spacing w:line="300" w:lineRule="auto"/>
        <w:jc w:val="center"/>
        <w:rPr>
          <w:rFonts w:ascii="仿宋_GB2312" w:eastAsia="仿宋_GB2312" w:hAnsiTheme="minorEastAsia" w:cs="宋体"/>
          <w:b/>
          <w:color w:val="171717" w:themeColor="background2" w:themeShade="1A"/>
          <w:kern w:val="0"/>
          <w:sz w:val="36"/>
          <w:szCs w:val="36"/>
        </w:rPr>
      </w:pPr>
      <w:r w:rsidRPr="000357D3">
        <w:rPr>
          <w:rFonts w:ascii="仿宋_GB2312" w:eastAsia="仿宋_GB2312" w:hAnsiTheme="minorEastAsia" w:cs="宋体" w:hint="eastAsia"/>
          <w:b/>
          <w:color w:val="171717" w:themeColor="background2" w:themeShade="1A"/>
          <w:kern w:val="0"/>
          <w:sz w:val="36"/>
          <w:szCs w:val="36"/>
        </w:rPr>
        <w:lastRenderedPageBreak/>
        <w:t>财政支出绩效目标申报表</w:t>
      </w:r>
    </w:p>
    <w:p w:rsidR="00142A6C" w:rsidRPr="000357D3" w:rsidRDefault="00142A6C" w:rsidP="00142A6C">
      <w:pPr>
        <w:spacing w:line="300" w:lineRule="auto"/>
        <w:jc w:val="center"/>
        <w:rPr>
          <w:rFonts w:ascii="仿宋_GB2312" w:eastAsia="仿宋_GB2312" w:hAnsiTheme="minorEastAsia" w:cs="宋体"/>
          <w:color w:val="171717" w:themeColor="background2" w:themeShade="1A"/>
          <w:kern w:val="0"/>
          <w:sz w:val="36"/>
          <w:szCs w:val="36"/>
        </w:rPr>
      </w:pPr>
      <w:r w:rsidRPr="000357D3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6"/>
          <w:szCs w:val="36"/>
        </w:rPr>
        <w:t>（   年度）</w:t>
      </w:r>
    </w:p>
    <w:p w:rsidR="00142A6C" w:rsidRPr="000357D3" w:rsidRDefault="00142A6C" w:rsidP="00142A6C">
      <w:pPr>
        <w:spacing w:line="300" w:lineRule="auto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填报单位：</w:t>
      </w:r>
    </w:p>
    <w:tbl>
      <w:tblPr>
        <w:tblW w:w="9229" w:type="dxa"/>
        <w:jc w:val="center"/>
        <w:tblInd w:w="91" w:type="dxa"/>
        <w:tblLayout w:type="fixed"/>
        <w:tblLook w:val="04A0"/>
      </w:tblPr>
      <w:tblGrid>
        <w:gridCol w:w="1960"/>
        <w:gridCol w:w="2166"/>
        <w:gridCol w:w="74"/>
        <w:gridCol w:w="1780"/>
        <w:gridCol w:w="222"/>
        <w:gridCol w:w="476"/>
        <w:gridCol w:w="1559"/>
        <w:gridCol w:w="992"/>
      </w:tblGrid>
      <w:tr w:rsidR="00142A6C" w:rsidRPr="000357D3" w:rsidTr="000357D3">
        <w:trPr>
          <w:trHeight w:val="34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项目属性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新增项目□    延续项目□</w:t>
            </w: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主管部门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项目实施单位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项目起止时间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项目负责人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项目资金（万元）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资金总额</w:t>
            </w: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财政拨款</w:t>
            </w: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自有资金</w:t>
            </w: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经营性收入</w:t>
            </w: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其他收入</w:t>
            </w: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其他</w:t>
            </w: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单位职能阐述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24"/>
              </w:rPr>
            </w:pP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项目概况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项目立项情况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项目立项的依据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项目申报的可行性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项目申报的必要性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项目实施进度计划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项目实施内容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开始时间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完成时间</w:t>
            </w: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1、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2、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142A6C" w:rsidRPr="000357D3" w:rsidTr="000357D3">
        <w:trPr>
          <w:trHeight w:val="34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 w:rsidRPr="000357D3"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2A6C" w:rsidRPr="000357D3" w:rsidRDefault="00142A6C" w:rsidP="001A71D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</w:tbl>
    <w:p w:rsidR="00142A6C" w:rsidRPr="000357D3" w:rsidRDefault="00142A6C" w:rsidP="00142A6C">
      <w:pPr>
        <w:pStyle w:val="1"/>
        <w:spacing w:before="435"/>
        <w:rPr>
          <w:rFonts w:ascii="黑体" w:eastAsia="黑体" w:hAnsi="黑体"/>
          <w:b w:val="0"/>
          <w:color w:val="171717" w:themeColor="background2" w:themeShade="1A"/>
        </w:rPr>
      </w:pPr>
      <w:r w:rsidRPr="000357D3">
        <w:rPr>
          <w:rFonts w:ascii="黑体" w:eastAsia="黑体" w:hAnsi="黑体" w:hint="eastAsia"/>
          <w:b w:val="0"/>
          <w:color w:val="171717" w:themeColor="background2" w:themeShade="1A"/>
        </w:rPr>
        <w:lastRenderedPageBreak/>
        <w:t>第四部分  名词解释</w:t>
      </w:r>
    </w:p>
    <w:p w:rsidR="00142A6C" w:rsidRPr="000357D3" w:rsidRDefault="00142A6C" w:rsidP="00142A6C">
      <w:pPr>
        <w:widowControl/>
        <w:spacing w:line="300" w:lineRule="auto"/>
        <w:ind w:firstLine="640"/>
        <w:jc w:val="left"/>
        <w:rPr>
          <w:rFonts w:ascii="黑体" w:eastAsia="黑体" w:hAnsi="黑体" w:cs="宋体"/>
          <w:color w:val="171717" w:themeColor="background2" w:themeShade="1A"/>
          <w:kern w:val="0"/>
          <w:sz w:val="32"/>
          <w:szCs w:val="32"/>
        </w:rPr>
      </w:pPr>
      <w:r w:rsidRPr="000357D3">
        <w:rPr>
          <w:rFonts w:ascii="黑体" w:eastAsia="黑体" w:hAnsi="黑体" w:cs="宋体" w:hint="eastAsia"/>
          <w:color w:val="171717" w:themeColor="background2" w:themeShade="1A"/>
          <w:kern w:val="0"/>
          <w:sz w:val="32"/>
          <w:szCs w:val="32"/>
        </w:rPr>
        <w:t>名词解释：</w:t>
      </w: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一、财政拨款：</w:t>
      </w: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指由一般公共预算、政府性基金预算安排的财政拨款数。</w:t>
      </w: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二、一般公共预算：</w:t>
      </w: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包括公共财政拨款（补助）资金、专项收入。</w:t>
      </w: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三、非税收入：</w:t>
      </w: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包括罚没收入、国有资源（资产）有偿使用收入、行政事业性收费收入等。</w:t>
      </w: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四、其他资金：</w:t>
      </w: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包括事业收入、经营收入、其他收入等。</w:t>
      </w: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五、基本支出：</w:t>
      </w: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六、项目支出：</w:t>
      </w: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部门支出预算的组成部分，是本级部门为完成其特定的行政任务或事业发展目标，在基本支出预算之外编制的年度项目支出计划。</w:t>
      </w: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七、“三公”经费：</w:t>
      </w: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0357D3"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八、机关运行经费：</w:t>
      </w: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</w:t>
      </w: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lastRenderedPageBreak/>
        <w:t>车运行维护费及其他费用。</w:t>
      </w: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142A6C" w:rsidRPr="000357D3" w:rsidRDefault="00142A6C" w:rsidP="00142A6C">
      <w:pPr>
        <w:spacing w:line="560" w:lineRule="exact"/>
        <w:ind w:firstLine="641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bookmarkStart w:id="0" w:name="_GoBack"/>
      <w:bookmarkEnd w:id="0"/>
    </w:p>
    <w:p w:rsidR="00132CAB" w:rsidRPr="000357D3" w:rsidRDefault="00132CAB" w:rsidP="00C00BF0">
      <w:pPr>
        <w:widowControl/>
        <w:spacing w:line="300" w:lineRule="auto"/>
        <w:jc w:val="righ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 w:rsidRPr="000357D3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乌鲁木齐市水磨沟区人民法院</w:t>
      </w:r>
    </w:p>
    <w:p w:rsidR="000424A1" w:rsidRPr="000357D3" w:rsidRDefault="00220D67" w:rsidP="000424A1">
      <w:pPr>
        <w:wordWrap w:val="0"/>
        <w:ind w:firstLine="640"/>
        <w:jc w:val="right"/>
        <w:rPr>
          <w:rFonts w:ascii="仿宋_GB2312" w:eastAsia="仿宋_GB2312" w:hAnsiTheme="minorEastAsia"/>
          <w:color w:val="171717" w:themeColor="background2" w:themeShade="1A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201</w:t>
      </w:r>
      <w:r w:rsidR="00F2410F"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8</w:t>
      </w:r>
      <w:r w:rsidR="000424A1" w:rsidRPr="000357D3"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年</w:t>
      </w:r>
      <w:r w:rsidR="00F2410F"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12</w:t>
      </w:r>
      <w:r w:rsidR="000424A1" w:rsidRPr="000357D3"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月</w:t>
      </w:r>
      <w:r w:rsidR="00F2410F"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14</w:t>
      </w:r>
      <w:r w:rsidR="000424A1" w:rsidRPr="000357D3"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日</w:t>
      </w:r>
    </w:p>
    <w:p w:rsidR="00472D3C" w:rsidRPr="000357D3" w:rsidRDefault="00472D3C" w:rsidP="002E727D">
      <w:pPr>
        <w:widowControl/>
        <w:spacing w:line="300" w:lineRule="auto"/>
        <w:jc w:val="left"/>
        <w:rPr>
          <w:rFonts w:asciiTheme="minorEastAsia" w:eastAsiaTheme="minorEastAsia" w:hAnsiTheme="minorEastAsia"/>
          <w:color w:val="171717" w:themeColor="background2" w:themeShade="1A"/>
          <w:sz w:val="24"/>
        </w:rPr>
      </w:pPr>
    </w:p>
    <w:sectPr w:rsidR="00472D3C" w:rsidRPr="000357D3" w:rsidSect="002E727D">
      <w:footerReference w:type="even" r:id="rId11"/>
      <w:footerReference w:type="default" r:id="rId12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79" w:rsidRDefault="00067379">
      <w:r>
        <w:separator/>
      </w:r>
    </w:p>
  </w:endnote>
  <w:endnote w:type="continuationSeparator" w:id="0">
    <w:p w:rsidR="00067379" w:rsidRDefault="00067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67" w:rsidRPr="00D6430D" w:rsidRDefault="00220D67">
    <w:pPr>
      <w:pStyle w:val="a3"/>
      <w:rPr>
        <w:rFonts w:ascii="宋体" w:eastAsia="宋体" w:hAnsi="宋体"/>
        <w:sz w:val="28"/>
        <w:szCs w:val="28"/>
      </w:rPr>
    </w:pPr>
    <w:r w:rsidRPr="00D6430D">
      <w:rPr>
        <w:rFonts w:ascii="宋体" w:eastAsia="宋体" w:hAnsi="宋体"/>
        <w:sz w:val="28"/>
        <w:szCs w:val="28"/>
      </w:rPr>
      <w:fldChar w:fldCharType="begin"/>
    </w:r>
    <w:r w:rsidRPr="00D6430D">
      <w:rPr>
        <w:rFonts w:ascii="宋体" w:eastAsia="宋体" w:hAnsi="宋体"/>
        <w:sz w:val="28"/>
        <w:szCs w:val="28"/>
      </w:rPr>
      <w:instrText>PAGE   \* MERGEFORMAT</w:instrText>
    </w:r>
    <w:r w:rsidRPr="00D6430D">
      <w:rPr>
        <w:rFonts w:ascii="宋体" w:eastAsia="宋体" w:hAnsi="宋体"/>
        <w:sz w:val="28"/>
        <w:szCs w:val="28"/>
      </w:rPr>
      <w:fldChar w:fldCharType="separate"/>
    </w:r>
    <w:r w:rsidRPr="00006B5D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D6430D">
      <w:rPr>
        <w:rFonts w:ascii="宋体" w:eastAsia="宋体" w:hAnsi="宋体"/>
        <w:sz w:val="28"/>
        <w:szCs w:val="28"/>
      </w:rPr>
      <w:fldChar w:fldCharType="end"/>
    </w:r>
  </w:p>
  <w:p w:rsidR="00220D67" w:rsidRDefault="00220D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67" w:rsidRPr="00D6430D" w:rsidRDefault="00220D67">
    <w:pPr>
      <w:pStyle w:val="a3"/>
      <w:jc w:val="right"/>
      <w:rPr>
        <w:rFonts w:ascii="宋体" w:eastAsia="宋体" w:hAnsi="宋体"/>
        <w:sz w:val="28"/>
        <w:szCs w:val="28"/>
      </w:rPr>
    </w:pPr>
    <w:r w:rsidRPr="00D6430D">
      <w:rPr>
        <w:rFonts w:ascii="宋体" w:eastAsia="宋体" w:hAnsi="宋体"/>
        <w:sz w:val="28"/>
        <w:szCs w:val="28"/>
      </w:rPr>
      <w:fldChar w:fldCharType="begin"/>
    </w:r>
    <w:r w:rsidRPr="00D6430D">
      <w:rPr>
        <w:rFonts w:ascii="宋体" w:eastAsia="宋体" w:hAnsi="宋体"/>
        <w:sz w:val="28"/>
        <w:szCs w:val="28"/>
      </w:rPr>
      <w:instrText>PAGE   \* MERGEFORMAT</w:instrText>
    </w:r>
    <w:r w:rsidRPr="00D6430D">
      <w:rPr>
        <w:rFonts w:ascii="宋体" w:eastAsia="宋体" w:hAnsi="宋体"/>
        <w:sz w:val="28"/>
        <w:szCs w:val="28"/>
      </w:rPr>
      <w:fldChar w:fldCharType="separate"/>
    </w:r>
    <w:r w:rsidR="003254C4" w:rsidRPr="003254C4">
      <w:rPr>
        <w:rFonts w:ascii="宋体" w:eastAsia="宋体" w:hAnsi="宋体"/>
        <w:noProof/>
        <w:sz w:val="28"/>
        <w:szCs w:val="28"/>
        <w:lang w:val="zh-CN"/>
      </w:rPr>
      <w:t>-</w:t>
    </w:r>
    <w:r w:rsidR="003254C4">
      <w:rPr>
        <w:rFonts w:ascii="宋体" w:eastAsia="宋体" w:hAnsi="宋体"/>
        <w:noProof/>
        <w:sz w:val="28"/>
        <w:szCs w:val="28"/>
      </w:rPr>
      <w:t xml:space="preserve"> 14 -</w:t>
    </w:r>
    <w:r w:rsidRPr="00D6430D">
      <w:rPr>
        <w:rFonts w:ascii="宋体" w:eastAsia="宋体" w:hAnsi="宋体"/>
        <w:sz w:val="28"/>
        <w:szCs w:val="28"/>
      </w:rPr>
      <w:fldChar w:fldCharType="end"/>
    </w:r>
  </w:p>
  <w:p w:rsidR="00220D67" w:rsidRDefault="00220D6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67" w:rsidRDefault="00220D67" w:rsidP="002E72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20D67" w:rsidRDefault="00220D67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67" w:rsidRDefault="00220D67" w:rsidP="002E727D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Pr="0060130A">
      <w:rPr>
        <w:rStyle w:val="a4"/>
        <w:sz w:val="28"/>
        <w:szCs w:val="28"/>
      </w:rPr>
      <w:fldChar w:fldCharType="separate"/>
    </w:r>
    <w:r w:rsidR="00F2410F">
      <w:rPr>
        <w:rStyle w:val="a4"/>
        <w:noProof/>
        <w:sz w:val="28"/>
        <w:szCs w:val="28"/>
      </w:rPr>
      <w:t>23</w:t>
    </w:r>
    <w:r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220D67" w:rsidRDefault="00220D67" w:rsidP="002E727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79" w:rsidRDefault="00067379">
      <w:r>
        <w:separator/>
      </w:r>
    </w:p>
  </w:footnote>
  <w:footnote w:type="continuationSeparator" w:id="0">
    <w:p w:rsidR="00067379" w:rsidRDefault="00067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67" w:rsidRDefault="00220D67" w:rsidP="0083132F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67" w:rsidRDefault="00220D67" w:rsidP="0083132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57D3"/>
    <w:rsid w:val="000424A1"/>
    <w:rsid w:val="00057FFA"/>
    <w:rsid w:val="00067379"/>
    <w:rsid w:val="000863FE"/>
    <w:rsid w:val="000E66EC"/>
    <w:rsid w:val="0013013A"/>
    <w:rsid w:val="00132CAB"/>
    <w:rsid w:val="00142A6C"/>
    <w:rsid w:val="00147ECF"/>
    <w:rsid w:val="0016683A"/>
    <w:rsid w:val="00173615"/>
    <w:rsid w:val="001A71DA"/>
    <w:rsid w:val="00220D67"/>
    <w:rsid w:val="00223AAB"/>
    <w:rsid w:val="0026737E"/>
    <w:rsid w:val="002946F4"/>
    <w:rsid w:val="002C2722"/>
    <w:rsid w:val="002E37CF"/>
    <w:rsid w:val="002E727D"/>
    <w:rsid w:val="00312E15"/>
    <w:rsid w:val="003254C4"/>
    <w:rsid w:val="00333D02"/>
    <w:rsid w:val="00341724"/>
    <w:rsid w:val="00360D80"/>
    <w:rsid w:val="00373116"/>
    <w:rsid w:val="003A5BF0"/>
    <w:rsid w:val="003A5CAD"/>
    <w:rsid w:val="003E028A"/>
    <w:rsid w:val="003F6C48"/>
    <w:rsid w:val="0045382B"/>
    <w:rsid w:val="004543F2"/>
    <w:rsid w:val="0045520D"/>
    <w:rsid w:val="004569EE"/>
    <w:rsid w:val="004714C4"/>
    <w:rsid w:val="00472D3C"/>
    <w:rsid w:val="004A51A5"/>
    <w:rsid w:val="004B063C"/>
    <w:rsid w:val="004C6828"/>
    <w:rsid w:val="004E3FA5"/>
    <w:rsid w:val="004E61D5"/>
    <w:rsid w:val="004F52E9"/>
    <w:rsid w:val="005A7878"/>
    <w:rsid w:val="005B680C"/>
    <w:rsid w:val="005D3EDA"/>
    <w:rsid w:val="005E0C22"/>
    <w:rsid w:val="0060725C"/>
    <w:rsid w:val="0061674D"/>
    <w:rsid w:val="00671092"/>
    <w:rsid w:val="006F400A"/>
    <w:rsid w:val="00714FB7"/>
    <w:rsid w:val="00734675"/>
    <w:rsid w:val="007531F3"/>
    <w:rsid w:val="00756378"/>
    <w:rsid w:val="00780640"/>
    <w:rsid w:val="007A4B02"/>
    <w:rsid w:val="007C2791"/>
    <w:rsid w:val="007D0AD4"/>
    <w:rsid w:val="007F045A"/>
    <w:rsid w:val="007F6CA9"/>
    <w:rsid w:val="00801C56"/>
    <w:rsid w:val="0083132F"/>
    <w:rsid w:val="008A37A5"/>
    <w:rsid w:val="00924CAC"/>
    <w:rsid w:val="009420AE"/>
    <w:rsid w:val="009A7A78"/>
    <w:rsid w:val="009B1F7A"/>
    <w:rsid w:val="009E3356"/>
    <w:rsid w:val="009E709C"/>
    <w:rsid w:val="00A13A09"/>
    <w:rsid w:val="00A1546E"/>
    <w:rsid w:val="00A208AF"/>
    <w:rsid w:val="00A34AD8"/>
    <w:rsid w:val="00A34ADB"/>
    <w:rsid w:val="00A408B1"/>
    <w:rsid w:val="00A66569"/>
    <w:rsid w:val="00AB1F41"/>
    <w:rsid w:val="00AB41ED"/>
    <w:rsid w:val="00AF03AA"/>
    <w:rsid w:val="00B3575B"/>
    <w:rsid w:val="00B362F2"/>
    <w:rsid w:val="00B5717A"/>
    <w:rsid w:val="00B61354"/>
    <w:rsid w:val="00B62E10"/>
    <w:rsid w:val="00B67107"/>
    <w:rsid w:val="00B71D47"/>
    <w:rsid w:val="00B76745"/>
    <w:rsid w:val="00B9107C"/>
    <w:rsid w:val="00B91C45"/>
    <w:rsid w:val="00BA5F80"/>
    <w:rsid w:val="00BB615E"/>
    <w:rsid w:val="00BD1A0C"/>
    <w:rsid w:val="00BD5383"/>
    <w:rsid w:val="00C00BF0"/>
    <w:rsid w:val="00C1490C"/>
    <w:rsid w:val="00C40F98"/>
    <w:rsid w:val="00C74862"/>
    <w:rsid w:val="00C77F7A"/>
    <w:rsid w:val="00C82B8D"/>
    <w:rsid w:val="00CB6491"/>
    <w:rsid w:val="00CC3B4D"/>
    <w:rsid w:val="00CE0A3C"/>
    <w:rsid w:val="00CF35BC"/>
    <w:rsid w:val="00D107EC"/>
    <w:rsid w:val="00D20FCB"/>
    <w:rsid w:val="00D259A8"/>
    <w:rsid w:val="00D500CB"/>
    <w:rsid w:val="00D96F70"/>
    <w:rsid w:val="00D9762A"/>
    <w:rsid w:val="00DA2544"/>
    <w:rsid w:val="00DC4B4B"/>
    <w:rsid w:val="00DC67F7"/>
    <w:rsid w:val="00DF179B"/>
    <w:rsid w:val="00DF458C"/>
    <w:rsid w:val="00E11215"/>
    <w:rsid w:val="00E50607"/>
    <w:rsid w:val="00E847D7"/>
    <w:rsid w:val="00E8647F"/>
    <w:rsid w:val="00ED1242"/>
    <w:rsid w:val="00EE1DDF"/>
    <w:rsid w:val="00F2410F"/>
    <w:rsid w:val="00F2420E"/>
    <w:rsid w:val="00F273ED"/>
    <w:rsid w:val="00F6789F"/>
    <w:rsid w:val="00F75E3B"/>
    <w:rsid w:val="00FA754A"/>
    <w:rsid w:val="00FE08CE"/>
    <w:rsid w:val="00FE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727D"/>
    <w:pPr>
      <w:keepNext/>
      <w:keepLines/>
      <w:spacing w:beforeLines="100" w:line="480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27D"/>
    <w:pPr>
      <w:keepNext/>
      <w:keepLines/>
      <w:spacing w:before="120" w:line="360" w:lineRule="auto"/>
      <w:ind w:firstLineChars="100" w:firstLine="100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727D"/>
    <w:pPr>
      <w:keepNext/>
      <w:keepLines/>
      <w:spacing w:line="300" w:lineRule="auto"/>
      <w:ind w:firstLineChars="200" w:firstLine="200"/>
      <w:jc w:val="left"/>
      <w:outlineLvl w:val="2"/>
    </w:pPr>
    <w:rPr>
      <w:rFonts w:eastAsiaTheme="majorEastAs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0">
    <w:name w:val="正文文本缩进 3 Char"/>
    <w:basedOn w:val="a0"/>
    <w:link w:val="30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iPriority w:val="99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0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  <w:style w:type="character" w:customStyle="1" w:styleId="1Char">
    <w:name w:val="标题 1 Char"/>
    <w:basedOn w:val="a0"/>
    <w:link w:val="1"/>
    <w:uiPriority w:val="9"/>
    <w:qFormat/>
    <w:rsid w:val="002E727D"/>
    <w:rPr>
      <w:rFonts w:ascii="Times New Roman" w:eastAsiaTheme="majorEastAsia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E727D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E727D"/>
    <w:rPr>
      <w:rFonts w:ascii="Times New Roman" w:eastAsiaTheme="majorEastAsia" w:hAnsi="Times New Roman" w:cs="Times New Roman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23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24</cp:revision>
  <cp:lastPrinted>2018-12-14T12:59:00Z</cp:lastPrinted>
  <dcterms:created xsi:type="dcterms:W3CDTF">2018-12-14T10:03:00Z</dcterms:created>
  <dcterms:modified xsi:type="dcterms:W3CDTF">2018-12-14T13:40:00Z</dcterms:modified>
</cp:coreProperties>
</file>