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乌鲁木齐市第四十一小学</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2016年预算公开</w:t>
      </w: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line="500" w:lineRule="exact"/>
        <w:jc w:val="center"/>
        <w:outlineLvl w:val="1"/>
        <w:rPr>
          <w:rFonts w:ascii="黑体" w:hAnsi="黑体" w:eastAsia="黑体"/>
          <w:color w:val="171717" w:themeColor="background2" w:themeShade="1A"/>
          <w:kern w:val="0"/>
          <w:sz w:val="44"/>
          <w:szCs w:val="44"/>
        </w:rPr>
      </w:pPr>
    </w:p>
    <w:p>
      <w:pPr>
        <w:widowControl/>
        <w:spacing w:line="500" w:lineRule="exact"/>
        <w:jc w:val="center"/>
        <w:outlineLvl w:val="1"/>
        <w:rPr>
          <w:rFonts w:ascii="黑体" w:hAnsi="黑体" w:eastAsia="黑体"/>
          <w:color w:val="171717" w:themeColor="background2" w:themeShade="1A"/>
          <w:kern w:val="0"/>
          <w:sz w:val="44"/>
          <w:szCs w:val="44"/>
        </w:rPr>
      </w:pPr>
    </w:p>
    <w:p>
      <w:pPr>
        <w:widowControl/>
        <w:spacing w:line="500" w:lineRule="exact"/>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500" w:lineRule="exact"/>
        <w:jc w:val="center"/>
        <w:outlineLvl w:val="1"/>
        <w:rPr>
          <w:rFonts w:ascii="宋体" w:hAnsi="宋体"/>
          <w:b/>
          <w:color w:val="171717" w:themeColor="background2" w:themeShade="1A"/>
          <w:kern w:val="0"/>
          <w:sz w:val="44"/>
          <w:szCs w:val="44"/>
        </w:rPr>
      </w:pPr>
    </w:p>
    <w:p>
      <w:pPr>
        <w:widowControl/>
        <w:spacing w:line="5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第一部分  乌鲁木齐市第四十一小学单位概况</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一、主要职能</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二、机构设置及人员情况</w:t>
      </w:r>
    </w:p>
    <w:p>
      <w:pPr>
        <w:widowControl/>
        <w:spacing w:line="5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第二部分  2016年乌鲁木齐市第四十一小学预算公开表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一、部门总体情况表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二、部门收入总体情况表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三、部门支出总体情况表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四、财政拨款收支总体情况表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五、一般公共预算支出情况表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六、一般公共预算基本支出情况表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w:t>
      </w:r>
      <w:r>
        <w:rPr>
          <w:rFonts w:hint="eastAsia" w:ascii="仿宋_GB2312" w:hAnsi="宋体" w:eastAsia="仿宋_GB2312"/>
          <w:bCs/>
          <w:color w:val="171717" w:themeColor="background2" w:themeShade="1A"/>
          <w:kern w:val="0"/>
          <w:sz w:val="32"/>
          <w:szCs w:val="32"/>
        </w:rPr>
        <w:t>项目支出情况表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八、一般公共预算“三公”经费支出情况表</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九、政府性基金预算支出情况表</w:t>
      </w:r>
    </w:p>
    <w:p>
      <w:pPr>
        <w:widowControl/>
        <w:spacing w:line="5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第三部分  2016年乌鲁木齐市第四十一小学预算情况说明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一、关于乌鲁木齐市第四十一小学2016年收支预算情况的总体说明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二、关于乌鲁木齐市第四十一小学2016年收入预算情况说明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三、关于乌鲁木齐市第四十一小学2016年支出预算情况说明</w:t>
      </w:r>
    </w:p>
    <w:p>
      <w:pPr>
        <w:widowControl/>
        <w:spacing w:line="560" w:lineRule="exact"/>
        <w:outlineLvl w:val="1"/>
        <w:rPr>
          <w:rFonts w:ascii="仿宋_GB2312" w:hAnsi="宋体" w:eastAsia="仿宋_GB2312"/>
          <w:bCs/>
          <w:color w:val="171717" w:themeColor="background2" w:themeShade="1A"/>
          <w:kern w:val="0"/>
          <w:sz w:val="32"/>
          <w:szCs w:val="32"/>
        </w:rPr>
      </w:pPr>
      <w:r>
        <w:rPr>
          <w:rFonts w:hint="eastAsia" w:ascii="仿宋_GB2312" w:hAnsi="宋体" w:eastAsia="仿宋_GB2312"/>
          <w:bCs/>
          <w:color w:val="171717" w:themeColor="background2" w:themeShade="1A"/>
          <w:kern w:val="0"/>
          <w:sz w:val="32"/>
          <w:szCs w:val="32"/>
        </w:rPr>
        <w:t>四、关于乌鲁木齐市第四十一小学2016年财政拨款收支预算情况的总体说明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五、关于乌鲁木齐市第四十一小学2016年一般公共预算当年拨款情况说明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六、关于乌鲁木齐市第四十一小学2016年一般公共预算基本支出情况说明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七、关于乌鲁木齐市第四十一小学2016年项目支出情况说明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八、关于乌鲁木齐市第四十一小学2016年一般公共预算“三公”经费预算情况说明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九、关于乌鲁木齐市第四十一小学2016年政府性基金预算拨款情况说明</w:t>
      </w:r>
    </w:p>
    <w:p>
      <w:pPr>
        <w:widowControl/>
        <w:spacing w:line="5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十、其他重要事项的情况说明</w:t>
      </w:r>
    </w:p>
    <w:p>
      <w:pPr>
        <w:widowControl/>
        <w:spacing w:line="5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第四部分  名词解释</w:t>
      </w:r>
    </w:p>
    <w:p>
      <w:pPr>
        <w:widowControl/>
        <w:jc w:val="left"/>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br w:type="page"/>
      </w:r>
    </w:p>
    <w:p>
      <w:pPr>
        <w:widowControl/>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第一部分  乌鲁木齐市第四十一小学单位概况</w:t>
      </w:r>
    </w:p>
    <w:p>
      <w:pPr>
        <w:widowControl/>
        <w:jc w:val="center"/>
        <w:outlineLvl w:val="1"/>
        <w:rPr>
          <w:rFonts w:ascii="宋体" w:hAnsi="宋体"/>
          <w:b/>
          <w:color w:val="171717" w:themeColor="background2" w:themeShade="1A"/>
          <w:kern w:val="0"/>
          <w:sz w:val="32"/>
          <w:szCs w:val="32"/>
        </w:rPr>
      </w:pPr>
    </w:p>
    <w:p>
      <w:pPr>
        <w:widowControl/>
        <w:spacing w:line="560" w:lineRule="exact"/>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一、主要职能</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学校由乌鲁木齐市水磨沟区人民政府举办，主管部门是乌鲁木齐市水磨沟区教育局。学校是非盈利性教育事业单位，具有独立法人资格。实施九年义务教育，促进基础教育发展。</w:t>
      </w:r>
    </w:p>
    <w:p>
      <w:pPr>
        <w:widowControl/>
        <w:spacing w:line="560" w:lineRule="exact"/>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二、机构设置及人员情况</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根据职责，纳入乌鲁木齐市第四十一小学2016年部门决算编制范围内设的4个机构。属于全额拨款事业单位。</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乌鲁木齐市第四十一小学编制人数73人，全额拨款事业单位人员编制73人，乌鲁木齐市第四十一小学实有在职人数71人，其中全额拨款事业单位人员编制71人。</w:t>
      </w:r>
    </w:p>
    <w:p>
      <w:pPr>
        <w:widowControl/>
        <w:spacing w:line="560" w:lineRule="exact"/>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spacing w:before="120"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第二部分  2016年乌鲁木齐市第四十一小学预算公开表</w:t>
      </w:r>
    </w:p>
    <w:p>
      <w:pPr>
        <w:widowControl/>
        <w:spacing w:before="120"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表一：</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乌鲁木齐市第四十一小学收支总体情况表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1214.26</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1214.26</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1214.26</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1214.26</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1214.26</w:t>
            </w: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表二：</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乌鲁木齐市第四十一小学收入总体情况表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填报单位：                                                     单位：万元</w:t>
      </w:r>
    </w:p>
    <w:tbl>
      <w:tblPr>
        <w:tblStyle w:val="10"/>
        <w:tblW w:w="8976" w:type="dxa"/>
        <w:jc w:val="center"/>
        <w:tblInd w:w="93" w:type="dxa"/>
        <w:tblLayout w:type="fixed"/>
        <w:tblCellMar>
          <w:top w:w="0" w:type="dxa"/>
          <w:left w:w="108" w:type="dxa"/>
          <w:bottom w:w="0" w:type="dxa"/>
          <w:right w:w="108" w:type="dxa"/>
        </w:tblCellMar>
      </w:tblPr>
      <w:tblGrid>
        <w:gridCol w:w="542"/>
        <w:gridCol w:w="434"/>
        <w:gridCol w:w="434"/>
        <w:gridCol w:w="1794"/>
        <w:gridCol w:w="846"/>
        <w:gridCol w:w="84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功能分类科目编码</w:t>
            </w:r>
          </w:p>
        </w:tc>
        <w:tc>
          <w:tcPr>
            <w:tcW w:w="17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功能分类科目名称</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总  计</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类</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款</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项</w:t>
            </w:r>
          </w:p>
        </w:tc>
        <w:tc>
          <w:tcPr>
            <w:tcW w:w="179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179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846"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1214.26</w:t>
            </w:r>
          </w:p>
        </w:tc>
        <w:tc>
          <w:tcPr>
            <w:tcW w:w="846"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1214.26</w:t>
            </w: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合计</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1214.26</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1214.26</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bl>
    <w:p>
      <w:pPr>
        <w:widowControl/>
        <w:outlineLvl w:val="1"/>
        <w:rPr>
          <w:rFonts w:ascii="仿宋_GB2312" w:hAnsi="宋体" w:eastAsia="仿宋_GB2312"/>
          <w:color w:val="171717" w:themeColor="background2" w:themeShade="1A"/>
          <w:kern w:val="0"/>
          <w:sz w:val="28"/>
          <w:szCs w:val="28"/>
        </w:rPr>
      </w:pPr>
    </w:p>
    <w:p>
      <w:pPr>
        <w:widowControl/>
        <w:jc w:val="left"/>
        <w:rPr>
          <w:rFonts w:ascii="仿宋_GB2312" w:hAnsi="宋体" w:eastAsia="仿宋_GB2312"/>
          <w:color w:val="171717" w:themeColor="background2" w:themeShade="1A"/>
          <w:kern w:val="0"/>
          <w:sz w:val="28"/>
          <w:szCs w:val="28"/>
        </w:rPr>
      </w:pPr>
    </w:p>
    <w:p>
      <w:pPr>
        <w:widowControl/>
        <w:jc w:val="left"/>
        <w:rPr>
          <w:rFonts w:ascii="仿宋_GB2312" w:hAnsi="宋体" w:eastAsia="仿宋_GB2312"/>
          <w:color w:val="171717" w:themeColor="background2" w:themeShade="1A"/>
          <w:kern w:val="0"/>
          <w:sz w:val="28"/>
          <w:szCs w:val="28"/>
        </w:rPr>
      </w:pPr>
    </w:p>
    <w:p>
      <w:pPr>
        <w:widowControl/>
        <w:jc w:val="left"/>
        <w:rPr>
          <w:rFonts w:ascii="仿宋_GB2312" w:hAnsi="宋体" w:eastAsia="仿宋_GB2312"/>
          <w:color w:val="171717" w:themeColor="background2" w:themeShade="1A"/>
          <w:kern w:val="0"/>
          <w:sz w:val="28"/>
          <w:szCs w:val="28"/>
        </w:rPr>
      </w:pPr>
    </w:p>
    <w:p>
      <w:pPr>
        <w:widowControl/>
        <w:jc w:val="left"/>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表三：</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乌鲁木齐市第四十一小学支出总体情况表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229" w:type="dxa"/>
        <w:jc w:val="right"/>
        <w:tblInd w:w="0" w:type="dxa"/>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Layout w:type="fixed"/>
          <w:tblCellMar>
            <w:top w:w="0" w:type="dxa"/>
            <w:left w:w="108" w:type="dxa"/>
            <w:bottom w:w="0" w:type="dxa"/>
            <w:right w:w="108" w:type="dxa"/>
          </w:tblCellMar>
        </w:tblPrEx>
        <w:trPr>
          <w:trHeight w:val="345" w:hRule="atLeast"/>
          <w:jc w:val="right"/>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righ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1214.26</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1127.94</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86.32</w:t>
            </w: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1214.26</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1127.94</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86.32</w:t>
            </w:r>
          </w:p>
        </w:tc>
      </w:tr>
    </w:tbl>
    <w:p>
      <w:pPr>
        <w:widowControl/>
        <w:spacing w:before="120" w:beforeLines="50"/>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表四：</w:t>
      </w:r>
    </w:p>
    <w:p>
      <w:pPr>
        <w:widowControl/>
        <w:spacing w:before="120" w:beforeLines="5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财政拨款收支预算总体情况表</w:t>
      </w:r>
    </w:p>
    <w:p>
      <w:pPr>
        <w:widowControl/>
        <w:spacing w:before="120"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229" w:type="dxa"/>
        <w:jc w:val="center"/>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588"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1214.26</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表五：</w:t>
      </w:r>
    </w:p>
    <w:tbl>
      <w:tblPr>
        <w:tblStyle w:val="10"/>
        <w:tblW w:w="9211" w:type="dxa"/>
        <w:jc w:val="center"/>
        <w:tblInd w:w="138" w:type="dxa"/>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Layout w:type="fixed"/>
          <w:tblCellMar>
            <w:top w:w="0" w:type="dxa"/>
            <w:left w:w="108" w:type="dxa"/>
            <w:bottom w:w="0" w:type="dxa"/>
            <w:right w:w="108" w:type="dxa"/>
          </w:tblCellMar>
        </w:tblPrEx>
        <w:trPr>
          <w:trHeight w:val="450" w:hRule="atLeast"/>
          <w:jc w:val="center"/>
        </w:trPr>
        <w:tc>
          <w:tcPr>
            <w:tcW w:w="9211"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一般公共预算支出情况表</w:t>
            </w:r>
          </w:p>
          <w:p>
            <w:pPr>
              <w:widowControl/>
              <w:spacing w:before="120"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405" w:hRule="atLeast"/>
          <w:jc w:val="center"/>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1214.26</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1127.94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86.32</w:t>
            </w: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ind w:right="180"/>
              <w:jc w:val="right"/>
              <w:rPr>
                <w:rFonts w:ascii="仿宋_GB2312" w:hAnsi="宋体" w:eastAsia="仿宋_GB2312" w:cs="宋体"/>
                <w:color w:val="171717" w:themeColor="background2" w:themeShade="1A"/>
                <w:sz w:val="18"/>
                <w:szCs w:val="18"/>
              </w:rPr>
            </w:pPr>
          </w:p>
          <w:p>
            <w:pPr>
              <w:ind w:right="670"/>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p>
            <w:pPr>
              <w:ind w:right="760"/>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1214.26</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1127.94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86.32</w:t>
            </w:r>
          </w:p>
        </w:tc>
      </w:tr>
    </w:tbl>
    <w:p>
      <w:pPr>
        <w:widowControl/>
        <w:jc w:val="left"/>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表六：</w:t>
      </w:r>
    </w:p>
    <w:tbl>
      <w:tblPr>
        <w:tblStyle w:val="10"/>
        <w:tblW w:w="9547" w:type="dxa"/>
        <w:tblInd w:w="0" w:type="dxa"/>
        <w:tblLayout w:type="fixed"/>
        <w:tblCellMar>
          <w:top w:w="0" w:type="dxa"/>
          <w:left w:w="108" w:type="dxa"/>
          <w:bottom w:w="0" w:type="dxa"/>
          <w:right w:w="108" w:type="dxa"/>
        </w:tblCellMar>
      </w:tblPr>
      <w:tblGrid>
        <w:gridCol w:w="766"/>
        <w:gridCol w:w="577"/>
        <w:gridCol w:w="3886"/>
        <w:gridCol w:w="1439"/>
        <w:gridCol w:w="1439"/>
        <w:gridCol w:w="1440"/>
      </w:tblGrid>
      <w:tr>
        <w:tblPrEx>
          <w:tblLayout w:type="fixed"/>
          <w:tblCellMar>
            <w:top w:w="0" w:type="dxa"/>
            <w:left w:w="108" w:type="dxa"/>
            <w:bottom w:w="0" w:type="dxa"/>
            <w:right w:w="108" w:type="dxa"/>
          </w:tblCellMar>
        </w:tblPrEx>
        <w:trPr>
          <w:trHeight w:val="340" w:hRule="atLeast"/>
        </w:trPr>
        <w:tc>
          <w:tcPr>
            <w:tcW w:w="9547" w:type="dxa"/>
            <w:gridSpan w:val="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一般公共预算基本支出情况表</w:t>
            </w:r>
          </w:p>
          <w:p>
            <w:pPr>
              <w:widowControl/>
              <w:spacing w:before="120"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340" w:hRule="atLeast"/>
        </w:trPr>
        <w:tc>
          <w:tcPr>
            <w:tcW w:w="522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431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340" w:hRule="atLeast"/>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经济分类科目编码</w:t>
            </w:r>
          </w:p>
        </w:tc>
        <w:tc>
          <w:tcPr>
            <w:tcW w:w="3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经济分类科目名称</w:t>
            </w:r>
          </w:p>
        </w:tc>
        <w:tc>
          <w:tcPr>
            <w:tcW w:w="14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人员经费</w:t>
            </w:r>
          </w:p>
        </w:tc>
        <w:tc>
          <w:tcPr>
            <w:tcW w:w="14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38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基本工资</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194.44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194.44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津贴补贴</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53.84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53.84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03</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奖金</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绩效工资</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195.39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195.39</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其他社会保障缴费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227.12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227.12</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其他工资福利支出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1.09</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17.05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17.05</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水费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4.26</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电费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5.48</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5.48</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邮电费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4.27</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取暖费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14.02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14.02</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物业管理费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2.44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2.44</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差旅费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4.26</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维修(护)费(含其他维修)</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10.96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10.96</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租赁费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1.83</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培训费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18.01</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18.01</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公务接待费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0.62</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专用材料费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3.05</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劳务费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1.22</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工会经费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2.64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2.64</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福利费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11.11</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11.11</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其他商品服务支出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48.30</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48.30</w:t>
            </w: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退休费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134.92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134.92</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奖励金</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91.68</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91.68</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住房公积金</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70.52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70.52</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采暖补贴</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8.74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8.74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其他对个人和家庭的补助支出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0.68</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0.68</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38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bCs/>
                <w:color w:val="171717" w:themeColor="background2" w:themeShade="1A"/>
                <w:kern w:val="0"/>
                <w:sz w:val="18"/>
                <w:szCs w:val="18"/>
              </w:rPr>
              <w:t>合计</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1127.94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978.42</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149.52</w:t>
            </w:r>
          </w:p>
        </w:tc>
      </w:tr>
    </w:tbl>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表七：</w:t>
      </w:r>
    </w:p>
    <w:tbl>
      <w:tblPr>
        <w:tblStyle w:val="10"/>
        <w:tblW w:w="10194" w:type="dxa"/>
        <w:jc w:val="center"/>
        <w:tblInd w:w="0" w:type="dxa"/>
        <w:tblLayout w:type="fixed"/>
        <w:tblCellMar>
          <w:top w:w="0" w:type="dxa"/>
          <w:left w:w="108" w:type="dxa"/>
          <w:bottom w:w="0" w:type="dxa"/>
          <w:right w:w="108" w:type="dxa"/>
        </w:tblCellMar>
      </w:tblPr>
      <w:tblGrid>
        <w:gridCol w:w="10"/>
        <w:gridCol w:w="506"/>
        <w:gridCol w:w="416"/>
        <w:gridCol w:w="416"/>
        <w:gridCol w:w="851"/>
        <w:gridCol w:w="1456"/>
        <w:gridCol w:w="846"/>
        <w:gridCol w:w="847"/>
        <w:gridCol w:w="666"/>
        <w:gridCol w:w="716"/>
        <w:gridCol w:w="652"/>
        <w:gridCol w:w="578"/>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10176"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一般公共预算项目支出情况表</w:t>
            </w:r>
          </w:p>
          <w:p>
            <w:pPr>
              <w:widowControl/>
              <w:spacing w:before="120"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48" w:type="dxa"/>
            <w:gridSpan w:val="4"/>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科目</w:t>
            </w:r>
          </w:p>
        </w:tc>
        <w:tc>
          <w:tcPr>
            <w:tcW w:w="1456" w:type="dxa"/>
            <w:vMerge w:val="restart"/>
            <w:shd w:val="clear" w:color="auto" w:fill="auto"/>
            <w:noWrap/>
            <w:vAlign w:val="center"/>
          </w:tcPr>
          <w:p>
            <w:pPr>
              <w:jc w:val="center"/>
              <w:rPr>
                <w:rFonts w:ascii="仿宋_GB2312" w:eastAsia="仿宋_GB2312"/>
                <w:color w:val="171717" w:themeColor="background2" w:themeShade="1A"/>
                <w:sz w:val="18"/>
                <w:szCs w:val="18"/>
              </w:rPr>
            </w:pPr>
            <w:r>
              <w:rPr>
                <w:rFonts w:hint="eastAsia" w:ascii="仿宋_GB2312" w:hAnsi="宋体" w:eastAsia="仿宋_GB2312"/>
                <w:b/>
                <w:color w:val="171717" w:themeColor="background2" w:themeShade="1A"/>
                <w:kern w:val="0"/>
                <w:sz w:val="18"/>
                <w:szCs w:val="18"/>
              </w:rPr>
              <w:t>项目名称</w:t>
            </w:r>
          </w:p>
        </w:tc>
        <w:tc>
          <w:tcPr>
            <w:tcW w:w="84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项目支出合计</w:t>
            </w:r>
          </w:p>
        </w:tc>
        <w:tc>
          <w:tcPr>
            <w:tcW w:w="84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工资福利支出</w:t>
            </w:r>
          </w:p>
        </w:tc>
        <w:tc>
          <w:tcPr>
            <w:tcW w:w="66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商品和服务支出</w:t>
            </w:r>
          </w:p>
        </w:tc>
        <w:tc>
          <w:tcPr>
            <w:tcW w:w="71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47"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6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71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851" w:type="dxa"/>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456" w:type="dxa"/>
            <w:shd w:val="clear" w:color="auto" w:fill="auto"/>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校园绿化美化经费</w:t>
            </w:r>
          </w:p>
        </w:tc>
        <w:tc>
          <w:tcPr>
            <w:tcW w:w="84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5</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5</w:t>
            </w:r>
          </w:p>
        </w:tc>
        <w:tc>
          <w:tcPr>
            <w:tcW w:w="7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851" w:type="dxa"/>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456" w:type="dxa"/>
            <w:shd w:val="clear" w:color="auto" w:fill="auto"/>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护校队、安保人员经费</w:t>
            </w:r>
          </w:p>
        </w:tc>
        <w:tc>
          <w:tcPr>
            <w:tcW w:w="84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54</w:t>
            </w:r>
          </w:p>
        </w:tc>
        <w:tc>
          <w:tcPr>
            <w:tcW w:w="847" w:type="dxa"/>
            <w:shd w:val="clear" w:color="auto" w:fill="auto"/>
            <w:vAlign w:val="center"/>
          </w:tcPr>
          <w:p>
            <w:pPr>
              <w:jc w:val="right"/>
              <w:rPr>
                <w:rFonts w:ascii="仿宋_GB2312" w:hAnsi="宋体" w:eastAsia="仿宋_GB2312" w:cs="宋体"/>
                <w:color w:val="171717" w:themeColor="background2" w:themeShade="1A"/>
                <w:sz w:val="18"/>
                <w:szCs w:val="18"/>
              </w:rPr>
            </w:pPr>
          </w:p>
        </w:tc>
        <w:tc>
          <w:tcPr>
            <w:tcW w:w="6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54</w:t>
            </w: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851" w:type="dxa"/>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456" w:type="dxa"/>
            <w:shd w:val="clear" w:color="auto" w:fill="auto"/>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“三类人”称号人员经费</w:t>
            </w:r>
          </w:p>
        </w:tc>
        <w:tc>
          <w:tcPr>
            <w:tcW w:w="84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0.54</w:t>
            </w:r>
          </w:p>
        </w:tc>
        <w:tc>
          <w:tcPr>
            <w:tcW w:w="847" w:type="dxa"/>
            <w:shd w:val="clear" w:color="auto" w:fill="auto"/>
            <w:vAlign w:val="center"/>
          </w:tcPr>
          <w:p>
            <w:pPr>
              <w:jc w:val="right"/>
              <w:rPr>
                <w:rFonts w:ascii="仿宋_GB2312" w:hAnsi="宋体" w:eastAsia="仿宋_GB2312" w:cs="宋体"/>
                <w:color w:val="171717" w:themeColor="background2" w:themeShade="1A"/>
                <w:sz w:val="18"/>
                <w:szCs w:val="18"/>
              </w:rPr>
            </w:pPr>
          </w:p>
        </w:tc>
        <w:tc>
          <w:tcPr>
            <w:tcW w:w="6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0.54</w:t>
            </w: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851" w:type="dxa"/>
            <w:shd w:val="clear" w:color="auto" w:fill="auto"/>
            <w:vAlign w:val="center"/>
          </w:tcPr>
          <w:p>
            <w:pPr>
              <w:widowControl/>
              <w:jc w:val="lef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小学教育</w:t>
            </w:r>
          </w:p>
        </w:tc>
        <w:tc>
          <w:tcPr>
            <w:tcW w:w="1456" w:type="dxa"/>
            <w:shd w:val="clear" w:color="auto" w:fill="auto"/>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2016年临时聘用人员经费</w:t>
            </w:r>
          </w:p>
        </w:tc>
        <w:tc>
          <w:tcPr>
            <w:tcW w:w="84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26.78</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26.78</w:t>
            </w:r>
          </w:p>
        </w:tc>
        <w:tc>
          <w:tcPr>
            <w:tcW w:w="7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45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846" w:type="dxa"/>
            <w:shd w:val="clear" w:color="auto" w:fill="auto"/>
          </w:tcPr>
          <w:p>
            <w:pPr>
              <w:widowControl/>
              <w:spacing w:line="360" w:lineRule="auto"/>
              <w:jc w:val="right"/>
              <w:outlineLvl w:val="1"/>
              <w:rPr>
                <w:rFonts w:ascii="仿宋_GB2312" w:hAnsi="宋体" w:eastAsia="仿宋_GB2312"/>
                <w:color w:val="171717" w:themeColor="background2" w:themeShade="1A"/>
                <w:kern w:val="0"/>
                <w:sz w:val="18"/>
                <w:szCs w:val="18"/>
              </w:rPr>
            </w:pPr>
          </w:p>
        </w:tc>
        <w:tc>
          <w:tcPr>
            <w:tcW w:w="847" w:type="dxa"/>
            <w:shd w:val="clear" w:color="auto" w:fill="auto"/>
          </w:tcPr>
          <w:p>
            <w:pPr>
              <w:widowControl/>
              <w:spacing w:line="360" w:lineRule="auto"/>
              <w:jc w:val="right"/>
              <w:outlineLvl w:val="1"/>
              <w:rPr>
                <w:rFonts w:ascii="仿宋_GB2312" w:hAnsi="宋体" w:eastAsia="仿宋_GB2312"/>
                <w:color w:val="171717" w:themeColor="background2" w:themeShade="1A"/>
                <w:kern w:val="0"/>
                <w:sz w:val="18"/>
                <w:szCs w:val="18"/>
              </w:rPr>
            </w:pPr>
          </w:p>
        </w:tc>
        <w:tc>
          <w:tcPr>
            <w:tcW w:w="66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7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45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846" w:type="dxa"/>
            <w:shd w:val="clear" w:color="auto" w:fill="auto"/>
          </w:tcPr>
          <w:p>
            <w:pPr>
              <w:widowControl/>
              <w:spacing w:line="360" w:lineRule="auto"/>
              <w:jc w:val="right"/>
              <w:outlineLvl w:val="1"/>
              <w:rPr>
                <w:rFonts w:ascii="仿宋_GB2312" w:hAnsi="宋体" w:eastAsia="仿宋_GB2312"/>
                <w:color w:val="171717" w:themeColor="background2" w:themeShade="1A"/>
                <w:kern w:val="0"/>
                <w:sz w:val="18"/>
                <w:szCs w:val="18"/>
              </w:rPr>
            </w:pPr>
          </w:p>
        </w:tc>
        <w:tc>
          <w:tcPr>
            <w:tcW w:w="847" w:type="dxa"/>
            <w:shd w:val="clear" w:color="auto" w:fill="auto"/>
          </w:tcPr>
          <w:p>
            <w:pPr>
              <w:widowControl/>
              <w:spacing w:line="360" w:lineRule="auto"/>
              <w:jc w:val="right"/>
              <w:outlineLvl w:val="1"/>
              <w:rPr>
                <w:rFonts w:ascii="仿宋_GB2312" w:hAnsi="宋体" w:eastAsia="仿宋_GB2312"/>
                <w:color w:val="171717" w:themeColor="background2" w:themeShade="1A"/>
                <w:kern w:val="0"/>
                <w:sz w:val="18"/>
                <w:szCs w:val="18"/>
              </w:rPr>
            </w:pPr>
          </w:p>
        </w:tc>
        <w:tc>
          <w:tcPr>
            <w:tcW w:w="66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7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45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846" w:type="dxa"/>
            <w:shd w:val="clear" w:color="auto" w:fill="auto"/>
          </w:tcPr>
          <w:p>
            <w:pPr>
              <w:widowControl/>
              <w:spacing w:line="360" w:lineRule="auto"/>
              <w:jc w:val="right"/>
              <w:outlineLvl w:val="1"/>
              <w:rPr>
                <w:rFonts w:ascii="仿宋_GB2312" w:hAnsi="宋体" w:eastAsia="仿宋_GB2312"/>
                <w:color w:val="171717" w:themeColor="background2" w:themeShade="1A"/>
                <w:kern w:val="0"/>
                <w:sz w:val="18"/>
                <w:szCs w:val="18"/>
              </w:rPr>
            </w:pPr>
          </w:p>
        </w:tc>
        <w:tc>
          <w:tcPr>
            <w:tcW w:w="847" w:type="dxa"/>
            <w:shd w:val="clear" w:color="auto" w:fill="auto"/>
          </w:tcPr>
          <w:p>
            <w:pPr>
              <w:widowControl/>
              <w:spacing w:line="360" w:lineRule="auto"/>
              <w:jc w:val="right"/>
              <w:outlineLvl w:val="1"/>
              <w:rPr>
                <w:rFonts w:ascii="仿宋_GB2312" w:hAnsi="宋体" w:eastAsia="仿宋_GB2312"/>
                <w:color w:val="171717" w:themeColor="background2" w:themeShade="1A"/>
                <w:kern w:val="0"/>
                <w:sz w:val="18"/>
                <w:szCs w:val="18"/>
              </w:rPr>
            </w:pPr>
          </w:p>
        </w:tc>
        <w:tc>
          <w:tcPr>
            <w:tcW w:w="66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7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456" w:type="dxa"/>
            <w:shd w:val="clear" w:color="auto" w:fill="auto"/>
            <w:vAlign w:val="center"/>
          </w:tcPr>
          <w:p>
            <w:pPr>
              <w:widowControl/>
              <w:jc w:val="center"/>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合计</w:t>
            </w:r>
          </w:p>
        </w:tc>
        <w:tc>
          <w:tcPr>
            <w:tcW w:w="846" w:type="dxa"/>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86.32</w:t>
            </w:r>
          </w:p>
        </w:tc>
        <w:tc>
          <w:tcPr>
            <w:tcW w:w="847" w:type="dxa"/>
            <w:shd w:val="clear" w:color="auto" w:fill="auto"/>
            <w:vAlign w:val="center"/>
          </w:tcPr>
          <w:p>
            <w:pPr>
              <w:jc w:val="right"/>
              <w:rPr>
                <w:rFonts w:ascii="仿宋_GB2312" w:hAnsi="宋体" w:eastAsia="仿宋_GB2312" w:cs="宋体"/>
                <w:color w:val="171717" w:themeColor="background2" w:themeShade="1A"/>
                <w:sz w:val="18"/>
                <w:szCs w:val="18"/>
              </w:rPr>
            </w:pPr>
          </w:p>
        </w:tc>
        <w:tc>
          <w:tcPr>
            <w:tcW w:w="66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31.78</w:t>
            </w:r>
          </w:p>
        </w:tc>
        <w:tc>
          <w:tcPr>
            <w:tcW w:w="7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54.54</w:t>
            </w:r>
          </w:p>
        </w:tc>
        <w:tc>
          <w:tcPr>
            <w:tcW w:w="652"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r>
    </w:tbl>
    <w:p>
      <w:pPr>
        <w:widowControl/>
        <w:jc w:val="left"/>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表八：</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一般公共预算“三公”经费支出情况表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64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1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0.62</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0.62</w:t>
            </w:r>
          </w:p>
        </w:tc>
      </w:tr>
      <w:tr>
        <w:tblPrEx>
          <w:tblLayout w:type="fixed"/>
          <w:tblCellMar>
            <w:top w:w="0" w:type="dxa"/>
            <w:left w:w="108" w:type="dxa"/>
            <w:bottom w:w="0" w:type="dxa"/>
            <w:right w:w="108" w:type="dxa"/>
          </w:tblCellMar>
        </w:tblPrEx>
        <w:trPr>
          <w:trHeight w:val="42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1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17"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表九：</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政府性基金预算支出情况表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备注：无内容应公开空表并说明情况。</w:t>
      </w:r>
    </w:p>
    <w:p>
      <w:pPr>
        <w:widowControl/>
        <w:jc w:val="left"/>
        <w:outlineLvl w:val="1"/>
        <w:rPr>
          <w:rFonts w:ascii="仿宋_GB2312" w:hAnsi="宋体" w:eastAsia="仿宋_GB2312"/>
          <w:color w:val="171717" w:themeColor="background2" w:themeShade="1A"/>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217"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第三部分  2016年部门预算情况说明</w:t>
      </w:r>
    </w:p>
    <w:p>
      <w:pPr>
        <w:widowControl/>
        <w:spacing w:line="600" w:lineRule="exact"/>
        <w:outlineLvl w:val="1"/>
        <w:rPr>
          <w:rFonts w:ascii="仿宋_GB2312" w:hAnsi="宋体" w:eastAsia="仿宋_GB2312"/>
          <w:b/>
          <w:color w:val="171717" w:themeColor="background2" w:themeShade="1A"/>
          <w:kern w:val="0"/>
          <w:sz w:val="36"/>
          <w:szCs w:val="36"/>
        </w:rPr>
      </w:pPr>
    </w:p>
    <w:p>
      <w:pPr>
        <w:widowControl/>
        <w:spacing w:line="600" w:lineRule="exact"/>
        <w:jc w:val="center"/>
        <w:outlineLvl w:val="1"/>
        <w:rPr>
          <w:rFonts w:ascii="黑体" w:hAnsi="宋体" w:eastAsia="黑体"/>
          <w:color w:val="171717" w:themeColor="background2" w:themeShade="1A"/>
          <w:kern w:val="0"/>
          <w:sz w:val="32"/>
          <w:szCs w:val="32"/>
        </w:rPr>
      </w:pPr>
      <w:r>
        <w:rPr>
          <w:rFonts w:hint="eastAsia" w:ascii="黑体" w:hAnsi="宋体" w:eastAsia="黑体"/>
          <w:color w:val="171717" w:themeColor="background2" w:themeShade="1A"/>
          <w:kern w:val="0"/>
          <w:sz w:val="32"/>
          <w:szCs w:val="32"/>
        </w:rPr>
        <w:t>2016年部门预算情况说明</w:t>
      </w:r>
    </w:p>
    <w:p>
      <w:pPr>
        <w:widowControl/>
        <w:spacing w:line="600" w:lineRule="exact"/>
        <w:jc w:val="left"/>
        <w:outlineLvl w:val="1"/>
        <w:rPr>
          <w:rFonts w:ascii="仿宋_GB2312" w:hAnsi="宋体" w:eastAsia="仿宋_GB2312"/>
          <w:color w:val="171717" w:themeColor="background2" w:themeShade="1A"/>
          <w:kern w:val="0"/>
          <w:sz w:val="36"/>
          <w:szCs w:val="36"/>
        </w:rPr>
      </w:pP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w:t>
      </w:r>
      <w:r>
        <w:rPr>
          <w:rFonts w:hint="eastAsia" w:ascii="黑体" w:hAnsi="宋体" w:eastAsia="黑体" w:cs="宋体"/>
          <w:color w:val="171717" w:themeColor="background2" w:themeShade="1A"/>
          <w:kern w:val="0"/>
          <w:sz w:val="32"/>
          <w:szCs w:val="32"/>
        </w:rPr>
        <w:t>关于乌鲁木齐市第四十一小学2016年收支预算情况的总体说明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按照全口径预算的原则，乌鲁木齐市第四十一小学2016年所有收入和支出均纳入部门预算管理。收支总预算</w:t>
      </w:r>
      <w:r>
        <w:rPr>
          <w:rFonts w:cs="宋体" w:asciiTheme="minorEastAsia" w:hAnsiTheme="minorEastAsia" w:eastAsiaTheme="minorEastAsia"/>
          <w:color w:val="171717" w:themeColor="background2" w:themeShade="1A"/>
          <w:kern w:val="0"/>
          <w:sz w:val="28"/>
          <w:szCs w:val="28"/>
        </w:rPr>
        <w:t>1214.26</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收入预算包括：一般公共预算、单位上年结余（不包括国库集中支付额度结余）等。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支出预算包括：教育支出、社会保障和就业支出等。</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二、关于乌鲁木齐市第四十一小学2016年收入预算情况说明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乌鲁木齐市第四十一小学收入预算</w:t>
      </w:r>
      <w:r>
        <w:rPr>
          <w:rFonts w:cs="宋体" w:asciiTheme="minorEastAsia" w:hAnsiTheme="minorEastAsia" w:eastAsiaTheme="minorEastAsia"/>
          <w:color w:val="171717" w:themeColor="background2" w:themeShade="1A"/>
          <w:kern w:val="0"/>
          <w:sz w:val="28"/>
          <w:szCs w:val="28"/>
        </w:rPr>
        <w:t>1214.26</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rPr>
        <w:t>一般公共预算</w:t>
      </w:r>
      <w:r>
        <w:rPr>
          <w:rFonts w:cs="宋体" w:asciiTheme="minorEastAsia" w:hAnsiTheme="minorEastAsia" w:eastAsiaTheme="minorEastAsia"/>
          <w:color w:val="171717" w:themeColor="background2" w:themeShade="1A"/>
          <w:kern w:val="0"/>
          <w:sz w:val="28"/>
          <w:szCs w:val="28"/>
        </w:rPr>
        <w:t>1214.26</w:t>
      </w:r>
      <w:r>
        <w:rPr>
          <w:rFonts w:hint="eastAsia" w:cs="宋体" w:asciiTheme="minorEastAsia" w:hAnsiTheme="minorEastAsia" w:eastAsiaTheme="minorEastAsia"/>
          <w:color w:val="171717" w:themeColor="background2" w:themeShade="1A"/>
          <w:kern w:val="0"/>
          <w:sz w:val="28"/>
          <w:szCs w:val="28"/>
        </w:rPr>
        <w:t>万元，比上年增加269.</w:t>
      </w:r>
      <w:r>
        <w:rPr>
          <w:rFonts w:hint="eastAsia" w:cs="宋体" w:asciiTheme="minorEastAsia" w:hAnsiTheme="minorEastAsia" w:eastAsiaTheme="minorEastAsia"/>
          <w:color w:val="171717" w:themeColor="background2" w:themeShade="1A"/>
          <w:kern w:val="0"/>
          <w:sz w:val="28"/>
          <w:szCs w:val="28"/>
          <w:highlight w:val="none"/>
        </w:rPr>
        <w:t>57万元，主要原因是新增人员工资社保公积金及临聘人员经费增加、新增校园绿化美化经费增加。</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其他资金拨款未安排。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财政预算拨款结余结转0万元，比上年减少16.20万元，主要原因是上年无结余。</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三、关于乌鲁木齐市第四十一小学单位2016年支出预算情况说明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乌鲁木齐市第四十一小学单位2016年支出预算</w:t>
      </w:r>
      <w:r>
        <w:rPr>
          <w:rFonts w:cs="宋体" w:asciiTheme="minorEastAsia" w:hAnsiTheme="minorEastAsia" w:eastAsiaTheme="minorEastAsia"/>
          <w:color w:val="171717" w:themeColor="background2" w:themeShade="1A"/>
          <w:kern w:val="0"/>
          <w:sz w:val="28"/>
          <w:szCs w:val="28"/>
          <w:highlight w:val="none"/>
        </w:rPr>
        <w:t>1214.26</w:t>
      </w:r>
      <w:r>
        <w:rPr>
          <w:rFonts w:hint="eastAsia" w:cs="宋体" w:asciiTheme="minorEastAsia" w:hAnsiTheme="minorEastAsia" w:eastAsiaTheme="minorEastAsia"/>
          <w:color w:val="171717" w:themeColor="background2" w:themeShade="1A"/>
          <w:kern w:val="0"/>
          <w:sz w:val="28"/>
          <w:szCs w:val="28"/>
          <w:highlight w:val="none"/>
        </w:rPr>
        <w:t>万元，其中：</w:t>
      </w:r>
    </w:p>
    <w:p>
      <w:pPr>
        <w:widowControl/>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基本支出1127.94万元，比上年增加252.97万元, 主要原因是新增人员工资社保公积金及相应的日常公用经费增加。</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项目支出86.32万元，比上年增加16.6万元, 主要原因是临聘人员经费增加、新增校园绿化美化经费。</w:t>
      </w:r>
    </w:p>
    <w:p>
      <w:pPr>
        <w:widowControl/>
        <w:spacing w:line="580" w:lineRule="exact"/>
        <w:ind w:firstLine="640"/>
        <w:jc w:val="left"/>
        <w:rPr>
          <w:rFonts w:ascii="黑体" w:hAnsi="黑体" w:eastAsia="黑体" w:cs="宋体"/>
          <w:bCs/>
          <w:color w:val="171717" w:themeColor="background2" w:themeShade="1A"/>
          <w:kern w:val="0"/>
          <w:sz w:val="32"/>
          <w:szCs w:val="32"/>
          <w:highlight w:val="none"/>
        </w:rPr>
      </w:pPr>
      <w:r>
        <w:rPr>
          <w:rFonts w:hint="eastAsia" w:ascii="黑体" w:hAnsi="黑体" w:eastAsia="黑体" w:cs="宋体"/>
          <w:bCs/>
          <w:color w:val="171717" w:themeColor="background2" w:themeShade="1A"/>
          <w:kern w:val="0"/>
          <w:sz w:val="32"/>
          <w:szCs w:val="32"/>
          <w:highlight w:val="none"/>
        </w:rPr>
        <w:t>四、关于乌鲁木齐市第四十一小学2016年财政拨款收支预算情况的总体说明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cs="宋体" w:asciiTheme="minorEastAsia" w:hAnsiTheme="minorEastAsia" w:eastAsiaTheme="minorEastAsia"/>
          <w:color w:val="171717" w:themeColor="background2" w:themeShade="1A"/>
          <w:kern w:val="0"/>
          <w:sz w:val="28"/>
          <w:szCs w:val="28"/>
        </w:rPr>
        <w:t>1214.26</w:t>
      </w:r>
      <w:r>
        <w:rPr>
          <w:rFonts w:hint="eastAsia" w:cs="宋体" w:asciiTheme="minorEastAsia" w:hAnsiTheme="minorEastAsia" w:eastAsiaTheme="minorEastAsia"/>
          <w:color w:val="17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五、关于乌鲁木齐市第四十一小学2016年一般公共预算基本支出情况说明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乌鲁木齐市第四十一小学2016年一般公共预算基本支出1127.94万元，其中：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人员经费978.42万元，主要包括：基本工资、津贴补贴、奖金、绩效工资、机关事业单位基本养老保险缴费、其他社会保障缴费、住房公积金、其他工资福利支出、退休费、奖励金、其他对个人和家庭的补助等。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公用经费149.52万元，主要包括：办公费、水费、电费、邮电费、取暖费、物业管理费、差旅费、维修（护）费、租赁费、培训费、公务接待费、专用材料费、劳务费、工会经费、福利费、其他商品和服务支出等。</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六、关于乌鲁木齐市第四十一小学2016年一般公共预算项目支出情况说明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kern w:val="0"/>
          <w:sz w:val="28"/>
          <w:szCs w:val="28"/>
        </w:rPr>
        <w:t>校园绿化美化经费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asciiTheme="minorEastAsia" w:hAnsiTheme="minorEastAsia" w:eastAsiaTheme="minorEastAsia"/>
          <w:color w:val="171717" w:themeColor="background2" w:themeShade="1A"/>
          <w:kern w:val="0"/>
          <w:sz w:val="28"/>
          <w:szCs w:val="28"/>
        </w:rPr>
        <w:t>校园绿化美化经费</w:t>
      </w:r>
      <w:r>
        <w:rPr>
          <w:rFonts w:hint="eastAsia" w:cs="仿宋_GB2312" w:asciiTheme="minorEastAsia" w:hAnsiTheme="minorEastAsia" w:eastAsiaTheme="minorEastAsia"/>
          <w:color w:val="171717" w:themeColor="background2" w:themeShade="1A"/>
          <w:sz w:val="28"/>
          <w:szCs w:val="28"/>
        </w:rPr>
        <w:t>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5万元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乌鲁木齐市第四十一小学</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用于校园环境美化</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2016年1月-</w:t>
      </w:r>
      <w:r>
        <w:rPr>
          <w:rFonts w:cs="宋体" w:asciiTheme="minorEastAsia" w:hAnsiTheme="minorEastAsia" w:eastAsiaTheme="minorEastAsia"/>
          <w:color w:val="171717" w:themeColor="background2" w:themeShade="1A"/>
          <w:kern w:val="0"/>
          <w:sz w:val="28"/>
          <w:szCs w:val="28"/>
        </w:rPr>
        <w:t>2016年</w:t>
      </w:r>
      <w:r>
        <w:rPr>
          <w:rFonts w:hint="eastAsia" w:cs="宋体" w:asciiTheme="minorEastAsia" w:hAnsiTheme="minorEastAsia" w:eastAsiaTheme="minorEastAsia"/>
          <w:color w:val="171717" w:themeColor="background2" w:themeShade="1A"/>
          <w:kern w:val="0"/>
          <w:sz w:val="28"/>
          <w:szCs w:val="28"/>
        </w:rPr>
        <w:t>12月</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2016年临时聘用人员经费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cs="仿宋_GB2312" w:asciiTheme="minorEastAsia" w:hAnsiTheme="minorEastAsia" w:eastAsiaTheme="minorEastAsia"/>
          <w:color w:val="171717" w:themeColor="background2" w:themeShade="1A"/>
          <w:kern w:val="0"/>
          <w:sz w:val="28"/>
          <w:szCs w:val="28"/>
        </w:rPr>
        <w:t>2016年临时聘用人员经费设立依据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cs="仿宋_GB2312" w:asciiTheme="minorEastAsia" w:hAnsiTheme="minorEastAsia" w:eastAsiaTheme="minorEastAsia"/>
          <w:color w:val="171717" w:themeColor="background2" w:themeShade="1A"/>
          <w:kern w:val="0"/>
          <w:sz w:val="28"/>
          <w:szCs w:val="28"/>
        </w:rPr>
        <w:t>26.78</w:t>
      </w:r>
      <w:r>
        <w:rPr>
          <w:rFonts w:hint="eastAsia" w:cs="仿宋_GB2312"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乌鲁木齐市第四十一小学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代课教师9人，临时工</w:t>
      </w:r>
      <w:r>
        <w:rPr>
          <w:rFonts w:cs="宋体" w:asciiTheme="minorEastAsia" w:hAnsiTheme="minorEastAsia" w:eastAsiaTheme="minorEastAsia"/>
          <w:color w:val="171717" w:themeColor="background2" w:themeShade="1A"/>
          <w:kern w:val="0"/>
          <w:sz w:val="28"/>
          <w:szCs w:val="28"/>
        </w:rPr>
        <w:t>2</w:t>
      </w:r>
      <w:r>
        <w:rPr>
          <w:rFonts w:hint="eastAsia" w:cs="宋体"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2016年1月-</w:t>
      </w:r>
      <w:r>
        <w:rPr>
          <w:rFonts w:cs="宋体" w:asciiTheme="minorEastAsia" w:hAnsiTheme="minorEastAsia" w:eastAsiaTheme="minorEastAsia"/>
          <w:color w:val="171717" w:themeColor="background2" w:themeShade="1A"/>
          <w:kern w:val="0"/>
          <w:sz w:val="28"/>
          <w:szCs w:val="28"/>
        </w:rPr>
        <w:t>2016年</w:t>
      </w:r>
      <w:r>
        <w:rPr>
          <w:rFonts w:hint="eastAsia" w:cs="宋体" w:asciiTheme="minorEastAsia" w:hAnsiTheme="minorEastAsia" w:eastAsiaTheme="minorEastAsia"/>
          <w:color w:val="171717" w:themeColor="background2" w:themeShade="1A"/>
          <w:kern w:val="0"/>
          <w:sz w:val="28"/>
          <w:szCs w:val="28"/>
        </w:rPr>
        <w:t>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11人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w:t>
      </w:r>
      <w:r>
        <w:rPr>
          <w:rFonts w:hint="eastAsia" w:cs="宋体" w:asciiTheme="minorEastAsia" w:hAnsiTheme="minorEastAsia" w:eastAsiaTheme="minorEastAsia"/>
          <w:color w:val="171717" w:themeColor="background2" w:themeShade="1A"/>
          <w:kern w:val="0"/>
          <w:sz w:val="28"/>
          <w:szCs w:val="28"/>
        </w:rPr>
        <w:t>2381元/月/人</w:t>
      </w:r>
      <w:r>
        <w:rPr>
          <w:rFonts w:cs="宋体" w:asciiTheme="minorEastAsia" w:hAnsiTheme="minorEastAsia" w:eastAsiaTheme="minorEastAsia"/>
          <w:color w:val="171717" w:themeColor="background2" w:themeShade="1A"/>
          <w:kern w:val="0"/>
          <w:sz w:val="28"/>
          <w:szCs w:val="28"/>
        </w:rPr>
        <w:t>；临时工：</w:t>
      </w:r>
      <w:r>
        <w:rPr>
          <w:rFonts w:hint="eastAsia" w:cs="宋体" w:asciiTheme="minorEastAsia" w:hAnsiTheme="minorEastAsia" w:eastAsiaTheme="minorEastAsia"/>
          <w:color w:val="171717" w:themeColor="background2" w:themeShade="1A"/>
          <w:kern w:val="0"/>
          <w:sz w:val="28"/>
          <w:szCs w:val="28"/>
        </w:rPr>
        <w:t>2231元/月/人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代课教师，临时工</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代课教师，临时工</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cs="仿宋_GB2312" w:asciiTheme="minorEastAsia" w:hAnsiTheme="minorEastAsia" w:eastAsiaTheme="minorEastAsia"/>
          <w:color w:val="171717" w:themeColor="background2" w:themeShade="1A"/>
          <w:kern w:val="0"/>
          <w:sz w:val="28"/>
          <w:szCs w:val="28"/>
        </w:rPr>
        <w:t>护校队、安保人员经费</w:t>
      </w:r>
      <w:r>
        <w:rPr>
          <w:rFonts w:hint="eastAsia" w:cs="仿宋_GB2312" w:asciiTheme="minorEastAsia" w:hAnsiTheme="minorEastAsia" w:eastAsiaTheme="minorEastAsia"/>
          <w:color w:val="171717" w:themeColor="background2" w:themeShade="1A"/>
          <w:sz w:val="28"/>
          <w:szCs w:val="28"/>
        </w:rPr>
        <w:t>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54万元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乌鲁木齐市第四十一小学</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在职护校队9人</w:t>
      </w:r>
      <w:r>
        <w:rPr>
          <w:rFonts w:cs="宋体" w:asciiTheme="minorEastAsia" w:hAnsiTheme="minorEastAsia" w:eastAsiaTheme="minorEastAsia"/>
          <w:color w:val="171717" w:themeColor="background2" w:themeShade="1A"/>
          <w:kern w:val="0"/>
          <w:sz w:val="28"/>
          <w:szCs w:val="28"/>
        </w:rPr>
        <w:t>，外聘护校队</w:t>
      </w:r>
      <w:r>
        <w:rPr>
          <w:rFonts w:hint="eastAsia" w:cs="宋体" w:asciiTheme="minorEastAsia" w:hAnsiTheme="minorEastAsia" w:eastAsiaTheme="minorEastAsia"/>
          <w:color w:val="171717" w:themeColor="background2" w:themeShade="1A"/>
          <w:kern w:val="0"/>
          <w:sz w:val="28"/>
          <w:szCs w:val="28"/>
        </w:rPr>
        <w:t>1人</w:t>
      </w:r>
      <w:r>
        <w:rPr>
          <w:rFonts w:cs="宋体" w:asciiTheme="minorEastAsia" w:hAnsiTheme="minorEastAsia" w:eastAsiaTheme="minorEastAsia"/>
          <w:color w:val="171717" w:themeColor="background2" w:themeShade="1A"/>
          <w:kern w:val="0"/>
          <w:sz w:val="28"/>
          <w:szCs w:val="28"/>
        </w:rPr>
        <w:t>，安保人员</w:t>
      </w:r>
      <w:r>
        <w:rPr>
          <w:rFonts w:hint="eastAsia" w:cs="宋体" w:asciiTheme="minorEastAsia" w:hAnsiTheme="minorEastAsia" w:eastAsiaTheme="minorEastAsia"/>
          <w:color w:val="171717" w:themeColor="background2" w:themeShade="1A"/>
          <w:kern w:val="0"/>
          <w:sz w:val="28"/>
          <w:szCs w:val="28"/>
        </w:rPr>
        <w:t>10人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20人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本校护校</w:t>
      </w:r>
      <w:r>
        <w:rPr>
          <w:rFonts w:cs="宋体" w:asciiTheme="minorEastAsia" w:hAnsiTheme="minorEastAsia" w:eastAsiaTheme="minorEastAsia"/>
          <w:color w:val="171717" w:themeColor="background2" w:themeShade="1A"/>
          <w:kern w:val="0"/>
          <w:sz w:val="28"/>
          <w:szCs w:val="28"/>
        </w:rPr>
        <w:t>队：</w:t>
      </w:r>
      <w:r>
        <w:rPr>
          <w:rFonts w:hint="eastAsia" w:cs="宋体" w:asciiTheme="minorEastAsia" w:hAnsiTheme="minorEastAsia" w:eastAsiaTheme="minorEastAsia"/>
          <w:color w:val="171717" w:themeColor="background2" w:themeShade="1A"/>
          <w:kern w:val="0"/>
          <w:sz w:val="28"/>
          <w:szCs w:val="28"/>
        </w:rPr>
        <w:t>1500元/月/人；</w:t>
      </w:r>
      <w:r>
        <w:rPr>
          <w:rFonts w:cs="宋体" w:asciiTheme="minorEastAsia" w:hAnsiTheme="minorEastAsia" w:eastAsiaTheme="minorEastAsia"/>
          <w:color w:val="171717" w:themeColor="background2" w:themeShade="1A"/>
          <w:kern w:val="0"/>
          <w:sz w:val="28"/>
          <w:szCs w:val="28"/>
        </w:rPr>
        <w:t>外聘护校队</w:t>
      </w:r>
      <w:r>
        <w:rPr>
          <w:rFonts w:hint="eastAsia" w:cs="宋体" w:asciiTheme="minorEastAsia" w:hAnsiTheme="minorEastAsia" w:eastAsiaTheme="minorEastAsia"/>
          <w:color w:val="171717" w:themeColor="background2" w:themeShade="1A"/>
          <w:kern w:val="0"/>
          <w:sz w:val="28"/>
          <w:szCs w:val="28"/>
        </w:rPr>
        <w:t>25</w:t>
      </w:r>
      <w:r>
        <w:rPr>
          <w:rFonts w:cs="宋体" w:asciiTheme="minorEastAsia" w:hAnsiTheme="minorEastAsia" w:eastAsiaTheme="minorEastAsia"/>
          <w:color w:val="171717" w:themeColor="background2" w:themeShade="1A"/>
          <w:kern w:val="0"/>
          <w:sz w:val="28"/>
          <w:szCs w:val="28"/>
        </w:rPr>
        <w:t>00</w:t>
      </w:r>
      <w:r>
        <w:rPr>
          <w:rFonts w:hint="eastAsia" w:cs="宋体" w:asciiTheme="minorEastAsia" w:hAnsiTheme="minorEastAsia" w:eastAsiaTheme="minorEastAsia"/>
          <w:color w:val="171717" w:themeColor="background2" w:themeShade="1A"/>
          <w:kern w:val="0"/>
          <w:sz w:val="28"/>
          <w:szCs w:val="28"/>
        </w:rPr>
        <w:t>元/月/人；保安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rPr>
        <w:t>2500元/月/人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:“三类人”称号经费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w:t>
      </w:r>
      <w:r>
        <w:rPr>
          <w:rFonts w:cs="宋体" w:asciiTheme="minorEastAsia" w:hAnsiTheme="minorEastAsia" w:eastAsiaTheme="minorEastAsia"/>
          <w:color w:val="171717" w:themeColor="background2" w:themeShade="1A"/>
          <w:kern w:val="0"/>
          <w:sz w:val="28"/>
          <w:szCs w:val="28"/>
        </w:rPr>
        <w:t xml:space="preserve"> </w:t>
      </w:r>
      <w:r>
        <w:rPr>
          <w:rFonts w:hint="eastAsia" w:cs="宋体" w:asciiTheme="minorEastAsia" w:hAnsiTheme="minorEastAsia" w:eastAsiaTheme="minorEastAsia"/>
          <w:color w:val="171717" w:themeColor="background2" w:themeShade="1A"/>
          <w:kern w:val="0"/>
          <w:sz w:val="28"/>
          <w:szCs w:val="28"/>
        </w:rPr>
        <w:t>根据评选文件设立依据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：0.54万元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乌鲁木齐市第四十一小学</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sz w:val="28"/>
          <w:szCs w:val="28"/>
        </w:rPr>
        <w:t>骨干教师、优秀教师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补贴人数：9人</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补贴标准：150/月/人；200/月/人</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补贴范围：三类人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银行</w:t>
      </w:r>
      <w:r>
        <w:rPr>
          <w:rFonts w:cs="宋体" w:asciiTheme="minorEastAsia" w:hAnsiTheme="minorEastAsia" w:eastAsiaTheme="minorEastAsia"/>
          <w:color w:val="171717" w:themeColor="background2" w:themeShade="1A"/>
          <w:kern w:val="0"/>
          <w:sz w:val="28"/>
          <w:szCs w:val="28"/>
        </w:rPr>
        <w:t>支付</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w:t>
      </w:r>
    </w:p>
    <w:p>
      <w:pPr>
        <w:widowControl/>
        <w:spacing w:line="560" w:lineRule="exact"/>
        <w:ind w:firstLine="560" w:firstLineChars="200"/>
        <w:jc w:val="left"/>
        <w:rPr>
          <w:rFonts w:ascii="仿宋_GB2312" w:hAnsi="宋体" w:eastAsia="仿宋_GB2312" w:cs="仿宋_GB2312"/>
          <w:color w:val="171717" w:themeColor="background2" w:themeShade="1A"/>
          <w:kern w:val="0"/>
          <w:sz w:val="32"/>
          <w:szCs w:val="32"/>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p>
    <w:p>
      <w:pPr>
        <w:widowControl/>
        <w:spacing w:line="580" w:lineRule="exact"/>
        <w:ind w:firstLine="642"/>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七、关于乌鲁木齐市第四十一小学2016年一般公共预算“三公”经费预算情况说明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乌鲁木齐市第四十一小学2016年“三公”经费财政拨款预算数为</w:t>
      </w:r>
      <w:r>
        <w:rPr>
          <w:rFonts w:cs="宋体" w:asciiTheme="minorEastAsia" w:hAnsiTheme="minorEastAsia" w:eastAsiaTheme="minorEastAsia"/>
          <w:color w:val="171717" w:themeColor="background2" w:themeShade="1A"/>
          <w:kern w:val="0"/>
          <w:sz w:val="28"/>
          <w:szCs w:val="28"/>
        </w:rPr>
        <w:t>0.6</w:t>
      </w:r>
      <w:r>
        <w:rPr>
          <w:rFonts w:hint="eastAsia" w:cs="宋体" w:asciiTheme="minorEastAsia" w:hAnsiTheme="minorEastAsia" w:eastAsiaTheme="minorEastAsia"/>
          <w:color w:val="171717" w:themeColor="background2" w:themeShade="1A"/>
          <w:kern w:val="0"/>
          <w:sz w:val="28"/>
          <w:szCs w:val="28"/>
        </w:rPr>
        <w:t>2万元，其中：因公出国（境）费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万元，公务用车购置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万元，公务用车运行费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万元，公务接待费</w:t>
      </w:r>
      <w:r>
        <w:rPr>
          <w:rFonts w:cs="宋体" w:asciiTheme="minorEastAsia" w:hAnsiTheme="minorEastAsia" w:eastAsiaTheme="minorEastAsia"/>
          <w:color w:val="171717" w:themeColor="background2" w:themeShade="1A"/>
          <w:kern w:val="0"/>
          <w:sz w:val="28"/>
          <w:szCs w:val="28"/>
        </w:rPr>
        <w:t>0.6</w:t>
      </w:r>
      <w:r>
        <w:rPr>
          <w:rFonts w:hint="eastAsia" w:cs="宋体" w:asciiTheme="minorEastAsia" w:hAnsiTheme="minorEastAsia" w:eastAsiaTheme="minorEastAsia"/>
          <w:color w:val="171717" w:themeColor="background2" w:themeShade="1A"/>
          <w:kern w:val="0"/>
          <w:sz w:val="28"/>
          <w:szCs w:val="28"/>
        </w:rPr>
        <w:t>2万元。</w:t>
      </w:r>
    </w:p>
    <w:p>
      <w:pPr>
        <w:widowControl/>
        <w:spacing w:line="560" w:lineRule="exact"/>
        <w:ind w:firstLine="560" w:firstLineChars="200"/>
        <w:jc w:val="left"/>
        <w:rPr>
          <w:rFonts w:ascii="仿宋_GB2312" w:hAnsi="宋体" w:eastAsia="仿宋_GB2312" w:cs="宋体"/>
          <w:color w:val="171717" w:themeColor="background2" w:themeShade="1A"/>
          <w:kern w:val="0"/>
          <w:sz w:val="32"/>
          <w:szCs w:val="32"/>
        </w:rPr>
      </w:pPr>
      <w:r>
        <w:rPr>
          <w:rFonts w:hint="eastAsia" w:cs="宋体" w:asciiTheme="minorEastAsia" w:hAnsiTheme="minorEastAsia" w:eastAsiaTheme="minorEastAsia"/>
          <w:color w:val="171717" w:themeColor="background2" w:themeShade="1A"/>
          <w:kern w:val="0"/>
          <w:sz w:val="28"/>
          <w:szCs w:val="28"/>
        </w:rPr>
        <w:t>2016年“三公”经费财政拨款预算与上年持平，其中：因公出国（境）费、公务用车购置费、公务用车运行费未安排预算。公务接待费比上年增长0.01万元。</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八、关于乌鲁木齐市第四十一小学2016年政府性基金预算拨款情况说明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乌鲁木齐市第四十一小学2016年没有使用政府性基金预算拨款安排的支出，政府性基金预算支出情况表为空表。</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九、其他重要事项的情况说明</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2016年，乌鲁木齐市第四十一小学及下属单位政府采购预算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万元，其中：政府采购货物预算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万元，政府采购工程预算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万元，政府采购服务预算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2016年度本乌鲁木齐市第四十一小学面向中小企业预留政府采购项目预算金额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万元，其中：面向小微企业预留政府采购项目预算金额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截至2015年底，乌鲁木齐市第四十一小学及下属各预算单位占用使用国有资产总体情况为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w:t>
      </w:r>
      <w:r>
        <w:rPr>
          <w:rFonts w:cs="宋体" w:asciiTheme="minorEastAsia" w:hAnsiTheme="minorEastAsia" w:eastAsiaTheme="minorEastAsia"/>
          <w:color w:val="171717" w:themeColor="background2" w:themeShade="1A"/>
          <w:kern w:val="0"/>
          <w:sz w:val="28"/>
          <w:szCs w:val="28"/>
        </w:rPr>
        <w:t>6,500.00</w:t>
      </w:r>
      <w:r>
        <w:rPr>
          <w:rFonts w:hint="eastAsia" w:cs="宋体" w:asciiTheme="minorEastAsia" w:hAnsiTheme="minorEastAsia" w:eastAsiaTheme="minorEastAsia"/>
          <w:color w:val="171717" w:themeColor="background2" w:themeShade="1A"/>
          <w:kern w:val="0"/>
          <w:sz w:val="28"/>
          <w:szCs w:val="28"/>
        </w:rPr>
        <w:t>平方米，价值</w:t>
      </w:r>
      <w:r>
        <w:rPr>
          <w:rFonts w:cs="宋体" w:asciiTheme="minorEastAsia" w:hAnsiTheme="minorEastAsia" w:eastAsiaTheme="minorEastAsia"/>
          <w:color w:val="171717" w:themeColor="background2" w:themeShade="1A"/>
          <w:kern w:val="0"/>
          <w:sz w:val="28"/>
          <w:szCs w:val="28"/>
        </w:rPr>
        <w:t>581.84</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2.车辆2辆，价值</w:t>
      </w:r>
      <w:r>
        <w:rPr>
          <w:rFonts w:cs="宋体" w:asciiTheme="minorEastAsia" w:hAnsiTheme="minorEastAsia" w:eastAsiaTheme="minorEastAsia"/>
          <w:color w:val="171717" w:themeColor="background2" w:themeShade="1A"/>
          <w:kern w:val="0"/>
          <w:sz w:val="28"/>
          <w:szCs w:val="28"/>
        </w:rPr>
        <w:t>19.50</w:t>
      </w:r>
      <w:r>
        <w:rPr>
          <w:rFonts w:hint="eastAsia" w:cs="宋体" w:asciiTheme="minorEastAsia" w:hAnsiTheme="minorEastAsia" w:eastAsiaTheme="minorEastAsia"/>
          <w:color w:val="171717" w:themeColor="background2" w:themeShade="1A"/>
          <w:kern w:val="0"/>
          <w:sz w:val="28"/>
          <w:szCs w:val="28"/>
        </w:rPr>
        <w:t>万元；其中：一般公务用车0辆，价值0万元；执法执勤用车0辆，价值0万元；其他车辆2辆，价值</w:t>
      </w:r>
      <w:r>
        <w:rPr>
          <w:rFonts w:cs="宋体" w:asciiTheme="minorEastAsia" w:hAnsiTheme="minorEastAsia" w:eastAsiaTheme="minorEastAsia"/>
          <w:color w:val="171717" w:themeColor="background2" w:themeShade="1A"/>
          <w:kern w:val="0"/>
          <w:sz w:val="28"/>
          <w:szCs w:val="28"/>
        </w:rPr>
        <w:t>19.50</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3.其他资产(含办公家具)价值40.66万元。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60" w:lineRule="exact"/>
        <w:ind w:firstLine="560" w:firstLineChars="200"/>
        <w:jc w:val="left"/>
        <w:rPr>
          <w:rFonts w:ascii="仿宋_GB2312" w:hAnsi="宋体" w:eastAsia="仿宋_GB2312" w:cs="宋体"/>
          <w:color w:val="171717" w:themeColor="background2" w:themeShade="1A"/>
          <w:kern w:val="0"/>
          <w:sz w:val="32"/>
          <w:szCs w:val="32"/>
        </w:rPr>
      </w:pPr>
      <w:r>
        <w:rPr>
          <w:rFonts w:hint="eastAsia" w:cs="宋体" w:asciiTheme="minorEastAsia" w:hAnsiTheme="minorEastAsia" w:eastAsiaTheme="minorEastAsia"/>
          <w:color w:val="171717" w:themeColor="background2" w:themeShade="1A"/>
          <w:kern w:val="0"/>
          <w:sz w:val="28"/>
          <w:szCs w:val="28"/>
        </w:rPr>
        <w:t>2016年乌鲁木齐市第四十一小学预算未安排购置车辆经费，安排购置50万元以上大型设备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widowControl/>
        <w:jc w:val="left"/>
        <w:rPr>
          <w:rFonts w:ascii="仿宋_GB2312" w:hAnsi="宋体" w:eastAsia="仿宋_GB2312" w:cs="宋体"/>
          <w:color w:val="171717" w:themeColor="background2" w:themeShade="1A"/>
          <w:kern w:val="0"/>
          <w:sz w:val="32"/>
          <w:szCs w:val="32"/>
        </w:rPr>
      </w:pPr>
      <w:r>
        <w:rPr>
          <w:rFonts w:ascii="仿宋_GB2312" w:hAnsi="宋体" w:eastAsia="仿宋_GB2312" w:cs="宋体"/>
          <w:color w:val="171717" w:themeColor="background2" w:themeShade="1A"/>
          <w:kern w:val="0"/>
          <w:sz w:val="32"/>
          <w:szCs w:val="32"/>
        </w:rPr>
        <w:br w:type="page"/>
      </w:r>
    </w:p>
    <w:p>
      <w:pPr>
        <w:widowControl/>
        <w:jc w:val="left"/>
        <w:rPr>
          <w:rFonts w:ascii="仿宋_GB2312" w:hAnsi="宋体" w:eastAsia="仿宋_GB2312" w:cs="宋体"/>
          <w:color w:val="171717" w:themeColor="background2" w:themeShade="1A"/>
          <w:kern w:val="0"/>
          <w:sz w:val="32"/>
          <w:szCs w:val="32"/>
        </w:rPr>
      </w:pPr>
    </w:p>
    <w:p>
      <w:pPr>
        <w:spacing w:line="500" w:lineRule="exact"/>
        <w:jc w:val="center"/>
        <w:rPr>
          <w:rFonts w:ascii="宋体" w:hAnsi="宋体" w:cs="宋体"/>
          <w:b/>
          <w:color w:val="171717" w:themeColor="background2" w:themeShade="1A"/>
          <w:kern w:val="0"/>
          <w:sz w:val="36"/>
          <w:szCs w:val="36"/>
        </w:rPr>
      </w:pPr>
      <w:r>
        <w:rPr>
          <w:rFonts w:hint="eastAsia" w:ascii="宋体" w:hAnsi="宋体" w:cs="宋体"/>
          <w:b/>
          <w:color w:val="171717" w:themeColor="background2" w:themeShade="1A"/>
          <w:kern w:val="0"/>
          <w:sz w:val="36"/>
          <w:szCs w:val="36"/>
        </w:rPr>
        <w:t>财政支出绩效目标申报表</w:t>
      </w:r>
    </w:p>
    <w:p>
      <w:pPr>
        <w:spacing w:line="500" w:lineRule="exact"/>
        <w:jc w:val="center"/>
        <w:rPr>
          <w:rFonts w:ascii="仿宋_GB2312" w:hAnsi="宋体" w:eastAsia="仿宋_GB2312" w:cs="宋体"/>
          <w:color w:val="171717" w:themeColor="background2" w:themeShade="1A"/>
          <w:kern w:val="0"/>
          <w:sz w:val="36"/>
          <w:szCs w:val="36"/>
        </w:rPr>
      </w:pPr>
      <w:r>
        <w:rPr>
          <w:rFonts w:hint="eastAsia" w:ascii="仿宋_GB2312" w:hAnsi="宋体" w:eastAsia="仿宋_GB2312" w:cs="宋体"/>
          <w:color w:val="171717" w:themeColor="background2" w:themeShade="1A"/>
          <w:kern w:val="0"/>
          <w:sz w:val="36"/>
          <w:szCs w:val="36"/>
        </w:rPr>
        <w:t>（   年度）</w:t>
      </w:r>
    </w:p>
    <w:p>
      <w:pPr>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填报单位：</w:t>
      </w:r>
    </w:p>
    <w:tbl>
      <w:tblPr>
        <w:tblStyle w:val="10"/>
        <w:tblW w:w="9229" w:type="dxa"/>
        <w:jc w:val="center"/>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乌鲁木齐市第四十一小学</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w:t>
            </w:r>
          </w:p>
        </w:tc>
      </w:tr>
      <w:tr>
        <w:tblPrEx>
          <w:tblLayout w:type="fixed"/>
          <w:tblCellMar>
            <w:top w:w="0" w:type="dxa"/>
            <w:left w:w="108" w:type="dxa"/>
            <w:bottom w:w="0" w:type="dxa"/>
            <w:right w:w="108" w:type="dxa"/>
          </w:tblCellMar>
        </w:tblPrEx>
        <w:trPr>
          <w:trHeight w:val="1789"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p>
            <w:pPr>
              <w:rPr>
                <w:rFonts w:ascii="仿宋_GB2312" w:hAnsi="宋体" w:eastAsia="仿宋_GB2312" w:cs="宋体"/>
                <w:color w:val="171717" w:themeColor="background2" w:themeShade="1A"/>
                <w:sz w:val="24"/>
              </w:rPr>
            </w:pPr>
          </w:p>
          <w:p>
            <w:pPr>
              <w:rPr>
                <w:rFonts w:ascii="仿宋_GB2312" w:hAnsi="宋体" w:eastAsia="仿宋_GB2312" w:cs="宋体"/>
                <w:color w:val="171717" w:themeColor="background2" w:themeShade="1A"/>
                <w:sz w:val="24"/>
              </w:rPr>
            </w:pPr>
          </w:p>
        </w:tc>
      </w:tr>
      <w:tr>
        <w:tblPrEx>
          <w:tblLayout w:type="fixed"/>
          <w:tblCellMar>
            <w:top w:w="0" w:type="dxa"/>
            <w:left w:w="108" w:type="dxa"/>
            <w:bottom w:w="0" w:type="dxa"/>
            <w:right w:w="108" w:type="dxa"/>
          </w:tblCellMar>
        </w:tblPrEx>
        <w:trPr>
          <w:trHeight w:val="1995"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bl>
    <w:p>
      <w:pPr>
        <w:widowControl/>
        <w:spacing w:line="560" w:lineRule="exact"/>
        <w:ind w:firstLine="630" w:firstLineChars="196"/>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（四）其他需说明的事项</w:t>
      </w:r>
    </w:p>
    <w:p>
      <w:pPr>
        <w:widowControl/>
        <w:spacing w:line="560" w:lineRule="exact"/>
        <w:ind w:firstLine="640" w:firstLineChars="200"/>
        <w:jc w:val="left"/>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w:t>
      </w:r>
    </w:p>
    <w:p>
      <w:pPr>
        <w:widowControl/>
        <w:spacing w:before="217"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第四部分  名词解释</w:t>
      </w:r>
    </w:p>
    <w:p>
      <w:pPr>
        <w:widowControl/>
        <w:spacing w:line="56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六、项目支出：乌鲁木齐市第四十一小学支出预算的组成部分，是本级乌鲁木齐市第四十一小学为完成其特定的行政任务或事业发展目标，在基本支出预算之外编制的年度项目支出计划。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乌鲁木齐市第四十一小学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乌鲁木齐市第四十一小学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171717" w:themeColor="background2" w:themeShade="1A"/>
          <w:kern w:val="0"/>
          <w:sz w:val="32"/>
          <w:szCs w:val="32"/>
        </w:rPr>
      </w:pPr>
      <w:r>
        <w:rPr>
          <w:rFonts w:hint="eastAsia" w:ascii="仿宋_GB2312" w:eastAsia="仿宋_GB2312"/>
          <w:color w:val="171717" w:themeColor="background2" w:themeShade="1A"/>
          <w:sz w:val="32"/>
          <w:szCs w:val="32"/>
        </w:rPr>
        <w:t>乌鲁木齐市第四十一小学单位</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spacing w:line="560" w:lineRule="exact"/>
        <w:jc w:val="right"/>
        <w:rPr>
          <w:rFonts w:ascii="仿宋_GB2312" w:hAnsi="宋体" w:eastAsia="仿宋_GB2312" w:cs="宋体"/>
          <w:color w:val="171717" w:themeColor="background2" w:themeShade="1A"/>
          <w:kern w:val="0"/>
          <w:sz w:val="32"/>
          <w:szCs w:val="32"/>
        </w:rPr>
      </w:pPr>
      <w:bookmarkStart w:id="0" w:name="_GoBack"/>
      <w:bookmarkEnd w:id="0"/>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21</w:t>
    </w:r>
    <w:r>
      <w:rPr>
        <w:rStyle w:val="9"/>
        <w:sz w:val="28"/>
        <w:szCs w:val="28"/>
      </w:rPr>
      <w:fldChar w:fldCharType="end"/>
    </w:r>
    <w:r>
      <w:rPr>
        <w:rStyle w:val="9"/>
        <w:rFonts w:hint="eastAsia"/>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3134B"/>
    <w:rsid w:val="000359AD"/>
    <w:rsid w:val="000514D5"/>
    <w:rsid w:val="00072E87"/>
    <w:rsid w:val="00093859"/>
    <w:rsid w:val="000A206E"/>
    <w:rsid w:val="000A5A80"/>
    <w:rsid w:val="000B6718"/>
    <w:rsid w:val="000C537D"/>
    <w:rsid w:val="000F0FA3"/>
    <w:rsid w:val="00100514"/>
    <w:rsid w:val="00120792"/>
    <w:rsid w:val="00127843"/>
    <w:rsid w:val="0013218A"/>
    <w:rsid w:val="0013298F"/>
    <w:rsid w:val="00133420"/>
    <w:rsid w:val="00141A8D"/>
    <w:rsid w:val="00152CCD"/>
    <w:rsid w:val="001558E7"/>
    <w:rsid w:val="00181FF0"/>
    <w:rsid w:val="00185336"/>
    <w:rsid w:val="001A2442"/>
    <w:rsid w:val="001C7B0D"/>
    <w:rsid w:val="001F2466"/>
    <w:rsid w:val="00214F44"/>
    <w:rsid w:val="002233DF"/>
    <w:rsid w:val="002328B0"/>
    <w:rsid w:val="00243E31"/>
    <w:rsid w:val="00256832"/>
    <w:rsid w:val="0026142C"/>
    <w:rsid w:val="002747F2"/>
    <w:rsid w:val="002808A4"/>
    <w:rsid w:val="00285BEB"/>
    <w:rsid w:val="00292FB0"/>
    <w:rsid w:val="002A5FD8"/>
    <w:rsid w:val="002B4E0D"/>
    <w:rsid w:val="002D1D83"/>
    <w:rsid w:val="0031599B"/>
    <w:rsid w:val="00321693"/>
    <w:rsid w:val="0032324A"/>
    <w:rsid w:val="0032432E"/>
    <w:rsid w:val="00324DBC"/>
    <w:rsid w:val="00351746"/>
    <w:rsid w:val="00352BFB"/>
    <w:rsid w:val="003545F0"/>
    <w:rsid w:val="00363EE3"/>
    <w:rsid w:val="0039631C"/>
    <w:rsid w:val="003A69B5"/>
    <w:rsid w:val="003C4590"/>
    <w:rsid w:val="00400F9F"/>
    <w:rsid w:val="00412C8A"/>
    <w:rsid w:val="00416D08"/>
    <w:rsid w:val="00423F7D"/>
    <w:rsid w:val="00440C9C"/>
    <w:rsid w:val="00472D3C"/>
    <w:rsid w:val="004838F9"/>
    <w:rsid w:val="004C78DF"/>
    <w:rsid w:val="004E43F3"/>
    <w:rsid w:val="004F2A80"/>
    <w:rsid w:val="00505F21"/>
    <w:rsid w:val="005134C7"/>
    <w:rsid w:val="00524E8B"/>
    <w:rsid w:val="00530590"/>
    <w:rsid w:val="00531E79"/>
    <w:rsid w:val="00534720"/>
    <w:rsid w:val="00537ECD"/>
    <w:rsid w:val="00551343"/>
    <w:rsid w:val="00554107"/>
    <w:rsid w:val="00561CB1"/>
    <w:rsid w:val="00571ACD"/>
    <w:rsid w:val="005B158B"/>
    <w:rsid w:val="005C0752"/>
    <w:rsid w:val="005C4A0D"/>
    <w:rsid w:val="005F1D86"/>
    <w:rsid w:val="005F28E3"/>
    <w:rsid w:val="006003EA"/>
    <w:rsid w:val="006074DD"/>
    <w:rsid w:val="00614B1C"/>
    <w:rsid w:val="00626695"/>
    <w:rsid w:val="00643BC9"/>
    <w:rsid w:val="00644825"/>
    <w:rsid w:val="00645335"/>
    <w:rsid w:val="00645DB7"/>
    <w:rsid w:val="00651B3C"/>
    <w:rsid w:val="006522E6"/>
    <w:rsid w:val="00671D91"/>
    <w:rsid w:val="006839D0"/>
    <w:rsid w:val="00687296"/>
    <w:rsid w:val="006873C2"/>
    <w:rsid w:val="006B4645"/>
    <w:rsid w:val="006D1413"/>
    <w:rsid w:val="006D6DBF"/>
    <w:rsid w:val="006E5761"/>
    <w:rsid w:val="007075D7"/>
    <w:rsid w:val="007140E4"/>
    <w:rsid w:val="00720CC0"/>
    <w:rsid w:val="00723F6D"/>
    <w:rsid w:val="00733FBF"/>
    <w:rsid w:val="0076051F"/>
    <w:rsid w:val="00785328"/>
    <w:rsid w:val="00785465"/>
    <w:rsid w:val="00791D53"/>
    <w:rsid w:val="00795CF6"/>
    <w:rsid w:val="007B51DF"/>
    <w:rsid w:val="007C0F2A"/>
    <w:rsid w:val="007F3C81"/>
    <w:rsid w:val="007F41A2"/>
    <w:rsid w:val="007F786A"/>
    <w:rsid w:val="0080578E"/>
    <w:rsid w:val="00810A45"/>
    <w:rsid w:val="00811616"/>
    <w:rsid w:val="00843EA3"/>
    <w:rsid w:val="0084408C"/>
    <w:rsid w:val="00844277"/>
    <w:rsid w:val="0086017A"/>
    <w:rsid w:val="0086796A"/>
    <w:rsid w:val="008818ED"/>
    <w:rsid w:val="008919F8"/>
    <w:rsid w:val="008978F0"/>
    <w:rsid w:val="008A4EC3"/>
    <w:rsid w:val="008B0285"/>
    <w:rsid w:val="008C15CA"/>
    <w:rsid w:val="008C4D6C"/>
    <w:rsid w:val="008D4BCE"/>
    <w:rsid w:val="008F5D28"/>
    <w:rsid w:val="00901B7A"/>
    <w:rsid w:val="00903C0F"/>
    <w:rsid w:val="0090774D"/>
    <w:rsid w:val="009119B0"/>
    <w:rsid w:val="00920488"/>
    <w:rsid w:val="009228E8"/>
    <w:rsid w:val="00935AFC"/>
    <w:rsid w:val="009505FA"/>
    <w:rsid w:val="00956D0D"/>
    <w:rsid w:val="00981D5D"/>
    <w:rsid w:val="00983240"/>
    <w:rsid w:val="00985F7B"/>
    <w:rsid w:val="009923AD"/>
    <w:rsid w:val="009A0A21"/>
    <w:rsid w:val="009B013C"/>
    <w:rsid w:val="009B5ABA"/>
    <w:rsid w:val="009C7FC3"/>
    <w:rsid w:val="009E62C8"/>
    <w:rsid w:val="009F7453"/>
    <w:rsid w:val="00A41DD8"/>
    <w:rsid w:val="00A5294A"/>
    <w:rsid w:val="00A64D0D"/>
    <w:rsid w:val="00A80666"/>
    <w:rsid w:val="00A839A7"/>
    <w:rsid w:val="00A83BA2"/>
    <w:rsid w:val="00A8609B"/>
    <w:rsid w:val="00A944BB"/>
    <w:rsid w:val="00A966D1"/>
    <w:rsid w:val="00AA0B85"/>
    <w:rsid w:val="00AB50E4"/>
    <w:rsid w:val="00AC458A"/>
    <w:rsid w:val="00AD31F0"/>
    <w:rsid w:val="00AE1429"/>
    <w:rsid w:val="00AE19B3"/>
    <w:rsid w:val="00AE3E97"/>
    <w:rsid w:val="00AE493B"/>
    <w:rsid w:val="00B063BC"/>
    <w:rsid w:val="00B138C6"/>
    <w:rsid w:val="00B31735"/>
    <w:rsid w:val="00B33375"/>
    <w:rsid w:val="00B413E0"/>
    <w:rsid w:val="00B82808"/>
    <w:rsid w:val="00B9668E"/>
    <w:rsid w:val="00BD5383"/>
    <w:rsid w:val="00BD58F1"/>
    <w:rsid w:val="00C01B2C"/>
    <w:rsid w:val="00C047D4"/>
    <w:rsid w:val="00C10839"/>
    <w:rsid w:val="00C1143E"/>
    <w:rsid w:val="00C45F86"/>
    <w:rsid w:val="00C579C3"/>
    <w:rsid w:val="00C60D47"/>
    <w:rsid w:val="00C662E5"/>
    <w:rsid w:val="00C90C45"/>
    <w:rsid w:val="00CA4BDE"/>
    <w:rsid w:val="00CA55E6"/>
    <w:rsid w:val="00CB4EA1"/>
    <w:rsid w:val="00D07E0B"/>
    <w:rsid w:val="00D3056D"/>
    <w:rsid w:val="00D3373F"/>
    <w:rsid w:val="00D72C92"/>
    <w:rsid w:val="00D82EA6"/>
    <w:rsid w:val="00D8438B"/>
    <w:rsid w:val="00DA1DC7"/>
    <w:rsid w:val="00DA4536"/>
    <w:rsid w:val="00DB491A"/>
    <w:rsid w:val="00DC3354"/>
    <w:rsid w:val="00DE189C"/>
    <w:rsid w:val="00E20A5D"/>
    <w:rsid w:val="00E42932"/>
    <w:rsid w:val="00E43485"/>
    <w:rsid w:val="00E50607"/>
    <w:rsid w:val="00E52978"/>
    <w:rsid w:val="00E61538"/>
    <w:rsid w:val="00E6619B"/>
    <w:rsid w:val="00E74E76"/>
    <w:rsid w:val="00E76440"/>
    <w:rsid w:val="00E9352F"/>
    <w:rsid w:val="00EC63C2"/>
    <w:rsid w:val="00EE1775"/>
    <w:rsid w:val="00F10691"/>
    <w:rsid w:val="00F13FBE"/>
    <w:rsid w:val="00F473A0"/>
    <w:rsid w:val="00F75965"/>
    <w:rsid w:val="00FA1108"/>
    <w:rsid w:val="00FC1A60"/>
    <w:rsid w:val="00FD2B78"/>
    <w:rsid w:val="0C8830A4"/>
    <w:rsid w:val="12257EEB"/>
    <w:rsid w:val="3817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iPriority w:val="0"/>
    <w:rPr>
      <w:sz w:val="18"/>
      <w:szCs w:val="18"/>
    </w:rPr>
  </w:style>
  <w:style w:type="paragraph" w:styleId="3">
    <w:name w:val="footer"/>
    <w:basedOn w:val="1"/>
    <w:link w:val="12"/>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uiPriority w:val="0"/>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uiPriority w:val="99"/>
    <w:rPr>
      <w:rFonts w:ascii="Times New Roman" w:hAnsi="Times New Roman" w:eastAsia="黑体" w:cs="Times New Roman"/>
      <w:snapToGrid w:val="0"/>
      <w:kern w:val="0"/>
      <w:sz w:val="18"/>
      <w:szCs w:val="18"/>
    </w:rPr>
  </w:style>
  <w:style w:type="paragraph" w:customStyle="1" w:styleId="1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uiPriority w:val="0"/>
    <w:rPr>
      <w:rFonts w:ascii="Calibri" w:hAnsi="Calibri" w:cs="黑体"/>
      <w:sz w:val="24"/>
    </w:rPr>
  </w:style>
  <w:style w:type="table" w:customStyle="1" w:styleId="19">
    <w:name w:val="网格型1"/>
    <w:basedOn w:val="1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普通(网站)2"/>
    <w:basedOn w:val="1"/>
    <w:uiPriority w:val="0"/>
    <w:rPr>
      <w:rFonts w:ascii="Calibri" w:hAnsi="Calibri" w:cs="黑体"/>
      <w:sz w:val="24"/>
    </w:rPr>
  </w:style>
  <w:style w:type="paragraph" w:customStyle="1" w:styleId="21">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DF15D-619D-4C5A-94A2-9F8E4B28A4C9}">
  <ds:schemaRefs/>
</ds:datastoreItem>
</file>

<file path=docProps/app.xml><?xml version="1.0" encoding="utf-8"?>
<Properties xmlns="http://schemas.openxmlformats.org/officeDocument/2006/extended-properties" xmlns:vt="http://schemas.openxmlformats.org/officeDocument/2006/docPropsVTypes">
  <Template>Normal</Template>
  <Pages>21</Pages>
  <Words>1275</Words>
  <Characters>7270</Characters>
  <Lines>60</Lines>
  <Paragraphs>17</Paragraphs>
  <TotalTime>56</TotalTime>
  <ScaleCrop>false</ScaleCrop>
  <LinksUpToDate>false</LinksUpToDate>
  <CharactersWithSpaces>8528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2018-03-22T03:45:00Z</dcterms:created>
  <dc:creator>Administrator</dc:creator>
  <cp:lastModifiedBy>zx</cp:lastModifiedBy>
  <dcterms:modified xsi:type="dcterms:W3CDTF">2018-12-16T21:14:15Z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