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乌鲁木齐市第八十六中学</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r>
        <w:rPr>
          <w:rFonts w:ascii="黑体" w:hAnsi="黑体" w:eastAsia="黑体"/>
          <w:color w:val="171717" w:themeColor="background2" w:themeShade="1A"/>
          <w:kern w:val="0"/>
          <w:sz w:val="44"/>
          <w:szCs w:val="44"/>
        </w:rPr>
        <w:t>2016</w:t>
      </w:r>
      <w:r>
        <w:rPr>
          <w:rFonts w:hint="eastAsia" w:ascii="黑体" w:hAnsi="黑体" w:eastAsia="黑体"/>
          <w:color w:val="171717" w:themeColor="background2" w:themeShade="1A"/>
          <w:kern w:val="0"/>
          <w:sz w:val="44"/>
          <w:szCs w:val="44"/>
        </w:rPr>
        <w:t>年</w:t>
      </w:r>
      <w:r>
        <w:rPr>
          <w:rFonts w:ascii="黑体" w:hAnsi="黑体" w:eastAsia="黑体"/>
          <w:color w:val="171717" w:themeColor="background2" w:themeShade="1A"/>
          <w:kern w:val="0"/>
          <w:sz w:val="44"/>
          <w:szCs w:val="44"/>
        </w:rPr>
        <w:t>部门</w:t>
      </w:r>
      <w:r>
        <w:rPr>
          <w:rFonts w:hint="eastAsia" w:ascii="黑体" w:hAnsi="黑体" w:eastAsia="黑体"/>
          <w:color w:val="171717" w:themeColor="background2" w:themeShade="1A"/>
          <w:kern w:val="0"/>
          <w:sz w:val="44"/>
          <w:szCs w:val="44"/>
        </w:rPr>
        <w:t>预算公开</w:t>
      </w: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300" w:lineRule="auto"/>
        <w:jc w:val="center"/>
        <w:outlineLvl w:val="1"/>
        <w:rPr>
          <w:rFonts w:ascii="黑体" w:hAnsi="黑体" w:eastAsia="黑体"/>
          <w:color w:val="171717" w:themeColor="background2" w:themeShade="1A"/>
          <w:kern w:val="0"/>
          <w:sz w:val="44"/>
          <w:szCs w:val="44"/>
        </w:rPr>
      </w:pP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第一部分  乌鲁木齐市第八十六中学单位概况</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一、主要职能</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二、机构设置及人员情况</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第二部分  2016年部门预算公开表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一、部门收支总体情况表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二、部门收入总体情况表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三、部门支出总体情况表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四、财政拨款收支总体情况表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五、一般公共预算支出情况表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六、一般公共预算基本支出情况表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七、项目支出情况表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八、一般公共预算“三公”经费支出情况表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九、政府性基金预算支出情况表</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第三部分  乌鲁木齐市第八十六中学年预算情况说明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一、关于乌鲁木齐市第八十六中学2016年收支预算情况的总体说明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二、关于乌鲁木齐市第八十六中学2016年收入预算情况说明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三、关于乌鲁木齐市第八十六中学2016年支出预算情况说明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四、关于乌鲁木齐市第八十六中学2016年财政拨款收支预算情况的总体说明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五、关于乌鲁木齐市第八十六中学2016年一般公共预算当年拨款情况说明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六、关于乌鲁木齐市第八十六中学2016年一般公共预算基本支出情况说明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七、关于乌鲁木齐市第八十六中学2016年项目支出情况说明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八、关于乌鲁木齐市第八十六中学2016年一般公共预算“三公”经费预算情况说明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九、关于乌鲁木齐市第八十六中学2016年政府性基金预算拨款情况说明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十、其他重要事项的情况说明</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第四部分  名词解释</w:t>
      </w:r>
    </w:p>
    <w:p>
      <w:pPr>
        <w:widowControl/>
        <w:jc w:val="left"/>
        <w:rPr>
          <w:rFonts w:ascii="仿宋_GB2312" w:eastAsia="仿宋_GB2312" w:hAnsiTheme="minorEastAsia"/>
          <w:b/>
          <w:color w:val="171717" w:themeColor="background2" w:themeShade="1A"/>
          <w:kern w:val="0"/>
          <w:sz w:val="32"/>
          <w:szCs w:val="32"/>
        </w:rPr>
      </w:pPr>
      <w:r>
        <w:rPr>
          <w:rFonts w:ascii="仿宋_GB2312" w:eastAsia="仿宋_GB2312" w:hAnsiTheme="minorEastAsia"/>
          <w:b/>
          <w:color w:val="171717" w:themeColor="background2" w:themeShade="1A"/>
          <w:kern w:val="0"/>
          <w:sz w:val="32"/>
          <w:szCs w:val="32"/>
        </w:rPr>
        <w:br w:type="page"/>
      </w:r>
    </w:p>
    <w:p>
      <w:pPr>
        <w:pStyle w:val="2"/>
        <w:spacing w:before="240"/>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第一部分乌鲁木齐市第八十六中学单位概况</w:t>
      </w:r>
    </w:p>
    <w:p>
      <w:pPr>
        <w:jc w:val="center"/>
        <w:rPr>
          <w:rFonts w:ascii="黑体" w:hAnsi="黑体" w:eastAsia="黑体"/>
          <w:color w:val="171717" w:themeColor="background2" w:themeShade="1A"/>
          <w:sz w:val="32"/>
          <w:szCs w:val="32"/>
        </w:rPr>
      </w:pPr>
    </w:p>
    <w:p>
      <w:pPr>
        <w:pStyle w:val="3"/>
        <w:spacing w:line="560" w:lineRule="exact"/>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一、主要职能</w:t>
      </w:r>
    </w:p>
    <w:p>
      <w:pPr>
        <w:snapToGrid w:val="0"/>
        <w:spacing w:line="560" w:lineRule="exact"/>
        <w:ind w:firstLine="560" w:firstLineChars="200"/>
        <w:jc w:val="left"/>
        <w:rPr>
          <w:rFonts w:cs="仿宋"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乌鲁木齐市第八十六中学</w:t>
      </w:r>
      <w:r>
        <w:rPr>
          <w:rFonts w:hint="eastAsia" w:cs="仿宋" w:asciiTheme="minorEastAsia" w:hAnsiTheme="minorEastAsia" w:eastAsiaTheme="minorEastAsia"/>
          <w:color w:val="171717" w:themeColor="background2" w:themeShade="1A"/>
          <w:sz w:val="28"/>
          <w:szCs w:val="28"/>
        </w:rPr>
        <w:t>由乌鲁木齐市水磨沟区人民政府举办，主管部门是乌鲁木齐市水磨沟区教育局。学校是非营利性教育事业单位，具有独立法人资格，实施初中义务教育。</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二、机构设置及人员情况</w:t>
      </w:r>
    </w:p>
    <w:p>
      <w:pPr>
        <w:widowControl/>
        <w:spacing w:line="560" w:lineRule="exact"/>
        <w:ind w:firstLine="560" w:firstLineChars="200"/>
        <w:jc w:val="left"/>
        <w:rPr>
          <w:rFonts w:asciiTheme="minorEastAsia" w:hAnsiTheme="minorEastAsia" w:eastAsiaTheme="minorEastAsia"/>
          <w:color w:val="171717" w:themeColor="background2" w:themeShade="1A"/>
          <w:kern w:val="0"/>
          <w:sz w:val="28"/>
          <w:szCs w:val="28"/>
        </w:rPr>
      </w:pPr>
      <w:r>
        <w:rPr>
          <w:rFonts w:hint="eastAsia" w:cs="仿宋" w:asciiTheme="minorEastAsia" w:hAnsiTheme="minorEastAsia" w:eastAsiaTheme="minorEastAsia"/>
          <w:color w:val="171717" w:themeColor="background2" w:themeShade="1A"/>
          <w:sz w:val="28"/>
          <w:szCs w:val="28"/>
        </w:rPr>
        <w:t>学校行政设置党政办公室、德育处、教务处、教科研室、保卫科等职能部门，分别承担相应的管理职能。</w:t>
      </w:r>
    </w:p>
    <w:p>
      <w:pPr>
        <w:spacing w:line="560" w:lineRule="exact"/>
        <w:ind w:firstLine="560" w:firstLineChars="200"/>
        <w:jc w:val="left"/>
        <w:rPr>
          <w:rFonts w:asciiTheme="minorEastAsia" w:hAnsiTheme="minorEastAsia" w:eastAsiaTheme="minorEastAsia"/>
          <w:color w:val="171717" w:themeColor="background2" w:themeShade="1A"/>
          <w:sz w:val="28"/>
          <w:szCs w:val="28"/>
          <w:shd w:val="clear" w:color="auto" w:fill="FFFFFF"/>
        </w:rPr>
      </w:pPr>
      <w:r>
        <w:rPr>
          <w:rFonts w:hint="eastAsia" w:asciiTheme="minorEastAsia" w:hAnsiTheme="minorEastAsia" w:eastAsiaTheme="minorEastAsia"/>
          <w:color w:val="171717" w:themeColor="background2" w:themeShade="1A"/>
          <w:sz w:val="28"/>
          <w:szCs w:val="28"/>
        </w:rPr>
        <w:t>乌鲁木齐市第八十六中学编制人数67人，全额拨款事业单位人员编制67人。乌鲁木齐市第八十六中学实有在职人数61人，其中：全额拨款事业单位人员61人。</w:t>
      </w:r>
    </w:p>
    <w:p>
      <w:pPr>
        <w:widowControl/>
        <w:spacing w:line="300" w:lineRule="auto"/>
        <w:jc w:val="left"/>
        <w:rPr>
          <w:rFonts w:cs="宋体" w:asciiTheme="minorEastAsia" w:hAnsiTheme="minorEastAsia" w:eastAsiaTheme="minorEastAsia"/>
          <w:color w:val="171717" w:themeColor="background2" w:themeShade="1A"/>
          <w:kern w:val="0"/>
          <w:sz w:val="28"/>
          <w:szCs w:val="28"/>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pStyle w:val="2"/>
        <w:spacing w:before="240"/>
        <w:rPr>
          <w:rFonts w:ascii="黑体" w:hAnsi="黑体" w:eastAsia="黑体"/>
          <w:b w:val="0"/>
          <w:color w:val="171717" w:themeColor="background2" w:themeShade="1A"/>
        </w:rPr>
      </w:pPr>
      <w:r>
        <w:rPr>
          <w:rFonts w:hint="eastAsia" w:ascii="黑体" w:hAnsi="黑体" w:eastAsia="黑体"/>
          <w:b w:val="0"/>
          <w:color w:val="171717" w:themeColor="background2" w:themeShade="1A"/>
        </w:rPr>
        <w:t>第二部分乌鲁木齐市第八十六中学2016年部门预算公开表</w:t>
      </w:r>
    </w:p>
    <w:p>
      <w:pPr>
        <w:widowControl/>
        <w:spacing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表一：</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部门收支总体情况表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                                                单位：万元</w:t>
      </w:r>
    </w:p>
    <w:tbl>
      <w:tblPr>
        <w:tblStyle w:val="13"/>
        <w:tblW w:w="8931" w:type="dxa"/>
        <w:tblInd w:w="-176"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360" w:hRule="atLeast"/>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704"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1164.92</w:t>
            </w:r>
          </w:p>
          <w:p>
            <w:pPr>
              <w:widowControl/>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一般公共预算</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1164.92</w:t>
            </w:r>
          </w:p>
          <w:p>
            <w:pPr>
              <w:widowControl/>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政府性基金预算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非税收入</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其他资金</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1164.92</w:t>
            </w:r>
          </w:p>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结转</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结余</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549" w:type="dxa"/>
            <w:tcBorders>
              <w:top w:val="nil"/>
              <w:left w:val="single" w:color="auto" w:sz="4" w:space="0"/>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70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1164.92</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1164.92</w:t>
            </w:r>
          </w:p>
        </w:tc>
      </w:tr>
    </w:tbl>
    <w:p>
      <w:pPr>
        <w:widowControl/>
        <w:spacing w:line="300" w:lineRule="auto"/>
        <w:jc w:val="left"/>
        <w:outlineLvl w:val="1"/>
        <w:rPr>
          <w:rFonts w:ascii="仿宋_GB2312" w:eastAsia="仿宋_GB2312" w:hAnsiTheme="minorEastAsia"/>
          <w:color w:val="171717" w:themeColor="background2" w:themeShade="1A"/>
          <w:kern w:val="0"/>
          <w:sz w:val="18"/>
          <w:szCs w:val="18"/>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表二：</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部门收入总体情况表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填报部门：                                                       单位：万元</w:t>
      </w:r>
    </w:p>
    <w:tbl>
      <w:tblPr>
        <w:tblStyle w:val="13"/>
        <w:tblW w:w="8976" w:type="dxa"/>
        <w:tblInd w:w="93" w:type="dxa"/>
        <w:tblLayout w:type="fixed"/>
        <w:tblCellMar>
          <w:top w:w="0" w:type="dxa"/>
          <w:left w:w="108" w:type="dxa"/>
          <w:bottom w:w="0" w:type="dxa"/>
          <w:right w:w="108" w:type="dxa"/>
        </w:tblCellMar>
      </w:tblPr>
      <w:tblGrid>
        <w:gridCol w:w="546"/>
        <w:gridCol w:w="457"/>
        <w:gridCol w:w="457"/>
        <w:gridCol w:w="1428"/>
        <w:gridCol w:w="936"/>
        <w:gridCol w:w="936"/>
        <w:gridCol w:w="680"/>
        <w:gridCol w:w="680"/>
        <w:gridCol w:w="680"/>
        <w:gridCol w:w="680"/>
        <w:gridCol w:w="816"/>
        <w:gridCol w:w="680"/>
      </w:tblGrid>
      <w:tr>
        <w:tblPrEx>
          <w:tblLayout w:type="fixed"/>
          <w:tblCellMar>
            <w:top w:w="0" w:type="dxa"/>
            <w:left w:w="108" w:type="dxa"/>
            <w:bottom w:w="0" w:type="dxa"/>
            <w:right w:w="108" w:type="dxa"/>
          </w:tblCellMar>
        </w:tblPrEx>
        <w:trPr>
          <w:trHeight w:val="510" w:hRule="atLeast"/>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功能分类科目编码</w:t>
            </w:r>
          </w:p>
        </w:tc>
        <w:tc>
          <w:tcPr>
            <w:tcW w:w="14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功能分类科目名称</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总  计</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事业单位经营收入</w:t>
            </w:r>
          </w:p>
        </w:tc>
        <w:tc>
          <w:tcPr>
            <w:tcW w:w="14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项</w:t>
            </w: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816"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w:t>
            </w:r>
          </w:p>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1428"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93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1164.92</w:t>
            </w:r>
          </w:p>
        </w:tc>
        <w:tc>
          <w:tcPr>
            <w:tcW w:w="93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1164.92</w:t>
            </w: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center"/>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center"/>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center"/>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center"/>
              <w:rPr>
                <w:rFonts w:ascii="仿宋_GB2312" w:eastAsia="仿宋_GB2312" w:cs="宋体" w:hAnsiTheme="minorEastAsia"/>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center"/>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1428"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28"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合计</w:t>
            </w:r>
          </w:p>
        </w:tc>
        <w:tc>
          <w:tcPr>
            <w:tcW w:w="93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1164.92</w:t>
            </w:r>
          </w:p>
        </w:tc>
        <w:tc>
          <w:tcPr>
            <w:tcW w:w="93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1164.92</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表三：</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部门支出总体情况表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                                                      单位：万元</w:t>
      </w:r>
    </w:p>
    <w:tbl>
      <w:tblPr>
        <w:tblStyle w:val="13"/>
        <w:tblW w:w="9229" w:type="dxa"/>
        <w:tblInd w:w="93" w:type="dxa"/>
        <w:tblLayout w:type="fixed"/>
        <w:tblCellMar>
          <w:top w:w="0" w:type="dxa"/>
          <w:left w:w="108" w:type="dxa"/>
          <w:bottom w:w="0" w:type="dxa"/>
          <w:right w:w="108" w:type="dxa"/>
        </w:tblCellMar>
      </w:tblPr>
      <w:tblGrid>
        <w:gridCol w:w="546"/>
        <w:gridCol w:w="457"/>
        <w:gridCol w:w="457"/>
        <w:gridCol w:w="2510"/>
        <w:gridCol w:w="1800"/>
        <w:gridCol w:w="1801"/>
        <w:gridCol w:w="1658"/>
      </w:tblGrid>
      <w:tr>
        <w:tblPrEx>
          <w:tblLayout w:type="fixed"/>
          <w:tblCellMar>
            <w:top w:w="0" w:type="dxa"/>
            <w:left w:w="108" w:type="dxa"/>
            <w:bottom w:w="0" w:type="dxa"/>
            <w:right w:w="108" w:type="dxa"/>
          </w:tblCellMar>
        </w:tblPrEx>
        <w:trPr>
          <w:trHeight w:val="345" w:hRule="atLeast"/>
        </w:trPr>
        <w:tc>
          <w:tcPr>
            <w:tcW w:w="39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259"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8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8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65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0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5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eastAsia="仿宋_GB2312" w:cs="宋体" w:hAnsiTheme="minorEastAsia"/>
                <w:color w:val="171717" w:themeColor="background2" w:themeShade="1A"/>
                <w:kern w:val="0"/>
                <w:sz w:val="18"/>
                <w:szCs w:val="18"/>
              </w:rPr>
              <w:t>1164.92</w:t>
            </w:r>
          </w:p>
        </w:tc>
        <w:tc>
          <w:tcPr>
            <w:tcW w:w="18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eastAsia="仿宋_GB2312" w:cs="宋体" w:hAnsiTheme="minorEastAsia"/>
                <w:color w:val="171717" w:themeColor="background2" w:themeShade="1A"/>
                <w:kern w:val="0"/>
                <w:sz w:val="18"/>
                <w:szCs w:val="18"/>
              </w:rPr>
              <w:t>1061.62</w:t>
            </w: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103.3</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p>
        </w:tc>
        <w:tc>
          <w:tcPr>
            <w:tcW w:w="18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8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7"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80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1164.92</w:t>
            </w: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1061.62</w:t>
            </w: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103.3</w:t>
            </w:r>
          </w:p>
        </w:tc>
      </w:tr>
    </w:tbl>
    <w:p>
      <w:pPr>
        <w:widowControl/>
        <w:spacing w:beforeLines="50"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表四：</w:t>
      </w:r>
    </w:p>
    <w:p>
      <w:pPr>
        <w:widowControl/>
        <w:spacing w:beforeLines="50"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财政拨款收支预算总体情况表</w:t>
      </w:r>
    </w:p>
    <w:p>
      <w:pPr>
        <w:widowControl/>
        <w:spacing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                                          单位：万元</w:t>
      </w:r>
    </w:p>
    <w:tbl>
      <w:tblPr>
        <w:tblStyle w:val="13"/>
        <w:tblW w:w="9229" w:type="dxa"/>
        <w:tblInd w:w="93" w:type="dxa"/>
        <w:tblLayout w:type="fixed"/>
        <w:tblCellMar>
          <w:top w:w="0" w:type="dxa"/>
          <w:left w:w="108" w:type="dxa"/>
          <w:bottom w:w="0" w:type="dxa"/>
          <w:right w:w="108" w:type="dxa"/>
        </w:tblCellMar>
      </w:tblPr>
      <w:tblGrid>
        <w:gridCol w:w="1745"/>
        <w:gridCol w:w="1418"/>
        <w:gridCol w:w="2551"/>
        <w:gridCol w:w="1247"/>
        <w:gridCol w:w="1134"/>
        <w:gridCol w:w="1134"/>
      </w:tblGrid>
      <w:tr>
        <w:tblPrEx>
          <w:tblLayout w:type="fixed"/>
          <w:tblCellMar>
            <w:top w:w="0" w:type="dxa"/>
            <w:left w:w="108" w:type="dxa"/>
            <w:bottom w:w="0" w:type="dxa"/>
            <w:right w:w="108" w:type="dxa"/>
          </w:tblCellMar>
        </w:tblPrEx>
        <w:trPr>
          <w:trHeight w:val="285" w:hRule="atLeast"/>
        </w:trPr>
        <w:tc>
          <w:tcPr>
            <w:tcW w:w="316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财政拨款收入</w:t>
            </w:r>
          </w:p>
        </w:tc>
        <w:tc>
          <w:tcPr>
            <w:tcW w:w="6066"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1195" w:hRule="atLeast"/>
        </w:trPr>
        <w:tc>
          <w:tcPr>
            <w:tcW w:w="174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255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  能  分  类</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一般公共预算</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1164.92</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一般公共预算</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1164.92</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政府性基金预算</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ind w:right="24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1164.92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1164.92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ind w:right="240"/>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1164.92</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ind w:right="24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1164.92</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00" w:lineRule="auto"/>
              <w:ind w:right="24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1164.92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230 转移性支出</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1164.92</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总  计</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ind w:right="24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1164.92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right="24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1164.92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表五：</w:t>
      </w:r>
    </w:p>
    <w:tbl>
      <w:tblPr>
        <w:tblStyle w:val="13"/>
        <w:tblW w:w="9232" w:type="dxa"/>
        <w:tblInd w:w="98" w:type="dxa"/>
        <w:tblLayout w:type="fixed"/>
        <w:tblCellMar>
          <w:top w:w="0" w:type="dxa"/>
          <w:left w:w="108" w:type="dxa"/>
          <w:bottom w:w="0" w:type="dxa"/>
          <w:right w:w="108" w:type="dxa"/>
        </w:tblCellMar>
      </w:tblPr>
      <w:tblGrid>
        <w:gridCol w:w="546"/>
        <w:gridCol w:w="492"/>
        <w:gridCol w:w="457"/>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32" w:type="dxa"/>
            <w:gridSpan w:val="7"/>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一般公共预算支出情况表</w:t>
            </w:r>
          </w:p>
          <w:p>
            <w:pPr>
              <w:widowControl/>
              <w:spacing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                                          单位：万元</w:t>
            </w:r>
          </w:p>
        </w:tc>
      </w:tr>
      <w:tr>
        <w:tblPrEx>
          <w:tblLayout w:type="fixed"/>
          <w:tblCellMar>
            <w:top w:w="0" w:type="dxa"/>
            <w:left w:w="108" w:type="dxa"/>
            <w:bottom w:w="0" w:type="dxa"/>
            <w:right w:w="108" w:type="dxa"/>
          </w:tblCellMar>
        </w:tblPrEx>
        <w:trPr>
          <w:trHeight w:val="405" w:hRule="atLeast"/>
        </w:trPr>
        <w:tc>
          <w:tcPr>
            <w:tcW w:w="400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trPr>
        <w:tc>
          <w:tcPr>
            <w:tcW w:w="149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eastAsia="仿宋_GB2312" w:cs="宋体" w:hAnsiTheme="minorEastAsia"/>
                <w:color w:val="171717" w:themeColor="background2" w:themeShade="1A"/>
                <w:kern w:val="0"/>
                <w:sz w:val="18"/>
                <w:szCs w:val="18"/>
              </w:rPr>
              <w:t>1164.92</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eastAsia="仿宋_GB2312" w:cs="宋体" w:hAnsiTheme="minorEastAsia"/>
                <w:color w:val="171717" w:themeColor="background2" w:themeShade="1A"/>
                <w:kern w:val="0"/>
                <w:sz w:val="18"/>
                <w:szCs w:val="18"/>
              </w:rPr>
              <w:t>1061.62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103.3</w:t>
            </w: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eastAsia="仿宋_GB2312" w:cs="宋体" w:hAnsiTheme="minorEastAsia"/>
                <w:color w:val="171717" w:themeColor="background2" w:themeShade="1A"/>
                <w:kern w:val="0"/>
                <w:sz w:val="18"/>
                <w:szCs w:val="18"/>
              </w:rPr>
              <w:t>1164.92</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eastAsia="仿宋_GB2312" w:cs="宋体" w:hAnsiTheme="minorEastAsia"/>
                <w:color w:val="171717" w:themeColor="background2" w:themeShade="1A"/>
                <w:kern w:val="0"/>
                <w:sz w:val="18"/>
                <w:szCs w:val="18"/>
              </w:rPr>
              <w:t>1061.62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103.3</w:t>
            </w:r>
          </w:p>
        </w:tc>
      </w:tr>
    </w:tbl>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表六：</w:t>
      </w:r>
    </w:p>
    <w:tbl>
      <w:tblPr>
        <w:tblStyle w:val="13"/>
        <w:tblW w:w="9147" w:type="dxa"/>
        <w:tblInd w:w="118" w:type="dxa"/>
        <w:tblLayout w:type="fixed"/>
        <w:tblCellMar>
          <w:top w:w="0" w:type="dxa"/>
          <w:left w:w="108" w:type="dxa"/>
          <w:bottom w:w="0" w:type="dxa"/>
          <w:right w:w="108" w:type="dxa"/>
        </w:tblCellMar>
      </w:tblPr>
      <w:tblGrid>
        <w:gridCol w:w="576"/>
        <w:gridCol w:w="577"/>
        <w:gridCol w:w="2891"/>
        <w:gridCol w:w="1701"/>
        <w:gridCol w:w="1701"/>
        <w:gridCol w:w="1701"/>
      </w:tblGrid>
      <w:tr>
        <w:tblPrEx>
          <w:tblLayout w:type="fixed"/>
          <w:tblCellMar>
            <w:top w:w="0" w:type="dxa"/>
            <w:left w:w="108" w:type="dxa"/>
            <w:bottom w:w="0" w:type="dxa"/>
            <w:right w:w="108" w:type="dxa"/>
          </w:tblCellMar>
        </w:tblPrEx>
        <w:trPr>
          <w:trHeight w:val="375" w:hRule="atLeast"/>
        </w:trPr>
        <w:tc>
          <w:tcPr>
            <w:tcW w:w="9147" w:type="dxa"/>
            <w:gridSpan w:val="6"/>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一般公共预算基本支出情况表</w:t>
            </w:r>
          </w:p>
          <w:p>
            <w:pPr>
              <w:widowControl/>
              <w:spacing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                                          单位：万元</w:t>
            </w:r>
          </w:p>
        </w:tc>
      </w:tr>
      <w:tr>
        <w:tblPrEx>
          <w:tblLayout w:type="fixed"/>
          <w:tblCellMar>
            <w:top w:w="0" w:type="dxa"/>
            <w:left w:w="108" w:type="dxa"/>
            <w:bottom w:w="0" w:type="dxa"/>
            <w:right w:w="108" w:type="dxa"/>
          </w:tblCellMar>
        </w:tblPrEx>
        <w:trPr>
          <w:trHeight w:val="390" w:hRule="atLeast"/>
        </w:trPr>
        <w:tc>
          <w:tcPr>
            <w:tcW w:w="404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10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56" w:hRule="atLeast"/>
        </w:trPr>
        <w:tc>
          <w:tcPr>
            <w:tcW w:w="115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138"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201.9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201.9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津贴补贴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50.04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50.04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奖金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216.72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216.72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绩效工资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176.23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176.23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其他工资福利支出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0.77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0.77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办公费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12.49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12.49</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6.24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6.24</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8.47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8.47</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邮电费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3.57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3.57</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办公取暖费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25.97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25.97</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物业管理费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1.78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1.78</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差旅费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5.35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5.35</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维修(护)费(含其他维修)</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12.04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12.04</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租赁费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1.34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1.34</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培训费小计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15.7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15.7</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公务接待费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0.62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0.62</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专用材料费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4.91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4.91</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劳务费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1.78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1.78</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工会经费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2.69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2.69</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福利费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11.29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11.29</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其他商品服务支出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16.89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16.89</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退休费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120.48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120.48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奖励金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81.39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81.39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10</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住房公积金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67.22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67.22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采暖补贴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7.45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7.45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其他对个人和家庭的补助支出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8.29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8.29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1061.62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930.49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131.13</w:t>
            </w: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表七：</w:t>
      </w:r>
    </w:p>
    <w:tbl>
      <w:tblPr>
        <w:tblStyle w:val="13"/>
        <w:tblW w:w="10762" w:type="dxa"/>
        <w:jc w:val="center"/>
        <w:tblInd w:w="0" w:type="dxa"/>
        <w:tblLayout w:type="fixed"/>
        <w:tblCellMar>
          <w:top w:w="0" w:type="dxa"/>
          <w:left w:w="108" w:type="dxa"/>
          <w:bottom w:w="0" w:type="dxa"/>
          <w:right w:w="108" w:type="dxa"/>
        </w:tblCellMar>
      </w:tblPr>
      <w:tblGrid>
        <w:gridCol w:w="11"/>
        <w:gridCol w:w="535"/>
        <w:gridCol w:w="457"/>
        <w:gridCol w:w="457"/>
        <w:gridCol w:w="851"/>
        <w:gridCol w:w="1456"/>
        <w:gridCol w:w="936"/>
        <w:gridCol w:w="936"/>
        <w:gridCol w:w="536"/>
        <w:gridCol w:w="711"/>
        <w:gridCol w:w="652"/>
        <w:gridCol w:w="698"/>
        <w:gridCol w:w="457"/>
        <w:gridCol w:w="698"/>
        <w:gridCol w:w="457"/>
        <w:gridCol w:w="457"/>
        <w:gridCol w:w="389"/>
        <w:gridCol w:w="68"/>
      </w:tblGrid>
      <w:tr>
        <w:tblPrEx>
          <w:tblLayout w:type="fixed"/>
          <w:tblCellMar>
            <w:top w:w="0" w:type="dxa"/>
            <w:left w:w="108" w:type="dxa"/>
            <w:bottom w:w="0" w:type="dxa"/>
            <w:right w:w="108" w:type="dxa"/>
          </w:tblCellMar>
        </w:tblPrEx>
        <w:trPr>
          <w:gridBefore w:val="1"/>
          <w:gridAfter w:val="1"/>
          <w:wBefore w:w="11" w:type="dxa"/>
          <w:wAfter w:w="68" w:type="dxa"/>
          <w:trHeight w:val="375" w:hRule="atLeast"/>
          <w:jc w:val="center"/>
        </w:trPr>
        <w:tc>
          <w:tcPr>
            <w:tcW w:w="10683" w:type="dxa"/>
            <w:gridSpan w:val="16"/>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一般公共预算项目支出情况表</w:t>
            </w:r>
          </w:p>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hAnsiTheme="minorEastAsia"/>
                <w:color w:val="171717" w:themeColor="background2" w:themeShade="1A"/>
                <w:kern w:val="0"/>
                <w:sz w:val="24"/>
              </w:rPr>
              <w:t>编制部门：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60" w:type="dxa"/>
            <w:gridSpan w:val="4"/>
            <w:shd w:val="clear" w:color="auto" w:fill="auto"/>
            <w:noWrap/>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 目 编 码</w:t>
            </w:r>
          </w:p>
        </w:tc>
        <w:tc>
          <w:tcPr>
            <w:tcW w:w="851" w:type="dxa"/>
            <w:vMerge w:val="restart"/>
            <w:shd w:val="clear" w:color="auto" w:fill="auto"/>
            <w:noWrap/>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科目</w:t>
            </w:r>
          </w:p>
        </w:tc>
        <w:tc>
          <w:tcPr>
            <w:tcW w:w="1456" w:type="dxa"/>
            <w:vMerge w:val="restart"/>
            <w:shd w:val="clear" w:color="auto" w:fill="auto"/>
            <w:noWrap/>
            <w:vAlign w:val="center"/>
          </w:tcPr>
          <w:p>
            <w:pPr>
              <w:spacing w:line="300" w:lineRule="auto"/>
              <w:jc w:val="center"/>
              <w:rPr>
                <w:rFonts w:ascii="仿宋_GB2312" w:eastAsia="仿宋_GB2312" w:hAnsiTheme="minorEastAsia"/>
                <w:color w:val="171717" w:themeColor="background2" w:themeShade="1A"/>
                <w:sz w:val="18"/>
                <w:szCs w:val="18"/>
              </w:rPr>
            </w:pPr>
            <w:r>
              <w:rPr>
                <w:rFonts w:hint="eastAsia" w:ascii="仿宋_GB2312" w:eastAsia="仿宋_GB2312" w:hAnsiTheme="minorEastAsia"/>
                <w:b/>
                <w:color w:val="171717" w:themeColor="background2" w:themeShade="1A"/>
                <w:kern w:val="0"/>
                <w:sz w:val="18"/>
                <w:szCs w:val="18"/>
              </w:rPr>
              <w:t>项目名称</w:t>
            </w:r>
          </w:p>
        </w:tc>
        <w:tc>
          <w:tcPr>
            <w:tcW w:w="93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项目支出合计</w:t>
            </w:r>
          </w:p>
        </w:tc>
        <w:tc>
          <w:tcPr>
            <w:tcW w:w="93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工资福利支出</w:t>
            </w:r>
          </w:p>
        </w:tc>
        <w:tc>
          <w:tcPr>
            <w:tcW w:w="53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商品和服务支出</w:t>
            </w:r>
          </w:p>
        </w:tc>
        <w:tc>
          <w:tcPr>
            <w:tcW w:w="711"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对个人和家庭的补助</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债务利息及费用支出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对社会保障基金补助</w:t>
            </w:r>
          </w:p>
        </w:tc>
        <w:tc>
          <w:tcPr>
            <w:tcW w:w="457" w:type="dxa"/>
            <w:gridSpan w:val="2"/>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46" w:type="dxa"/>
            <w:gridSpan w:val="2"/>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类</w:t>
            </w:r>
          </w:p>
        </w:tc>
        <w:tc>
          <w:tcPr>
            <w:tcW w:w="457" w:type="dxa"/>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款</w:t>
            </w:r>
          </w:p>
        </w:tc>
        <w:tc>
          <w:tcPr>
            <w:tcW w:w="457" w:type="dxa"/>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w:t>
            </w:r>
          </w:p>
        </w:tc>
        <w:tc>
          <w:tcPr>
            <w:tcW w:w="851" w:type="dxa"/>
            <w:vMerge w:val="continue"/>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145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93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93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53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711"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gridSpan w:val="2"/>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851"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456"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校园绿化美化经费</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10</w:t>
            </w:r>
          </w:p>
        </w:tc>
        <w:tc>
          <w:tcPr>
            <w:tcW w:w="936" w:type="dxa"/>
            <w:shd w:val="clear" w:color="auto" w:fill="auto"/>
            <w:vAlign w:val="center"/>
          </w:tcPr>
          <w:p>
            <w:pPr>
              <w:widowControl/>
              <w:jc w:val="right"/>
              <w:rPr>
                <w:rFonts w:ascii="仿宋_GB2312" w:eastAsia="仿宋_GB2312"/>
                <w:color w:val="171717" w:themeColor="background2" w:themeShade="1A"/>
                <w:sz w:val="18"/>
                <w:szCs w:val="18"/>
              </w:rPr>
            </w:pPr>
          </w:p>
        </w:tc>
        <w:tc>
          <w:tcPr>
            <w:tcW w:w="53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10</w:t>
            </w:r>
          </w:p>
        </w:tc>
        <w:tc>
          <w:tcPr>
            <w:tcW w:w="71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851"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456"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中考工作经费</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10</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3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10</w:t>
            </w:r>
          </w:p>
        </w:tc>
        <w:tc>
          <w:tcPr>
            <w:tcW w:w="71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851"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456"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2016年临时聘用人员经费</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34.52</w:t>
            </w:r>
          </w:p>
        </w:tc>
        <w:tc>
          <w:tcPr>
            <w:tcW w:w="93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34.52</w:t>
            </w:r>
          </w:p>
        </w:tc>
        <w:tc>
          <w:tcPr>
            <w:tcW w:w="536" w:type="dxa"/>
            <w:shd w:val="clear" w:color="auto" w:fill="auto"/>
            <w:vAlign w:val="center"/>
          </w:tcPr>
          <w:p>
            <w:pPr>
              <w:widowControl/>
              <w:jc w:val="right"/>
              <w:rPr>
                <w:rFonts w:ascii="仿宋_GB2312" w:eastAsia="仿宋_GB2312"/>
                <w:color w:val="171717" w:themeColor="background2" w:themeShade="1A"/>
                <w:sz w:val="18"/>
                <w:szCs w:val="18"/>
              </w:rPr>
            </w:pPr>
          </w:p>
        </w:tc>
        <w:tc>
          <w:tcPr>
            <w:tcW w:w="71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851"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456"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三类人称号人员经费</w:t>
            </w:r>
          </w:p>
        </w:tc>
        <w:tc>
          <w:tcPr>
            <w:tcW w:w="93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0.18</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11"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0.18</w:t>
            </w:r>
          </w:p>
        </w:tc>
        <w:tc>
          <w:tcPr>
            <w:tcW w:w="652"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851"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456"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护校队、安保人员经费</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48.6</w:t>
            </w:r>
          </w:p>
        </w:tc>
        <w:tc>
          <w:tcPr>
            <w:tcW w:w="936" w:type="dxa"/>
            <w:shd w:val="clear" w:color="auto" w:fill="auto"/>
            <w:vAlign w:val="center"/>
          </w:tcPr>
          <w:p>
            <w:pPr>
              <w:widowControl/>
              <w:jc w:val="right"/>
              <w:rPr>
                <w:rFonts w:ascii="仿宋_GB2312" w:eastAsia="仿宋_GB2312"/>
                <w:color w:val="171717" w:themeColor="background2" w:themeShade="1A"/>
                <w:sz w:val="18"/>
                <w:szCs w:val="18"/>
              </w:rPr>
            </w:pPr>
          </w:p>
        </w:tc>
        <w:tc>
          <w:tcPr>
            <w:tcW w:w="5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1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48.6</w:t>
            </w:r>
          </w:p>
        </w:tc>
        <w:tc>
          <w:tcPr>
            <w:tcW w:w="652"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1456" w:type="dxa"/>
            <w:shd w:val="clear" w:color="auto" w:fill="auto"/>
            <w:vAlign w:val="center"/>
          </w:tcPr>
          <w:p>
            <w:pPr>
              <w:widowControl/>
              <w:spacing w:line="300" w:lineRule="auto"/>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合计</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103.30</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34.52</w:t>
            </w:r>
          </w:p>
        </w:tc>
        <w:tc>
          <w:tcPr>
            <w:tcW w:w="5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20</w:t>
            </w:r>
          </w:p>
        </w:tc>
        <w:tc>
          <w:tcPr>
            <w:tcW w:w="71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48.78</w:t>
            </w:r>
          </w:p>
        </w:tc>
        <w:tc>
          <w:tcPr>
            <w:tcW w:w="652"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表八：</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一般公共预算“三公”经费支出情况表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编制单位：                                                    单位：万元</w:t>
      </w:r>
    </w:p>
    <w:tbl>
      <w:tblPr>
        <w:tblStyle w:val="13"/>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0.62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0.62</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表九：</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政府性基金预算支出情况表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编制单位：                                                     单位：万元</w:t>
      </w:r>
    </w:p>
    <w:tbl>
      <w:tblPr>
        <w:tblStyle w:val="13"/>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备注：无内容应公开空表并说明情况。</w:t>
      </w:r>
    </w:p>
    <w:p>
      <w:pPr>
        <w:widowControl/>
        <w:spacing w:line="300" w:lineRule="auto"/>
        <w:jc w:val="left"/>
        <w:outlineLvl w:val="1"/>
        <w:rPr>
          <w:rFonts w:asciiTheme="minorEastAsia" w:hAnsiTheme="minorEastAsia" w:eastAsiaTheme="minorEastAsia"/>
          <w:color w:val="171717" w:themeColor="background2" w:themeShade="1A"/>
          <w:kern w:val="0"/>
          <w:sz w:val="24"/>
        </w:rPr>
        <w:sectPr>
          <w:headerReference r:id="rId3" w:type="default"/>
          <w:footerReference r:id="rId4" w:type="default"/>
          <w:footerReference r:id="rId5" w:type="even"/>
          <w:pgSz w:w="11906" w:h="16838"/>
          <w:pgMar w:top="2098" w:right="1418" w:bottom="1928" w:left="1588" w:header="851" w:footer="992" w:gutter="0"/>
          <w:pgNumType w:fmt="numberInDash"/>
          <w:cols w:space="720" w:num="1"/>
          <w:docGrid w:linePitch="312" w:charSpace="0"/>
        </w:sectPr>
      </w:pPr>
    </w:p>
    <w:p>
      <w:pPr>
        <w:pStyle w:val="2"/>
        <w:spacing w:before="312"/>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第三部分乌鲁木齐市第八十六中学2016年部门预算情况说明</w:t>
      </w:r>
    </w:p>
    <w:p>
      <w:pPr>
        <w:rPr>
          <w:rFonts w:ascii="黑体" w:hAnsi="黑体" w:eastAsia="黑体"/>
          <w:sz w:val="32"/>
          <w:szCs w:val="32"/>
        </w:rPr>
      </w:pPr>
    </w:p>
    <w:p>
      <w:pPr>
        <w:widowControl/>
        <w:spacing w:line="300" w:lineRule="auto"/>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2016年部门预算情况说明</w:t>
      </w:r>
    </w:p>
    <w:p>
      <w:pPr>
        <w:widowControl/>
        <w:spacing w:line="300" w:lineRule="auto"/>
        <w:jc w:val="center"/>
        <w:outlineLvl w:val="1"/>
        <w:rPr>
          <w:rFonts w:ascii="黑体" w:hAnsi="黑体" w:eastAsia="黑体"/>
          <w:color w:val="171717" w:themeColor="background2" w:themeShade="1A"/>
          <w:kern w:val="0"/>
          <w:sz w:val="32"/>
          <w:szCs w:val="32"/>
        </w:rPr>
      </w:pP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一、关于乌鲁木齐市第八十六中学2016年收支预算情况的总体说明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按照全口径预算的原则，乌鲁木齐市第八十六中学2016年所有收入和支出均纳入部门预算管理。收支总预算</w:t>
      </w:r>
      <w:r>
        <w:rPr>
          <w:rFonts w:hint="eastAsia" w:asciiTheme="minorEastAsia" w:hAnsiTheme="minorEastAsia" w:eastAsiaTheme="minorEastAsia"/>
          <w:color w:val="171717" w:themeColor="background2" w:themeShade="1A"/>
          <w:sz w:val="28"/>
          <w:szCs w:val="28"/>
        </w:rPr>
        <w:t>1164.92</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收入预算包括：一般公共预算、单位上年结转（不包括国库集中支付额度结余）等。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支出预算包括：教育支出、社会保障和就业支出等。</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二、关于乌鲁木齐市第八十六中学2016年收入预算情况说明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乌鲁木齐市第八十六中学收入预算</w:t>
      </w:r>
      <w:r>
        <w:rPr>
          <w:rFonts w:hint="eastAsia" w:asciiTheme="minorEastAsia" w:hAnsiTheme="minorEastAsia" w:eastAsiaTheme="minorEastAsia"/>
          <w:color w:val="171717" w:themeColor="background2" w:themeShade="1A"/>
          <w:sz w:val="28"/>
          <w:szCs w:val="28"/>
        </w:rPr>
        <w:t>1164.92</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一般公共预算</w:t>
      </w:r>
      <w:r>
        <w:rPr>
          <w:rFonts w:hint="eastAsia" w:asciiTheme="minorEastAsia" w:hAnsiTheme="minorEastAsia" w:eastAsiaTheme="minorEastAsia"/>
          <w:color w:val="171717" w:themeColor="background2" w:themeShade="1A"/>
          <w:sz w:val="28"/>
          <w:szCs w:val="28"/>
        </w:rPr>
        <w:t>1164.92</w:t>
      </w:r>
      <w:r>
        <w:rPr>
          <w:rFonts w:hint="eastAsia" w:cs="宋体" w:asciiTheme="minorEastAsia" w:hAnsiTheme="minorEastAsia" w:eastAsiaTheme="minorEastAsia"/>
          <w:color w:val="171717" w:themeColor="background2" w:themeShade="1A"/>
          <w:kern w:val="0"/>
          <w:sz w:val="28"/>
          <w:szCs w:val="28"/>
        </w:rPr>
        <w:t>万元，比上年增加237.81万元；</w:t>
      </w:r>
      <w:r>
        <w:rPr>
          <w:rFonts w:hint="eastAsia" w:asciiTheme="minorEastAsia" w:hAnsiTheme="minorEastAsia" w:eastAsiaTheme="minorEastAsia"/>
          <w:color w:val="171717" w:themeColor="background2" w:themeShade="1A"/>
          <w:sz w:val="28"/>
          <w:szCs w:val="28"/>
        </w:rPr>
        <w:t>增加的原因是人员工资、津贴、社保、公积金等经费增加222.17万元。校园绿化美化经费增加10万元、临时聘用人员经费增加5.1万、安保经费增加0.6万元、三类人称号人员经费减少0.06万元。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基金预算拨款未安排。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财政预算拨款结余结转</w:t>
      </w:r>
      <w:r>
        <w:rPr>
          <w:rFonts w:hint="eastAsia" w:asciiTheme="minorEastAsia" w:hAnsiTheme="minorEastAsia" w:eastAsiaTheme="minorEastAsia"/>
          <w:color w:val="171717" w:themeColor="background2" w:themeShade="1A"/>
          <w:sz w:val="28"/>
          <w:szCs w:val="28"/>
        </w:rPr>
        <w:t>0</w:t>
      </w:r>
      <w:r>
        <w:rPr>
          <w:rFonts w:hint="eastAsia" w:cs="宋体" w:asciiTheme="minorEastAsia" w:hAnsiTheme="minorEastAsia" w:eastAsiaTheme="minorEastAsia"/>
          <w:color w:val="171717" w:themeColor="background2" w:themeShade="1A"/>
          <w:kern w:val="0"/>
          <w:sz w:val="28"/>
          <w:szCs w:val="28"/>
        </w:rPr>
        <w:t>万元，比上年减少3.35万元。</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三、关于乌鲁木齐市第八十六中学单位2016年支出预算情况说明</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乌鲁木齐市第八十六中学单位2016年支出预算1164.92</w:t>
      </w:r>
      <w:r>
        <w:rPr>
          <w:rFonts w:hint="eastAsia" w:cs="宋体" w:asciiTheme="minorEastAsia" w:hAnsiTheme="minorEastAsia" w:eastAsiaTheme="minorEastAsia"/>
          <w:color w:val="171717" w:themeColor="background2" w:themeShade="1A"/>
          <w:kern w:val="0"/>
          <w:sz w:val="28"/>
          <w:szCs w:val="28"/>
        </w:rPr>
        <w:t>万</w:t>
      </w:r>
      <w:r>
        <w:rPr>
          <w:rFonts w:hint="eastAsia" w:asciiTheme="minorEastAsia" w:hAnsiTheme="minorEastAsia" w:eastAsiaTheme="minorEastAsia"/>
          <w:color w:val="171717" w:themeColor="background2" w:themeShade="1A"/>
          <w:sz w:val="28"/>
          <w:szCs w:val="28"/>
        </w:rPr>
        <w:t>元，其中：</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基本支出1061.62万元，比上年增加222.17万元。增加的原因是人员工资、津贴、社保、公积金等经费增加。</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项目支出103.30万元，比上年增加15.64万元。增加的原因是校园绿化美化经费增加10万元、临时聘用人员经费增加5.1万、安保经费增加0.6万元、三类人称号人员经费减少0.06万元。</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四、关于乌鲁木齐市第八十六中学2016年财政拨款收支预算情况的总体说明</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财政拨款收支总预算1164.92万元。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收入全部为一般公共预算拨款，无政府性基金预算拨款。</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五、关于乌鲁木齐市第八十六中学2016年一般公共预算基本支出情况说明</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乌鲁木齐市第八十六中学2016年一般公共预算基本支出1061.62万元，其中：</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人员经费930.49万元，主要包括：基本工资、津贴补贴、奖金、其他社会保障缴费、绩效工资、机关事业单位基本养老保险缴费、职业年金、住房公积金、其他工资福利支出、退休费、奖励金、离退休人员采暖补贴、其他对个人和家庭的补助支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公用经费131.13万元，主要包括：办公费、水费、电费、邮电费、办公取暖费、物业管理费、差旅费、维修(护)费(含其他维修)、租赁费、培训费小计、公务接待费、专用材料费、劳务费、工会经费、福利费、其他商品服务支出。</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六、关于乌鲁木齐市第八十六中学部门2016年一般公共预算项目支出情况说明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情况一：（项目支出、专项业务费按下列内容说明）</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项目名称：校园绿化美化经费</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设立的政策依据：根据校园绿化美化经费设立依据</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预算安排规模：10万</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项目承担单位：乌鲁木齐市第八十六中学</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资金分配情况：用于校园绿化美化</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资金执行时间：2016年1月-2016年12月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项目名称：中考工作经费</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设立的政策依据：根据中考工作经费设立依据</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预算安排规模：1</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项目承担单位：乌鲁木齐市第八十六中学</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资金分配情况：用于</w:t>
      </w:r>
      <w:r>
        <w:rPr>
          <w:rFonts w:asciiTheme="minorEastAsia" w:hAnsiTheme="minorEastAsia" w:eastAsiaTheme="minorEastAsia"/>
          <w:color w:val="171717" w:themeColor="background2" w:themeShade="1A"/>
          <w:sz w:val="28"/>
          <w:szCs w:val="28"/>
        </w:rPr>
        <w:t>中考</w:t>
      </w:r>
      <w:r>
        <w:rPr>
          <w:rFonts w:hint="eastAsia" w:asciiTheme="minorEastAsia" w:hAnsiTheme="minorEastAsia" w:eastAsiaTheme="minorEastAsia"/>
          <w:color w:val="171717" w:themeColor="background2" w:themeShade="1A"/>
          <w:sz w:val="28"/>
          <w:szCs w:val="28"/>
        </w:rPr>
        <w:t>工作</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资金执行时间：2016年1月-2016年12月</w:t>
      </w: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rPr>
      </w:pP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情况二：（</w:t>
      </w:r>
      <w:r>
        <w:rPr>
          <w:rFonts w:asciiTheme="minorEastAsia" w:hAnsiTheme="minorEastAsia" w:eastAsiaTheme="minorEastAsia"/>
          <w:b/>
          <w:color w:val="171717" w:themeColor="background2" w:themeShade="1A"/>
          <w:sz w:val="28"/>
          <w:szCs w:val="28"/>
        </w:rPr>
        <w:t>属于</w:t>
      </w:r>
      <w:r>
        <w:rPr>
          <w:rFonts w:asciiTheme="minorEastAsia" w:hAnsiTheme="minorEastAsia" w:eastAsiaTheme="minorEastAsia"/>
          <w:b/>
          <w:color w:val="171717" w:themeColor="background2" w:themeShade="1A"/>
          <w:spacing w:val="-8"/>
          <w:sz w:val="28"/>
          <w:szCs w:val="28"/>
        </w:rPr>
        <w:t>对个人补贴的项目支出</w:t>
      </w:r>
      <w:r>
        <w:rPr>
          <w:rFonts w:hint="eastAsia" w:asciiTheme="minorEastAsia" w:hAnsiTheme="minorEastAsia" w:eastAsiaTheme="minorEastAsia"/>
          <w:b/>
          <w:color w:val="171717" w:themeColor="background2" w:themeShade="1A"/>
          <w:sz w:val="28"/>
          <w:szCs w:val="28"/>
        </w:rPr>
        <w:t>按下列内容说明）</w:t>
      </w: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项目名称：2016年临时聘用人员经费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设立的政策依据：根据临时聘用人员经费设立依据</w:t>
      </w: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预算安排规模：34.52万</w:t>
      </w: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项目承担单位：乌鲁木齐市第八十六中学</w:t>
      </w: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资金分配情况：代课教师1</w:t>
      </w:r>
      <w:r>
        <w:rPr>
          <w:rFonts w:cs="仿宋_GB2312" w:asciiTheme="minorEastAsia" w:hAnsiTheme="minorEastAsia" w:eastAsiaTheme="minorEastAsia"/>
          <w:color w:val="171717" w:themeColor="background2" w:themeShade="1A"/>
          <w:sz w:val="28"/>
          <w:szCs w:val="28"/>
        </w:rPr>
        <w:t>0</w:t>
      </w:r>
      <w:r>
        <w:rPr>
          <w:rFonts w:hint="eastAsia" w:cs="仿宋_GB2312" w:asciiTheme="minorEastAsia" w:hAnsiTheme="minorEastAsia" w:eastAsiaTheme="minorEastAsia"/>
          <w:color w:val="171717" w:themeColor="background2" w:themeShade="1A"/>
          <w:sz w:val="28"/>
          <w:szCs w:val="28"/>
        </w:rPr>
        <w:t>人</w:t>
      </w:r>
      <w:r>
        <w:rPr>
          <w:rFonts w:cs="仿宋_GB2312"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sz w:val="28"/>
          <w:szCs w:val="28"/>
        </w:rPr>
        <w:t>临时工</w:t>
      </w:r>
      <w:r>
        <w:rPr>
          <w:rFonts w:cs="仿宋_GB2312" w:asciiTheme="minorEastAsia" w:hAnsiTheme="minorEastAsia" w:eastAsiaTheme="minorEastAsia"/>
          <w:color w:val="171717" w:themeColor="background2" w:themeShade="1A"/>
          <w:sz w:val="28"/>
          <w:szCs w:val="28"/>
        </w:rPr>
        <w:t>4</w:t>
      </w:r>
      <w:r>
        <w:rPr>
          <w:rFonts w:hint="eastAsia" w:cs="仿宋_GB2312" w:asciiTheme="minorEastAsia" w:hAnsiTheme="minorEastAsia" w:eastAsiaTheme="minorEastAsia"/>
          <w:color w:val="171717" w:themeColor="background2" w:themeShade="1A"/>
          <w:sz w:val="28"/>
          <w:szCs w:val="28"/>
        </w:rPr>
        <w:t>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1</w:t>
      </w:r>
      <w:r>
        <w:rPr>
          <w:rFonts w:cs="宋体" w:asciiTheme="minorEastAsia" w:hAnsiTheme="minorEastAsia" w:eastAsiaTheme="minorEastAsia"/>
          <w:color w:val="171717" w:themeColor="background2" w:themeShade="1A"/>
          <w:kern w:val="0"/>
          <w:sz w:val="28"/>
          <w:szCs w:val="28"/>
        </w:rPr>
        <w:t>4</w:t>
      </w:r>
      <w:r>
        <w:rPr>
          <w:rFonts w:hint="eastAsia" w:cs="宋体" w:asciiTheme="minorEastAsia" w:hAnsiTheme="minorEastAsia" w:eastAsiaTheme="minorEastAsia"/>
          <w:color w:val="171717" w:themeColor="background2" w:themeShade="1A"/>
          <w:kern w:val="0"/>
          <w:sz w:val="28"/>
          <w:szCs w:val="28"/>
        </w:rPr>
        <w:t>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w:t>
      </w:r>
      <w:r>
        <w:rPr>
          <w:rFonts w:hint="eastAsia" w:cs="宋体" w:asciiTheme="minorEastAsia" w:hAnsiTheme="minorEastAsia" w:eastAsiaTheme="minorEastAsia"/>
          <w:color w:val="171717" w:themeColor="background2" w:themeShade="1A"/>
          <w:kern w:val="0"/>
          <w:sz w:val="28"/>
          <w:szCs w:val="28"/>
        </w:rPr>
        <w:t>2381元/月/人</w:t>
      </w:r>
      <w:r>
        <w:rPr>
          <w:rFonts w:cs="宋体" w:asciiTheme="minorEastAsia" w:hAnsiTheme="minorEastAsia" w:eastAsiaTheme="minorEastAsia"/>
          <w:color w:val="171717" w:themeColor="background2" w:themeShade="1A"/>
          <w:kern w:val="0"/>
          <w:sz w:val="28"/>
          <w:szCs w:val="28"/>
        </w:rPr>
        <w:t>；临时工：</w:t>
      </w:r>
      <w:r>
        <w:rPr>
          <w:rFonts w:hint="eastAsia" w:cs="宋体" w:asciiTheme="minorEastAsia" w:hAnsiTheme="minorEastAsia" w:eastAsiaTheme="minorEastAsia"/>
          <w:color w:val="171717" w:themeColor="background2" w:themeShade="1A"/>
          <w:kern w:val="0"/>
          <w:sz w:val="28"/>
          <w:szCs w:val="28"/>
        </w:rPr>
        <w:t>2231元/月/人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及临</w:t>
      </w:r>
      <w:r>
        <w:rPr>
          <w:rFonts w:hint="eastAsia" w:cs="宋体" w:asciiTheme="minorEastAsia" w:hAnsiTheme="minorEastAsia" w:eastAsiaTheme="minorEastAsia"/>
          <w:color w:val="171717" w:themeColor="background2" w:themeShade="1A"/>
          <w:kern w:val="0"/>
          <w:sz w:val="28"/>
          <w:szCs w:val="28"/>
        </w:rPr>
        <w:t>聘</w:t>
      </w:r>
      <w:r>
        <w:rPr>
          <w:rFonts w:cs="宋体" w:asciiTheme="minorEastAsia" w:hAnsiTheme="minorEastAsia" w:eastAsiaTheme="minorEastAsia"/>
          <w:color w:val="171717" w:themeColor="background2" w:themeShade="1A"/>
          <w:kern w:val="0"/>
          <w:sz w:val="28"/>
          <w:szCs w:val="28"/>
        </w:rPr>
        <w:t>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打卡</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发放程序：按考勤</w:t>
      </w:r>
      <w:r>
        <w:rPr>
          <w:rFonts w:cs="宋体" w:asciiTheme="minorEastAsia" w:hAnsiTheme="minorEastAsia" w:eastAsiaTheme="minorEastAsia"/>
          <w:color w:val="171717" w:themeColor="background2" w:themeShade="1A"/>
          <w:kern w:val="0"/>
          <w:sz w:val="28"/>
          <w:szCs w:val="28"/>
        </w:rPr>
        <w:t>表发放</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临时聘用人员</w:t>
      </w: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rPr>
      </w:pP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项目名称：护校队、安保人员经费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设立的政策依据：根据护校队、安保人员经费设立依据</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预算安排规模：48.6万</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项目承担单位：乌鲁木齐市第八十六中学</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kern w:val="0"/>
          <w:sz w:val="28"/>
          <w:szCs w:val="28"/>
        </w:rPr>
        <w:t>学校</w:t>
      </w:r>
      <w:r>
        <w:rPr>
          <w:rFonts w:cs="仿宋_GB2312" w:asciiTheme="minorEastAsia" w:hAnsiTheme="minorEastAsia" w:eastAsiaTheme="minorEastAsia"/>
          <w:color w:val="171717" w:themeColor="background2" w:themeShade="1A"/>
          <w:kern w:val="0"/>
          <w:sz w:val="28"/>
          <w:szCs w:val="28"/>
        </w:rPr>
        <w:t>护校队10</w:t>
      </w:r>
      <w:r>
        <w:rPr>
          <w:rFonts w:hint="eastAsia" w:cs="仿宋_GB2312" w:asciiTheme="minorEastAsia" w:hAnsiTheme="minorEastAsia" w:eastAsiaTheme="minorEastAsia"/>
          <w:color w:val="171717" w:themeColor="background2" w:themeShade="1A"/>
          <w:kern w:val="0"/>
          <w:sz w:val="28"/>
          <w:szCs w:val="28"/>
        </w:rPr>
        <w:t>人</w:t>
      </w:r>
      <w:r>
        <w:rPr>
          <w:rFonts w:cs="仿宋_GB2312" w:asciiTheme="minorEastAsia" w:hAnsiTheme="minorEastAsia" w:eastAsiaTheme="minorEastAsia"/>
          <w:color w:val="171717" w:themeColor="background2" w:themeShade="1A"/>
          <w:kern w:val="0"/>
          <w:sz w:val="28"/>
          <w:szCs w:val="28"/>
        </w:rPr>
        <w:t>，保安公司</w:t>
      </w:r>
      <w:r>
        <w:rPr>
          <w:rFonts w:hint="eastAsia" w:cs="仿宋_GB2312" w:asciiTheme="minorEastAsia" w:hAnsiTheme="minorEastAsia" w:eastAsiaTheme="minorEastAsia"/>
          <w:color w:val="171717" w:themeColor="background2" w:themeShade="1A"/>
          <w:kern w:val="0"/>
          <w:sz w:val="28"/>
          <w:szCs w:val="28"/>
        </w:rPr>
        <w:t>5人，自行招聘保安5人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20人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本校护校</w:t>
      </w:r>
      <w:r>
        <w:rPr>
          <w:rFonts w:cs="宋体" w:asciiTheme="minorEastAsia" w:hAnsiTheme="minorEastAsia" w:eastAsiaTheme="minorEastAsia"/>
          <w:color w:val="171717" w:themeColor="background2" w:themeShade="1A"/>
          <w:kern w:val="0"/>
          <w:sz w:val="28"/>
          <w:szCs w:val="28"/>
        </w:rPr>
        <w:t>队：</w:t>
      </w:r>
      <w:r>
        <w:rPr>
          <w:rFonts w:hint="eastAsia" w:cs="宋体" w:asciiTheme="minorEastAsia" w:hAnsiTheme="minorEastAsia" w:eastAsiaTheme="minorEastAsia"/>
          <w:color w:val="171717" w:themeColor="background2" w:themeShade="1A"/>
          <w:kern w:val="0"/>
          <w:sz w:val="28"/>
          <w:szCs w:val="28"/>
        </w:rPr>
        <w:t>1500元/月/人；保安</w:t>
      </w:r>
      <w:r>
        <w:rPr>
          <w:rFonts w:cs="宋体" w:asciiTheme="minorEastAsia" w:hAnsiTheme="minorEastAsia" w:eastAsiaTheme="minorEastAsia"/>
          <w:color w:val="171717" w:themeColor="background2" w:themeShade="1A"/>
          <w:kern w:val="0"/>
          <w:sz w:val="28"/>
          <w:szCs w:val="28"/>
        </w:rPr>
        <w:t>公司：</w:t>
      </w:r>
      <w:r>
        <w:rPr>
          <w:rFonts w:hint="eastAsia" w:cs="宋体" w:asciiTheme="minorEastAsia" w:hAnsiTheme="minorEastAsia" w:eastAsiaTheme="minorEastAsia"/>
          <w:color w:val="171717" w:themeColor="background2" w:themeShade="1A"/>
          <w:kern w:val="0"/>
          <w:sz w:val="28"/>
          <w:szCs w:val="28"/>
        </w:rPr>
        <w:t>2500元/月/人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打卡</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发放程序：按考勤</w:t>
      </w:r>
      <w:r>
        <w:rPr>
          <w:rFonts w:cs="宋体" w:asciiTheme="minorEastAsia" w:hAnsiTheme="minorEastAsia" w:eastAsiaTheme="minorEastAsia"/>
          <w:color w:val="171717" w:themeColor="background2" w:themeShade="1A"/>
          <w:kern w:val="0"/>
          <w:sz w:val="28"/>
          <w:szCs w:val="28"/>
        </w:rPr>
        <w:t>表发放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项目名称："三类人"称号人员经费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设立的政策依据：根据评选文件设立依据</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预算安排规模：0.18万元</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项目承担单位：乌鲁木齐市五十九小学</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资金分配情况：骨干教师、优秀教师</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资金执行时间：2016年1月-2016年12月</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资金来源：财政拨款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补贴人数：1人</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补贴标准：150/月/人</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补贴范围：骨干教师</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补贴方式：打卡</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七、关于乌鲁木齐市第八十六中学2016年一般公共预算“三公”经费预算情况说明</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乌鲁木齐市第八十六中学2016年“三公”经费财政拨款预算数为0.62万元，其中：因公出国（境）费</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万元，公务用车购置</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万元，公务用车运行费</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万元，公务接待费0.62万元。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2016年“三公”经费财政拨款预算比上年减少0.05万元，其中：因公出国（境）费、公务用车购置费、公务用车运行费未安排预算，公务接待费比上年减少0.05万元。</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八、关于乌鲁木齐市第八十六中学2016年政府性基金预算拨款情况说明</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乌鲁木齐市第八十六中学2016年没有使用政府性基金预算拨款安排的支出，政府性基金预算支出情况表为空表。</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九、其他重要事项的情况说明</w:t>
      </w:r>
    </w:p>
    <w:p>
      <w:pPr>
        <w:pStyle w:val="4"/>
        <w:spacing w:line="560" w:lineRule="exact"/>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（一）政府采购情况</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2016年，部门及下属单位政府采购预算0万元，其中：政府采购货物预算0万元，政府采购工程预算0万元，政府采购服务预算0万元。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2016年度本部门面向中小企业预留政府采购项目预算金额0万元，其中：面向小微企业预留政府采购项目预算金额0万元。</w:t>
      </w:r>
    </w:p>
    <w:p>
      <w:pPr>
        <w:pStyle w:val="4"/>
        <w:spacing w:line="560" w:lineRule="exact"/>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（二）国有资产占用使用情况</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截至2015年底，乌鲁木齐市第八十六中学及下属各预算单位占用使用国有资产总体情况为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1.房屋35.7平方米，价值4.54万元。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2.车辆</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辆，价值</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万元；其中：一般公务用车</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辆，价值</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万元；执法执勤用车</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辆，价值</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万元；其他车辆</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辆，价值</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3.其他资产（含</w:t>
      </w:r>
      <w:r>
        <w:rPr>
          <w:rFonts w:asciiTheme="minorEastAsia" w:hAnsiTheme="minorEastAsia" w:eastAsiaTheme="minorEastAsia"/>
          <w:color w:val="171717" w:themeColor="background2" w:themeShade="1A"/>
          <w:sz w:val="28"/>
          <w:szCs w:val="28"/>
        </w:rPr>
        <w:t>办公家具</w:t>
      </w:r>
      <w:r>
        <w:rPr>
          <w:rFonts w:hint="eastAsia" w:asciiTheme="minorEastAsia" w:hAnsiTheme="minorEastAsia" w:eastAsiaTheme="minorEastAsia"/>
          <w:color w:val="171717" w:themeColor="background2" w:themeShade="1A"/>
          <w:sz w:val="28"/>
          <w:szCs w:val="28"/>
        </w:rPr>
        <w:t>）价值346.81万元。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单位价值50万元以上大型设备</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台（套），单位价值100万元以上大型设备</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台（套）。</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2016年部门预算未安排购置车辆经费（或安排购置车辆经费  万元），安排购置50万元以上大型设备</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台（套），单位价值100万元以上大型设备</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台（套）。</w:t>
      </w:r>
    </w:p>
    <w:p>
      <w:pPr>
        <w:pStyle w:val="4"/>
        <w:spacing w:line="560" w:lineRule="exact"/>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（三）预算绩效情况</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2016年度，本年度实行绩效管理的项目</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个，涉及预算金额</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万元。具体情况见下表（按项目分别填报）：</w:t>
      </w:r>
    </w:p>
    <w:p>
      <w:pPr>
        <w:widowControl/>
        <w:spacing w:line="560" w:lineRule="exact"/>
        <w:ind w:firstLine="200"/>
        <w:jc w:val="left"/>
        <w:rPr>
          <w:rFonts w:cs="宋体" w:asciiTheme="minorEastAsia" w:hAnsiTheme="minorEastAsia" w:eastAsiaTheme="minorEastAsia"/>
          <w:b/>
          <w:color w:val="171717" w:themeColor="background2" w:themeShade="1A"/>
          <w:kern w:val="0"/>
          <w:sz w:val="24"/>
        </w:rPr>
      </w:pPr>
    </w:p>
    <w:p>
      <w:pPr>
        <w:widowControl/>
        <w:spacing w:line="560" w:lineRule="exact"/>
        <w:ind w:firstLine="200"/>
        <w:jc w:val="left"/>
        <w:rPr>
          <w:rFonts w:cs="宋体" w:asciiTheme="minorEastAsia" w:hAnsiTheme="minorEastAsia" w:eastAsiaTheme="minorEastAsia"/>
          <w:b/>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r>
        <w:rPr>
          <w:rFonts w:cs="宋体" w:asciiTheme="minorEastAsia" w:hAnsiTheme="minorEastAsia" w:eastAsiaTheme="minorEastAsia"/>
          <w:b/>
          <w:color w:val="171717" w:themeColor="background2" w:themeShade="1A"/>
          <w:kern w:val="0"/>
          <w:sz w:val="24"/>
        </w:rPr>
        <w:br w:type="page"/>
      </w:r>
    </w:p>
    <w:p>
      <w:pPr>
        <w:spacing w:line="300" w:lineRule="auto"/>
        <w:jc w:val="center"/>
        <w:rPr>
          <w:rFonts w:cs="宋体" w:asciiTheme="minorEastAsia" w:hAnsiTheme="minorEastAsia" w:eastAsiaTheme="minorEastAsia"/>
          <w:b/>
          <w:color w:val="171717" w:themeColor="background2" w:themeShade="1A"/>
          <w:kern w:val="0"/>
          <w:sz w:val="36"/>
          <w:szCs w:val="36"/>
        </w:rPr>
      </w:pPr>
      <w:r>
        <w:rPr>
          <w:rFonts w:hint="eastAsia" w:cs="宋体" w:asciiTheme="minorEastAsia" w:hAnsiTheme="minorEastAsia" w:eastAsiaTheme="minorEastAsia"/>
          <w:b/>
          <w:color w:val="171717" w:themeColor="background2" w:themeShade="1A"/>
          <w:kern w:val="0"/>
          <w:sz w:val="36"/>
          <w:szCs w:val="36"/>
        </w:rPr>
        <w:t>财政支出绩效目标申报表</w:t>
      </w:r>
    </w:p>
    <w:p>
      <w:pPr>
        <w:spacing w:line="300" w:lineRule="auto"/>
        <w:jc w:val="center"/>
        <w:rPr>
          <w:rFonts w:ascii="仿宋_GB2312" w:eastAsia="仿宋_GB2312" w:cs="宋体" w:hAnsiTheme="minorEastAsia"/>
          <w:color w:val="171717" w:themeColor="background2" w:themeShade="1A"/>
          <w:kern w:val="0"/>
          <w:sz w:val="36"/>
          <w:szCs w:val="36"/>
        </w:rPr>
      </w:pPr>
      <w:r>
        <w:rPr>
          <w:rFonts w:hint="eastAsia" w:ascii="仿宋_GB2312" w:eastAsia="仿宋_GB2312" w:cs="宋体" w:hAnsiTheme="minorEastAsia"/>
          <w:color w:val="171717" w:themeColor="background2" w:themeShade="1A"/>
          <w:kern w:val="0"/>
          <w:sz w:val="36"/>
          <w:szCs w:val="36"/>
        </w:rPr>
        <w:t>（   年度）</w:t>
      </w:r>
    </w:p>
    <w:p>
      <w:pPr>
        <w:spacing w:line="300" w:lineRule="auto"/>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填报单位：</w:t>
      </w:r>
    </w:p>
    <w:tbl>
      <w:tblPr>
        <w:tblStyle w:val="13"/>
        <w:tblW w:w="9229" w:type="dxa"/>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主管部门</w:t>
            </w:r>
          </w:p>
        </w:tc>
        <w:tc>
          <w:tcPr>
            <w:tcW w:w="2166"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w:t>
            </w:r>
          </w:p>
        </w:tc>
      </w:tr>
      <w:tr>
        <w:tblPrEx>
          <w:tblLayout w:type="fixed"/>
          <w:tblCellMar>
            <w:top w:w="0" w:type="dxa"/>
            <w:left w:w="108" w:type="dxa"/>
            <w:bottom w:w="0" w:type="dxa"/>
            <w:right w:w="108" w:type="dxa"/>
          </w:tblCellMar>
        </w:tblPrEx>
        <w:trPr>
          <w:trHeight w:val="837"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spacing w:line="300" w:lineRule="auto"/>
              <w:rPr>
                <w:rFonts w:ascii="仿宋_GB2312" w:eastAsia="仿宋_GB2312" w:cs="宋体" w:hAnsiTheme="minorEastAsia"/>
                <w:color w:val="171717" w:themeColor="background2" w:themeShade="1A"/>
                <w:sz w:val="24"/>
              </w:rPr>
            </w:pPr>
          </w:p>
        </w:tc>
      </w:tr>
      <w:tr>
        <w:tblPrEx>
          <w:tblLayout w:type="fixed"/>
          <w:tblCellMar>
            <w:top w:w="0" w:type="dxa"/>
            <w:left w:w="108" w:type="dxa"/>
            <w:bottom w:w="0" w:type="dxa"/>
            <w:right w:w="108" w:type="dxa"/>
          </w:tblCellMar>
        </w:tblPrEx>
        <w:trPr>
          <w:trHeight w:val="85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bl>
    <w:p>
      <w:pPr>
        <w:pStyle w:val="4"/>
        <w:ind w:firstLine="482"/>
        <w:rPr>
          <w:rFonts w:ascii="仿宋_GB2312" w:eastAsia="仿宋_GB2312" w:hAnsiTheme="minorEastAsia"/>
          <w:color w:val="171717" w:themeColor="background2" w:themeShade="1A"/>
          <w:sz w:val="24"/>
          <w:szCs w:val="24"/>
        </w:rPr>
      </w:pPr>
    </w:p>
    <w:p>
      <w:pPr>
        <w:rPr>
          <w:rFonts w:ascii="仿宋_GB2312" w:eastAsia="仿宋_GB2312"/>
          <w:color w:val="171717" w:themeColor="background2" w:themeShade="1A"/>
          <w:sz w:val="24"/>
        </w:rPr>
      </w:pPr>
    </w:p>
    <w:p>
      <w:pPr>
        <w:pStyle w:val="4"/>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（四）其他需说明的事项</w:t>
      </w:r>
    </w:p>
    <w:p>
      <w:pPr>
        <w:spacing w:line="560" w:lineRule="exact"/>
        <w:ind w:firstLine="480" w:firstLineChars="200"/>
        <w:jc w:val="left"/>
        <w:rPr>
          <w:color w:val="171717" w:themeColor="background2" w:themeShade="1A"/>
        </w:rPr>
      </w:pPr>
      <w:r>
        <w:rPr>
          <w:rFonts w:hint="eastAsia" w:ascii="仿宋_GB2312" w:eastAsia="仿宋_GB2312" w:cs="宋体" w:hAnsiTheme="minorEastAsia"/>
          <w:color w:val="171717" w:themeColor="background2" w:themeShade="1A"/>
          <w:kern w:val="0"/>
          <w:sz w:val="24"/>
        </w:rPr>
        <w:t>……</w:t>
      </w:r>
    </w:p>
    <w:p>
      <w:pPr>
        <w:pStyle w:val="2"/>
        <w:spacing w:before="312"/>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第四部分名词解释</w:t>
      </w:r>
    </w:p>
    <w:p>
      <w:pPr>
        <w:widowControl/>
        <w:spacing w:line="560" w:lineRule="exact"/>
        <w:ind w:firstLine="640" w:firstLineChars="200"/>
        <w:jc w:val="left"/>
        <w:rPr>
          <w:rFonts w:ascii="黑体" w:hAnsi="黑体" w:eastAsia="黑体" w:cs="宋体"/>
          <w:color w:val="171717" w:themeColor="background2" w:themeShade="1A"/>
          <w:kern w:val="0"/>
          <w:sz w:val="32"/>
          <w:szCs w:val="32"/>
        </w:rPr>
      </w:pPr>
      <w:r>
        <w:rPr>
          <w:rFonts w:hint="eastAsia" w:ascii="黑体" w:hAnsi="黑体" w:eastAsia="黑体" w:cs="宋体"/>
          <w:color w:val="171717" w:themeColor="background2" w:themeShade="1A"/>
          <w:kern w:val="0"/>
          <w:sz w:val="32"/>
          <w:szCs w:val="32"/>
        </w:rPr>
        <w:t>名词解释：</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部门支出预算的组成部分，是部门为完成其特定的行政任务或事业发展目标，在基本支出预算之外编制的年度项目支出计划。</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300" w:lineRule="auto"/>
        <w:jc w:val="right"/>
        <w:rPr>
          <w:rFonts w:cs="宋体" w:asciiTheme="minorEastAsia" w:hAnsiTheme="minorEastAsia" w:eastAsiaTheme="minorEastAsia"/>
          <w:color w:val="171717" w:themeColor="background2" w:themeShade="1A"/>
          <w:kern w:val="0"/>
          <w:sz w:val="24"/>
        </w:rPr>
      </w:pPr>
      <w:r>
        <w:rPr>
          <w:rFonts w:hint="eastAsia" w:ascii="仿宋_GB2312" w:hAnsi="宋体" w:eastAsia="仿宋_GB2312"/>
          <w:color w:val="171717" w:themeColor="background2" w:themeShade="1A"/>
          <w:sz w:val="32"/>
        </w:rPr>
        <w:t>乌鲁木齐市第八十六中学</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201</w:t>
      </w:r>
      <w:r>
        <w:rPr>
          <w:rFonts w:hint="eastAsia" w:ascii="仿宋_GB2312" w:eastAsia="仿宋_GB2312" w:cs="宋体" w:hAnsiTheme="minorEastAsia"/>
          <w:color w:val="171717" w:themeColor="background2" w:themeShade="1A"/>
          <w:kern w:val="0"/>
          <w:sz w:val="32"/>
          <w:szCs w:val="32"/>
          <w:lang w:val="en-US" w:eastAsia="zh-CN"/>
        </w:rPr>
        <w:t>8</w:t>
      </w:r>
      <w:r>
        <w:rPr>
          <w:rFonts w:hint="eastAsia" w:ascii="仿宋_GB2312" w:eastAsia="仿宋_GB2312" w:cs="宋体" w:hAnsiTheme="minorEastAsia"/>
          <w:color w:val="171717" w:themeColor="background2" w:themeShade="1A"/>
          <w:kern w:val="0"/>
          <w:sz w:val="32"/>
          <w:szCs w:val="32"/>
        </w:rPr>
        <w:t>年</w:t>
      </w:r>
      <w:r>
        <w:rPr>
          <w:rFonts w:hint="eastAsia" w:ascii="仿宋_GB2312" w:eastAsia="仿宋_GB2312" w:cs="宋体" w:hAnsiTheme="minorEastAsia"/>
          <w:color w:val="171717" w:themeColor="background2" w:themeShade="1A"/>
          <w:kern w:val="0"/>
          <w:sz w:val="32"/>
          <w:szCs w:val="32"/>
          <w:lang w:val="en-US" w:eastAsia="zh-CN"/>
        </w:rPr>
        <w:t>1</w:t>
      </w:r>
      <w:r>
        <w:rPr>
          <w:rFonts w:hint="eastAsia" w:ascii="仿宋_GB2312" w:eastAsia="仿宋_GB2312" w:cs="宋体" w:hAnsiTheme="minorEastAsia"/>
          <w:color w:val="171717" w:themeColor="background2" w:themeShade="1A"/>
          <w:kern w:val="0"/>
          <w:sz w:val="32"/>
          <w:szCs w:val="32"/>
        </w:rPr>
        <w:t>2月</w:t>
      </w:r>
      <w:r>
        <w:rPr>
          <w:rFonts w:hint="eastAsia" w:ascii="仿宋_GB2312" w:eastAsia="仿宋_GB2312" w:cs="宋体" w:hAnsiTheme="minorEastAsia"/>
          <w:color w:val="171717" w:themeColor="background2" w:themeShade="1A"/>
          <w:kern w:val="0"/>
          <w:sz w:val="32"/>
          <w:szCs w:val="32"/>
          <w:lang w:val="en-US" w:eastAsia="zh-CN"/>
        </w:rPr>
        <w:t>16</w:t>
      </w:r>
      <w:r>
        <w:rPr>
          <w:rFonts w:hint="eastAsia" w:ascii="仿宋_GB2312" w:eastAsia="仿宋_GB2312" w:cs="宋体" w:hAnsiTheme="minorEastAsia"/>
          <w:color w:val="171717" w:themeColor="background2" w:themeShade="1A"/>
          <w:kern w:val="0"/>
          <w:sz w:val="32"/>
          <w:szCs w:val="32"/>
        </w:rPr>
        <w:t>日</w:t>
      </w:r>
    </w:p>
    <w:p>
      <w:pPr>
        <w:widowControl/>
        <w:spacing w:line="300" w:lineRule="auto"/>
        <w:jc w:val="left"/>
        <w:rPr>
          <w:rFonts w:asciiTheme="minorEastAsia" w:hAnsiTheme="minorEastAsia" w:eastAsiaTheme="minorEastAsia"/>
          <w:color w:val="171717" w:themeColor="background2" w:themeShade="1A"/>
          <w:sz w:val="24"/>
        </w:rPr>
      </w:pPr>
    </w:p>
    <w:p>
      <w:pPr>
        <w:rPr>
          <w:color w:val="171717" w:themeColor="background2" w:themeShade="1A"/>
        </w:rPr>
      </w:pPr>
      <w:bookmarkStart w:id="0" w:name="_GoBack"/>
      <w:bookmarkEnd w:id="0"/>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5330"/>
    <w:rsid w:val="00005F05"/>
    <w:rsid w:val="00006529"/>
    <w:rsid w:val="00012D43"/>
    <w:rsid w:val="00015D45"/>
    <w:rsid w:val="00016C10"/>
    <w:rsid w:val="00034825"/>
    <w:rsid w:val="00035090"/>
    <w:rsid w:val="0004374F"/>
    <w:rsid w:val="00044C4A"/>
    <w:rsid w:val="000460B9"/>
    <w:rsid w:val="00046CDE"/>
    <w:rsid w:val="00053005"/>
    <w:rsid w:val="00053434"/>
    <w:rsid w:val="00054145"/>
    <w:rsid w:val="00054AD7"/>
    <w:rsid w:val="00055966"/>
    <w:rsid w:val="0007102E"/>
    <w:rsid w:val="00080AC8"/>
    <w:rsid w:val="00084E32"/>
    <w:rsid w:val="00090304"/>
    <w:rsid w:val="0009091C"/>
    <w:rsid w:val="00090B64"/>
    <w:rsid w:val="00090C19"/>
    <w:rsid w:val="00092310"/>
    <w:rsid w:val="000A6830"/>
    <w:rsid w:val="000C09DC"/>
    <w:rsid w:val="000C31F6"/>
    <w:rsid w:val="000C331F"/>
    <w:rsid w:val="000C5E6B"/>
    <w:rsid w:val="000D0A9D"/>
    <w:rsid w:val="000D789D"/>
    <w:rsid w:val="000E39E7"/>
    <w:rsid w:val="000E4BCA"/>
    <w:rsid w:val="000E5FA0"/>
    <w:rsid w:val="000F0A32"/>
    <w:rsid w:val="000F1767"/>
    <w:rsid w:val="000F693C"/>
    <w:rsid w:val="00100928"/>
    <w:rsid w:val="00102B4E"/>
    <w:rsid w:val="00104101"/>
    <w:rsid w:val="00105B6B"/>
    <w:rsid w:val="00113C51"/>
    <w:rsid w:val="001170CE"/>
    <w:rsid w:val="0012097B"/>
    <w:rsid w:val="001214C8"/>
    <w:rsid w:val="00121BC6"/>
    <w:rsid w:val="00123829"/>
    <w:rsid w:val="00124A9D"/>
    <w:rsid w:val="00126F2B"/>
    <w:rsid w:val="0013111B"/>
    <w:rsid w:val="00152091"/>
    <w:rsid w:val="00154B36"/>
    <w:rsid w:val="00156DFE"/>
    <w:rsid w:val="0016099F"/>
    <w:rsid w:val="00165D0D"/>
    <w:rsid w:val="0016703C"/>
    <w:rsid w:val="00172CDA"/>
    <w:rsid w:val="00174CD5"/>
    <w:rsid w:val="00182A5F"/>
    <w:rsid w:val="00184785"/>
    <w:rsid w:val="00185A32"/>
    <w:rsid w:val="00192A59"/>
    <w:rsid w:val="0019429C"/>
    <w:rsid w:val="001A1377"/>
    <w:rsid w:val="001A365C"/>
    <w:rsid w:val="001A6E89"/>
    <w:rsid w:val="001A768B"/>
    <w:rsid w:val="001B111C"/>
    <w:rsid w:val="001B41ED"/>
    <w:rsid w:val="001C4378"/>
    <w:rsid w:val="001C50C9"/>
    <w:rsid w:val="001C65D6"/>
    <w:rsid w:val="001D6DE2"/>
    <w:rsid w:val="001E1D8E"/>
    <w:rsid w:val="001E3965"/>
    <w:rsid w:val="001F6839"/>
    <w:rsid w:val="0020016F"/>
    <w:rsid w:val="00200A2B"/>
    <w:rsid w:val="00205D29"/>
    <w:rsid w:val="002125CC"/>
    <w:rsid w:val="0022110E"/>
    <w:rsid w:val="002219AF"/>
    <w:rsid w:val="002259B1"/>
    <w:rsid w:val="002372AF"/>
    <w:rsid w:val="00243D68"/>
    <w:rsid w:val="00251568"/>
    <w:rsid w:val="00255A94"/>
    <w:rsid w:val="002660E8"/>
    <w:rsid w:val="00271982"/>
    <w:rsid w:val="002742EB"/>
    <w:rsid w:val="00280B38"/>
    <w:rsid w:val="002875BE"/>
    <w:rsid w:val="00290C52"/>
    <w:rsid w:val="00291F9C"/>
    <w:rsid w:val="00293AD8"/>
    <w:rsid w:val="0029425D"/>
    <w:rsid w:val="00294760"/>
    <w:rsid w:val="002A288D"/>
    <w:rsid w:val="002B1713"/>
    <w:rsid w:val="002B568F"/>
    <w:rsid w:val="002B76A0"/>
    <w:rsid w:val="002B7D5F"/>
    <w:rsid w:val="002C389F"/>
    <w:rsid w:val="002E0E7E"/>
    <w:rsid w:val="002E2612"/>
    <w:rsid w:val="002F0995"/>
    <w:rsid w:val="003025D5"/>
    <w:rsid w:val="003031A7"/>
    <w:rsid w:val="00303EFF"/>
    <w:rsid w:val="00304571"/>
    <w:rsid w:val="00305500"/>
    <w:rsid w:val="00306DD9"/>
    <w:rsid w:val="00314899"/>
    <w:rsid w:val="0031583F"/>
    <w:rsid w:val="00323570"/>
    <w:rsid w:val="003243CD"/>
    <w:rsid w:val="00327097"/>
    <w:rsid w:val="0034611E"/>
    <w:rsid w:val="00352B49"/>
    <w:rsid w:val="00355556"/>
    <w:rsid w:val="003561A3"/>
    <w:rsid w:val="00374679"/>
    <w:rsid w:val="0038263E"/>
    <w:rsid w:val="003857FA"/>
    <w:rsid w:val="00391D5F"/>
    <w:rsid w:val="00393533"/>
    <w:rsid w:val="00393698"/>
    <w:rsid w:val="00395642"/>
    <w:rsid w:val="003A4743"/>
    <w:rsid w:val="003A57DA"/>
    <w:rsid w:val="003B05C8"/>
    <w:rsid w:val="003D0341"/>
    <w:rsid w:val="003D1C9A"/>
    <w:rsid w:val="003D1D21"/>
    <w:rsid w:val="003D2EFF"/>
    <w:rsid w:val="003D36D5"/>
    <w:rsid w:val="003D7C66"/>
    <w:rsid w:val="003E1881"/>
    <w:rsid w:val="003E43B0"/>
    <w:rsid w:val="003E4BCC"/>
    <w:rsid w:val="003F5D83"/>
    <w:rsid w:val="0040056B"/>
    <w:rsid w:val="00400844"/>
    <w:rsid w:val="00400A6D"/>
    <w:rsid w:val="00401C6E"/>
    <w:rsid w:val="0040381B"/>
    <w:rsid w:val="004111A2"/>
    <w:rsid w:val="0041210D"/>
    <w:rsid w:val="004138BA"/>
    <w:rsid w:val="00430122"/>
    <w:rsid w:val="0043502D"/>
    <w:rsid w:val="004421B5"/>
    <w:rsid w:val="00442CAA"/>
    <w:rsid w:val="00445307"/>
    <w:rsid w:val="00447DD4"/>
    <w:rsid w:val="00460408"/>
    <w:rsid w:val="00470C16"/>
    <w:rsid w:val="00473F2F"/>
    <w:rsid w:val="004746CD"/>
    <w:rsid w:val="004755A0"/>
    <w:rsid w:val="004772A5"/>
    <w:rsid w:val="00486B88"/>
    <w:rsid w:val="004A27A0"/>
    <w:rsid w:val="004B045D"/>
    <w:rsid w:val="004B05FF"/>
    <w:rsid w:val="004B0F45"/>
    <w:rsid w:val="004B2D2B"/>
    <w:rsid w:val="004B42B0"/>
    <w:rsid w:val="004B6B69"/>
    <w:rsid w:val="004B6F81"/>
    <w:rsid w:val="004C7E45"/>
    <w:rsid w:val="004D0D9E"/>
    <w:rsid w:val="004E52D3"/>
    <w:rsid w:val="004F2591"/>
    <w:rsid w:val="00501E18"/>
    <w:rsid w:val="00503CE7"/>
    <w:rsid w:val="00517E8B"/>
    <w:rsid w:val="00527B2F"/>
    <w:rsid w:val="00533D9D"/>
    <w:rsid w:val="00535916"/>
    <w:rsid w:val="0054019F"/>
    <w:rsid w:val="0055020D"/>
    <w:rsid w:val="00550656"/>
    <w:rsid w:val="00555825"/>
    <w:rsid w:val="005639DF"/>
    <w:rsid w:val="005645CF"/>
    <w:rsid w:val="005719A7"/>
    <w:rsid w:val="005734F0"/>
    <w:rsid w:val="005746D4"/>
    <w:rsid w:val="005753C5"/>
    <w:rsid w:val="00576F8D"/>
    <w:rsid w:val="005864E3"/>
    <w:rsid w:val="005873AE"/>
    <w:rsid w:val="00594F91"/>
    <w:rsid w:val="005A737B"/>
    <w:rsid w:val="005B7235"/>
    <w:rsid w:val="005C2700"/>
    <w:rsid w:val="005C2918"/>
    <w:rsid w:val="005C2DE6"/>
    <w:rsid w:val="005C4450"/>
    <w:rsid w:val="005D13B2"/>
    <w:rsid w:val="005D1502"/>
    <w:rsid w:val="005D5C2B"/>
    <w:rsid w:val="005D5EE0"/>
    <w:rsid w:val="005D6977"/>
    <w:rsid w:val="005F6209"/>
    <w:rsid w:val="005F652C"/>
    <w:rsid w:val="006047B1"/>
    <w:rsid w:val="00607A3B"/>
    <w:rsid w:val="00610384"/>
    <w:rsid w:val="00610661"/>
    <w:rsid w:val="0061720F"/>
    <w:rsid w:val="00624DB4"/>
    <w:rsid w:val="0063204A"/>
    <w:rsid w:val="00636446"/>
    <w:rsid w:val="0064510F"/>
    <w:rsid w:val="006535BF"/>
    <w:rsid w:val="00653919"/>
    <w:rsid w:val="006669FD"/>
    <w:rsid w:val="00671B82"/>
    <w:rsid w:val="00681B3B"/>
    <w:rsid w:val="00692D5B"/>
    <w:rsid w:val="00694842"/>
    <w:rsid w:val="006A2150"/>
    <w:rsid w:val="006B5C95"/>
    <w:rsid w:val="006B6F2B"/>
    <w:rsid w:val="006D0415"/>
    <w:rsid w:val="006D2849"/>
    <w:rsid w:val="006E0E15"/>
    <w:rsid w:val="006E30D2"/>
    <w:rsid w:val="006E5073"/>
    <w:rsid w:val="006E6CCD"/>
    <w:rsid w:val="006E7285"/>
    <w:rsid w:val="006F17CB"/>
    <w:rsid w:val="006F21CF"/>
    <w:rsid w:val="006F2D4E"/>
    <w:rsid w:val="006F32A2"/>
    <w:rsid w:val="006F34AB"/>
    <w:rsid w:val="00701E9B"/>
    <w:rsid w:val="00704575"/>
    <w:rsid w:val="007064D4"/>
    <w:rsid w:val="00707C59"/>
    <w:rsid w:val="007137D5"/>
    <w:rsid w:val="00720423"/>
    <w:rsid w:val="00720EAD"/>
    <w:rsid w:val="0072474F"/>
    <w:rsid w:val="00730D81"/>
    <w:rsid w:val="00733081"/>
    <w:rsid w:val="00733692"/>
    <w:rsid w:val="00766A39"/>
    <w:rsid w:val="00784599"/>
    <w:rsid w:val="007A25E0"/>
    <w:rsid w:val="007A71D1"/>
    <w:rsid w:val="007B433B"/>
    <w:rsid w:val="007B76D3"/>
    <w:rsid w:val="007C3F6D"/>
    <w:rsid w:val="007C4CDB"/>
    <w:rsid w:val="007C763C"/>
    <w:rsid w:val="007D01C2"/>
    <w:rsid w:val="007D0924"/>
    <w:rsid w:val="007D1A45"/>
    <w:rsid w:val="007D2A77"/>
    <w:rsid w:val="007E06FE"/>
    <w:rsid w:val="007E0EF8"/>
    <w:rsid w:val="007E5393"/>
    <w:rsid w:val="007F1B7D"/>
    <w:rsid w:val="007F1B8F"/>
    <w:rsid w:val="00803C4F"/>
    <w:rsid w:val="00803CE2"/>
    <w:rsid w:val="008164C3"/>
    <w:rsid w:val="00817FA1"/>
    <w:rsid w:val="00820D3B"/>
    <w:rsid w:val="00826F18"/>
    <w:rsid w:val="00840158"/>
    <w:rsid w:val="008408DE"/>
    <w:rsid w:val="00840F40"/>
    <w:rsid w:val="008414BD"/>
    <w:rsid w:val="00847112"/>
    <w:rsid w:val="00857D3E"/>
    <w:rsid w:val="0086485B"/>
    <w:rsid w:val="00865552"/>
    <w:rsid w:val="00877F6A"/>
    <w:rsid w:val="008873B2"/>
    <w:rsid w:val="008A2817"/>
    <w:rsid w:val="008A2F5A"/>
    <w:rsid w:val="008A33C9"/>
    <w:rsid w:val="008A4F05"/>
    <w:rsid w:val="008A7A51"/>
    <w:rsid w:val="008C6CDE"/>
    <w:rsid w:val="008D7974"/>
    <w:rsid w:val="008E636F"/>
    <w:rsid w:val="008F220F"/>
    <w:rsid w:val="008F69FF"/>
    <w:rsid w:val="008F702C"/>
    <w:rsid w:val="009025FA"/>
    <w:rsid w:val="00911275"/>
    <w:rsid w:val="00911E4E"/>
    <w:rsid w:val="009160CD"/>
    <w:rsid w:val="00920D1C"/>
    <w:rsid w:val="00920FFF"/>
    <w:rsid w:val="00924B23"/>
    <w:rsid w:val="00925C62"/>
    <w:rsid w:val="00927C5A"/>
    <w:rsid w:val="00940831"/>
    <w:rsid w:val="0094177B"/>
    <w:rsid w:val="00943895"/>
    <w:rsid w:val="009470CB"/>
    <w:rsid w:val="009559BB"/>
    <w:rsid w:val="009627DF"/>
    <w:rsid w:val="00964068"/>
    <w:rsid w:val="00971D13"/>
    <w:rsid w:val="0098195B"/>
    <w:rsid w:val="00984A4A"/>
    <w:rsid w:val="00991740"/>
    <w:rsid w:val="00991E9A"/>
    <w:rsid w:val="00995E18"/>
    <w:rsid w:val="009A0E0F"/>
    <w:rsid w:val="009A2941"/>
    <w:rsid w:val="009A6C1C"/>
    <w:rsid w:val="009B011D"/>
    <w:rsid w:val="009B3377"/>
    <w:rsid w:val="009B3DF5"/>
    <w:rsid w:val="009B428A"/>
    <w:rsid w:val="009B61ED"/>
    <w:rsid w:val="009B79EF"/>
    <w:rsid w:val="009C690D"/>
    <w:rsid w:val="009D1285"/>
    <w:rsid w:val="009D56B3"/>
    <w:rsid w:val="009E1C97"/>
    <w:rsid w:val="009E5271"/>
    <w:rsid w:val="009F307E"/>
    <w:rsid w:val="009F42E7"/>
    <w:rsid w:val="00A10026"/>
    <w:rsid w:val="00A12291"/>
    <w:rsid w:val="00A134F6"/>
    <w:rsid w:val="00A16D77"/>
    <w:rsid w:val="00A2097C"/>
    <w:rsid w:val="00A20B20"/>
    <w:rsid w:val="00A20C7E"/>
    <w:rsid w:val="00A2638E"/>
    <w:rsid w:val="00A37171"/>
    <w:rsid w:val="00A37AAB"/>
    <w:rsid w:val="00A4472F"/>
    <w:rsid w:val="00A45A3E"/>
    <w:rsid w:val="00A57CE1"/>
    <w:rsid w:val="00A60FD0"/>
    <w:rsid w:val="00A738CA"/>
    <w:rsid w:val="00A73952"/>
    <w:rsid w:val="00A747E5"/>
    <w:rsid w:val="00A766B3"/>
    <w:rsid w:val="00A8714C"/>
    <w:rsid w:val="00A9153B"/>
    <w:rsid w:val="00A929A8"/>
    <w:rsid w:val="00A95330"/>
    <w:rsid w:val="00AA0547"/>
    <w:rsid w:val="00AA5CDA"/>
    <w:rsid w:val="00AA717C"/>
    <w:rsid w:val="00AB0ED6"/>
    <w:rsid w:val="00AB3CF4"/>
    <w:rsid w:val="00AB497E"/>
    <w:rsid w:val="00AC5F73"/>
    <w:rsid w:val="00AC6D30"/>
    <w:rsid w:val="00AD5940"/>
    <w:rsid w:val="00AE2C80"/>
    <w:rsid w:val="00AE5F2F"/>
    <w:rsid w:val="00AE7059"/>
    <w:rsid w:val="00AF79BD"/>
    <w:rsid w:val="00B012E0"/>
    <w:rsid w:val="00B1070E"/>
    <w:rsid w:val="00B13576"/>
    <w:rsid w:val="00B172CB"/>
    <w:rsid w:val="00B26582"/>
    <w:rsid w:val="00B27BF8"/>
    <w:rsid w:val="00B30F58"/>
    <w:rsid w:val="00B31202"/>
    <w:rsid w:val="00B32695"/>
    <w:rsid w:val="00B33AAF"/>
    <w:rsid w:val="00B43741"/>
    <w:rsid w:val="00B46C77"/>
    <w:rsid w:val="00B559B2"/>
    <w:rsid w:val="00B57BCE"/>
    <w:rsid w:val="00B57C44"/>
    <w:rsid w:val="00B63125"/>
    <w:rsid w:val="00B71BD9"/>
    <w:rsid w:val="00B7219A"/>
    <w:rsid w:val="00B73839"/>
    <w:rsid w:val="00B74245"/>
    <w:rsid w:val="00B83630"/>
    <w:rsid w:val="00B919E6"/>
    <w:rsid w:val="00B92A9E"/>
    <w:rsid w:val="00B95D2A"/>
    <w:rsid w:val="00BA27B3"/>
    <w:rsid w:val="00BA341A"/>
    <w:rsid w:val="00BB3340"/>
    <w:rsid w:val="00BB644C"/>
    <w:rsid w:val="00BC0053"/>
    <w:rsid w:val="00BC22D5"/>
    <w:rsid w:val="00BC3517"/>
    <w:rsid w:val="00BC5E24"/>
    <w:rsid w:val="00BD0B2B"/>
    <w:rsid w:val="00BD7CD0"/>
    <w:rsid w:val="00BE0504"/>
    <w:rsid w:val="00BE1ED7"/>
    <w:rsid w:val="00BF25CB"/>
    <w:rsid w:val="00C0057B"/>
    <w:rsid w:val="00C01007"/>
    <w:rsid w:val="00C01D36"/>
    <w:rsid w:val="00C020B2"/>
    <w:rsid w:val="00C10D8D"/>
    <w:rsid w:val="00C1413E"/>
    <w:rsid w:val="00C37953"/>
    <w:rsid w:val="00C421EF"/>
    <w:rsid w:val="00C428E0"/>
    <w:rsid w:val="00C43296"/>
    <w:rsid w:val="00C43DED"/>
    <w:rsid w:val="00C5070F"/>
    <w:rsid w:val="00C534FE"/>
    <w:rsid w:val="00C61913"/>
    <w:rsid w:val="00C6249A"/>
    <w:rsid w:val="00C658D7"/>
    <w:rsid w:val="00C65EF1"/>
    <w:rsid w:val="00C729D9"/>
    <w:rsid w:val="00C72A22"/>
    <w:rsid w:val="00C763CF"/>
    <w:rsid w:val="00C765E4"/>
    <w:rsid w:val="00C8387A"/>
    <w:rsid w:val="00C848A5"/>
    <w:rsid w:val="00CA7BD6"/>
    <w:rsid w:val="00CB0EF8"/>
    <w:rsid w:val="00CB1C2D"/>
    <w:rsid w:val="00CB31F9"/>
    <w:rsid w:val="00CB68AC"/>
    <w:rsid w:val="00CC30D3"/>
    <w:rsid w:val="00CD0D41"/>
    <w:rsid w:val="00CD3B47"/>
    <w:rsid w:val="00CD5214"/>
    <w:rsid w:val="00CE050F"/>
    <w:rsid w:val="00CE5BFC"/>
    <w:rsid w:val="00CF1B11"/>
    <w:rsid w:val="00CF5930"/>
    <w:rsid w:val="00D01352"/>
    <w:rsid w:val="00D04590"/>
    <w:rsid w:val="00D215A3"/>
    <w:rsid w:val="00D21666"/>
    <w:rsid w:val="00D23352"/>
    <w:rsid w:val="00D31602"/>
    <w:rsid w:val="00D36D74"/>
    <w:rsid w:val="00D36FBF"/>
    <w:rsid w:val="00D406A4"/>
    <w:rsid w:val="00D60FB9"/>
    <w:rsid w:val="00D63370"/>
    <w:rsid w:val="00D63CDD"/>
    <w:rsid w:val="00D70AEA"/>
    <w:rsid w:val="00D70CC5"/>
    <w:rsid w:val="00D77772"/>
    <w:rsid w:val="00D82FA4"/>
    <w:rsid w:val="00D84B0A"/>
    <w:rsid w:val="00D85E63"/>
    <w:rsid w:val="00D87A64"/>
    <w:rsid w:val="00D87A6C"/>
    <w:rsid w:val="00D946F6"/>
    <w:rsid w:val="00DA25DE"/>
    <w:rsid w:val="00DA43A7"/>
    <w:rsid w:val="00DB22CA"/>
    <w:rsid w:val="00DB42CE"/>
    <w:rsid w:val="00DC22C9"/>
    <w:rsid w:val="00DC3577"/>
    <w:rsid w:val="00DC486A"/>
    <w:rsid w:val="00DC5A6F"/>
    <w:rsid w:val="00DD083B"/>
    <w:rsid w:val="00DE7DD0"/>
    <w:rsid w:val="00DF1A9E"/>
    <w:rsid w:val="00E0400E"/>
    <w:rsid w:val="00E0535C"/>
    <w:rsid w:val="00E05AD8"/>
    <w:rsid w:val="00E11511"/>
    <w:rsid w:val="00E1785F"/>
    <w:rsid w:val="00E213EE"/>
    <w:rsid w:val="00E24F1C"/>
    <w:rsid w:val="00E253CA"/>
    <w:rsid w:val="00E25BD5"/>
    <w:rsid w:val="00E2719B"/>
    <w:rsid w:val="00E31FAA"/>
    <w:rsid w:val="00E328BF"/>
    <w:rsid w:val="00E373EE"/>
    <w:rsid w:val="00E37C26"/>
    <w:rsid w:val="00E45295"/>
    <w:rsid w:val="00E4755B"/>
    <w:rsid w:val="00E537E3"/>
    <w:rsid w:val="00E57973"/>
    <w:rsid w:val="00E635A8"/>
    <w:rsid w:val="00E64812"/>
    <w:rsid w:val="00E71207"/>
    <w:rsid w:val="00E71DF7"/>
    <w:rsid w:val="00E742EA"/>
    <w:rsid w:val="00E74F25"/>
    <w:rsid w:val="00E77EC3"/>
    <w:rsid w:val="00E81DAE"/>
    <w:rsid w:val="00E8229C"/>
    <w:rsid w:val="00E82D69"/>
    <w:rsid w:val="00E83CF1"/>
    <w:rsid w:val="00E8450E"/>
    <w:rsid w:val="00E85729"/>
    <w:rsid w:val="00E960E1"/>
    <w:rsid w:val="00E96209"/>
    <w:rsid w:val="00EA2814"/>
    <w:rsid w:val="00EA6740"/>
    <w:rsid w:val="00EB663E"/>
    <w:rsid w:val="00EC1D10"/>
    <w:rsid w:val="00EC447D"/>
    <w:rsid w:val="00EC4CF7"/>
    <w:rsid w:val="00EC596A"/>
    <w:rsid w:val="00EC7B08"/>
    <w:rsid w:val="00ED03BE"/>
    <w:rsid w:val="00ED3EE1"/>
    <w:rsid w:val="00ED7D96"/>
    <w:rsid w:val="00EF2156"/>
    <w:rsid w:val="00EF2E19"/>
    <w:rsid w:val="00EF4A5B"/>
    <w:rsid w:val="00EF4C18"/>
    <w:rsid w:val="00F01695"/>
    <w:rsid w:val="00F075C5"/>
    <w:rsid w:val="00F14A5A"/>
    <w:rsid w:val="00F20BD0"/>
    <w:rsid w:val="00F24623"/>
    <w:rsid w:val="00F24E2A"/>
    <w:rsid w:val="00F27C38"/>
    <w:rsid w:val="00F30F2F"/>
    <w:rsid w:val="00F32370"/>
    <w:rsid w:val="00F42DBC"/>
    <w:rsid w:val="00F605E3"/>
    <w:rsid w:val="00F76C2A"/>
    <w:rsid w:val="00F8326D"/>
    <w:rsid w:val="00F85CA1"/>
    <w:rsid w:val="00F86B7D"/>
    <w:rsid w:val="00F9008A"/>
    <w:rsid w:val="00F9355A"/>
    <w:rsid w:val="00F94952"/>
    <w:rsid w:val="00F95981"/>
    <w:rsid w:val="00F96D3B"/>
    <w:rsid w:val="00F979D3"/>
    <w:rsid w:val="00FB25C2"/>
    <w:rsid w:val="00FB424D"/>
    <w:rsid w:val="00FB5A33"/>
    <w:rsid w:val="00FC1464"/>
    <w:rsid w:val="00FC265E"/>
    <w:rsid w:val="00FD07E9"/>
    <w:rsid w:val="00FD1047"/>
    <w:rsid w:val="00FD2567"/>
    <w:rsid w:val="00FE16E7"/>
    <w:rsid w:val="00FE278E"/>
    <w:rsid w:val="00FE55A4"/>
    <w:rsid w:val="00FF12C6"/>
    <w:rsid w:val="00FF29D9"/>
    <w:rsid w:val="00FF2AAD"/>
    <w:rsid w:val="07E464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18"/>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19"/>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1"/>
    <w:semiHidden/>
    <w:uiPriority w:val="0"/>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2"/>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uiPriority w:val="0"/>
  </w:style>
  <w:style w:type="table" w:styleId="14">
    <w:name w:val="Table Grid"/>
    <w:basedOn w:val="1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0"/>
    <w:link w:val="7"/>
    <w:uiPriority w:val="0"/>
    <w:rPr>
      <w:sz w:val="18"/>
      <w:szCs w:val="18"/>
    </w:rPr>
  </w:style>
  <w:style w:type="character" w:customStyle="1" w:styleId="16">
    <w:name w:val="页脚 Char"/>
    <w:basedOn w:val="10"/>
    <w:link w:val="6"/>
    <w:uiPriority w:val="99"/>
    <w:rPr>
      <w:sz w:val="18"/>
      <w:szCs w:val="18"/>
    </w:rPr>
  </w:style>
  <w:style w:type="character" w:customStyle="1" w:styleId="17">
    <w:name w:val="标题 1 Char"/>
    <w:basedOn w:val="10"/>
    <w:link w:val="2"/>
    <w:uiPriority w:val="9"/>
    <w:rPr>
      <w:rFonts w:ascii="Times New Roman" w:hAnsi="Times New Roman" w:cs="Times New Roman" w:eastAsiaTheme="majorEastAsia"/>
      <w:b/>
      <w:bCs/>
      <w:kern w:val="44"/>
      <w:sz w:val="32"/>
      <w:szCs w:val="44"/>
    </w:rPr>
  </w:style>
  <w:style w:type="character" w:customStyle="1" w:styleId="18">
    <w:name w:val="标题 2 Char"/>
    <w:basedOn w:val="10"/>
    <w:link w:val="3"/>
    <w:qFormat/>
    <w:uiPriority w:val="9"/>
    <w:rPr>
      <w:rFonts w:asciiTheme="majorHAnsi" w:hAnsiTheme="majorHAnsi" w:eastAsiaTheme="majorEastAsia" w:cstheme="majorBidi"/>
      <w:b/>
      <w:bCs/>
      <w:sz w:val="30"/>
      <w:szCs w:val="32"/>
    </w:rPr>
  </w:style>
  <w:style w:type="character" w:customStyle="1" w:styleId="19">
    <w:name w:val="标题 3 Char"/>
    <w:basedOn w:val="10"/>
    <w:link w:val="4"/>
    <w:uiPriority w:val="9"/>
    <w:rPr>
      <w:rFonts w:ascii="Times New Roman" w:hAnsi="Times New Roman" w:cs="Times New Roman" w:eastAsiaTheme="majorEastAsia"/>
      <w:b/>
      <w:bCs/>
      <w:sz w:val="28"/>
      <w:szCs w:val="32"/>
    </w:rPr>
  </w:style>
  <w:style w:type="paragraph" w:customStyle="1" w:styleId="20">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21">
    <w:name w:val="批注框文本 Char"/>
    <w:basedOn w:val="10"/>
    <w:link w:val="5"/>
    <w:semiHidden/>
    <w:uiPriority w:val="0"/>
    <w:rPr>
      <w:rFonts w:ascii="Times New Roman" w:hAnsi="Times New Roman" w:eastAsia="宋体" w:cs="Times New Roman"/>
      <w:sz w:val="18"/>
      <w:szCs w:val="18"/>
    </w:rPr>
  </w:style>
  <w:style w:type="character" w:customStyle="1" w:styleId="22">
    <w:name w:val="正文文本缩进 3 Char"/>
    <w:basedOn w:val="10"/>
    <w:link w:val="8"/>
    <w:uiPriority w:val="0"/>
    <w:rPr>
      <w:rFonts w:ascii="Times New Roman" w:hAnsi="Times New Roman" w:eastAsia="仿宋_GB2312" w:cs="Times New Roman"/>
      <w:sz w:val="32"/>
      <w:szCs w:val="24"/>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普通(网站)1"/>
    <w:basedOn w:val="1"/>
    <w:uiPriority w:val="0"/>
    <w:rPr>
      <w:rFonts w:ascii="Calibri" w:hAnsi="Calibri" w:cs="黑体"/>
      <w:sz w:val="24"/>
    </w:rPr>
  </w:style>
  <w:style w:type="table" w:customStyle="1" w:styleId="25">
    <w:name w:val="网格型1"/>
    <w:basedOn w:val="13"/>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普通(网站)2"/>
    <w:basedOn w:val="1"/>
    <w:uiPriority w:val="0"/>
    <w:rPr>
      <w:rFonts w:ascii="Calibri" w:hAnsi="Calibri" w:cs="黑体"/>
      <w:sz w:val="24"/>
    </w:rPr>
  </w:style>
  <w:style w:type="paragraph" w:customStyle="1" w:styleId="27">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Pages>
  <Words>1254</Words>
  <Characters>7150</Characters>
  <Lines>59</Lines>
  <Paragraphs>16</Paragraphs>
  <TotalTime>39</TotalTime>
  <ScaleCrop>false</ScaleCrop>
  <LinksUpToDate>false</LinksUpToDate>
  <CharactersWithSpaces>8388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2018-03-21T07:19:00Z</dcterms:created>
  <dc:creator>桑三博客</dc:creator>
  <cp:lastModifiedBy>zx</cp:lastModifiedBy>
  <dcterms:modified xsi:type="dcterms:W3CDTF">2018-12-16T21:43:40Z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