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00" w:lineRule="auto"/>
        <w:rPr>
          <w:rFonts w:ascii="黑体" w:hAnsi="黑体" w:eastAsia="黑体"/>
          <w:color w:val="171717" w:themeColor="background2" w:themeShade="1A"/>
          <w:sz w:val="44"/>
          <w:szCs w:val="44"/>
        </w:rPr>
      </w:pPr>
      <w:r>
        <w:rPr>
          <w:rFonts w:hint="eastAsia" w:ascii="黑体" w:hAnsi="黑体" w:eastAsia="黑体"/>
          <w:color w:val="171717" w:themeColor="background2" w:themeShade="1A"/>
          <w:sz w:val="44"/>
          <w:szCs w:val="44"/>
        </w:rPr>
        <w:t>附件：</w:t>
      </w: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乌鲁木齐市第八十七中学</w:t>
      </w:r>
    </w:p>
    <w:p>
      <w:pPr>
        <w:widowControl/>
        <w:spacing w:before="100" w:beforeAutospacing="1" w:after="100" w:afterAutospacing="1"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2016年部门预算公开</w:t>
      </w: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ind w:firstLine="120" w:firstLineChars="50"/>
        <w:outlineLvl w:val="1"/>
        <w:rPr>
          <w:rFonts w:asciiTheme="minorEastAsia" w:hAnsiTheme="minorEastAsia" w:eastAsiaTheme="minorEastAsia"/>
          <w:b/>
          <w:color w:val="171717" w:themeColor="background2" w:themeShade="1A"/>
          <w:kern w:val="0"/>
          <w:sz w:val="24"/>
        </w:rPr>
      </w:pPr>
    </w:p>
    <w:p>
      <w:pPr>
        <w:widowControl/>
        <w:spacing w:line="300" w:lineRule="auto"/>
        <w:outlineLvl w:val="1"/>
        <w:rPr>
          <w:rFonts w:asciiTheme="minorEastAsia" w:hAnsiTheme="minorEastAsia" w:eastAsiaTheme="minorEastAsia"/>
          <w:b/>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line="300" w:lineRule="auto"/>
        <w:ind w:firstLine="1920" w:firstLineChars="800"/>
        <w:outlineLvl w:val="1"/>
        <w:rPr>
          <w:rFonts w:asciiTheme="minorEastAsia" w:hAnsiTheme="minorEastAsia" w:eastAsiaTheme="minorEastAsia"/>
          <w:color w:val="171717" w:themeColor="background2" w:themeShade="1A"/>
          <w:kern w:val="0"/>
          <w:sz w:val="24"/>
        </w:rPr>
      </w:pPr>
    </w:p>
    <w:p>
      <w:pPr>
        <w:widowControl/>
        <w:spacing w:before="100" w:beforeAutospacing="1" w:after="100" w:afterAutospacing="1" w:line="300" w:lineRule="auto"/>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jc w:val="center"/>
        <w:outlineLvl w:val="1"/>
        <w:rPr>
          <w:rFonts w:ascii="黑体" w:hAnsi="黑体" w:eastAsia="黑体"/>
          <w:color w:val="171717" w:themeColor="background2" w:themeShade="1A"/>
          <w:kern w:val="0"/>
          <w:sz w:val="44"/>
          <w:szCs w:val="44"/>
        </w:rPr>
      </w:pPr>
      <w:r>
        <w:rPr>
          <w:rFonts w:hint="eastAsia" w:ascii="黑体" w:hAnsi="黑体" w:eastAsia="黑体"/>
          <w:color w:val="171717" w:themeColor="background2" w:themeShade="1A"/>
          <w:kern w:val="0"/>
          <w:sz w:val="44"/>
          <w:szCs w:val="44"/>
        </w:rPr>
        <w:t>目录</w:t>
      </w:r>
    </w:p>
    <w:p>
      <w:pPr>
        <w:widowControl/>
        <w:spacing w:line="300" w:lineRule="auto"/>
        <w:jc w:val="center"/>
        <w:outlineLvl w:val="1"/>
        <w:rPr>
          <w:rFonts w:ascii="黑体" w:hAnsi="黑体" w:eastAsia="黑体"/>
          <w:color w:val="171717" w:themeColor="background2" w:themeShade="1A"/>
          <w:kern w:val="0"/>
          <w:sz w:val="44"/>
          <w:szCs w:val="44"/>
        </w:rPr>
      </w:pP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第一部分  乌鲁木齐市第八十七中学单位概况</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一、主要职能</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二、机构设置及人员情况</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第二部分  2016年部门预算公开表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一、部门收支总体情况表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二、部门收入总体情况表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三、部门支出总体情况表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四、财政拨款收支总体情况表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五、一般公共预算支出情况表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六、一般公共预算基本支出情况表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七、项目支出情况表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八、一般公共预算“三公”经费支出情况表</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九、政府性基金预算支出情况表</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第三部分  乌鲁木齐市第八十七中学年预算情况说明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一、关于乌鲁木齐市第八十七中学2016年收支预算情况的总体说明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二、关于乌鲁木齐市第八十七中学2016年收入预算情况说明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三、关于乌鲁木齐市第八十七中学2016年支出预算情况说明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四、关于乌鲁木齐市第八十七中学2016年财政拨款收支预算情况的总体说明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五、关于乌鲁木齐市第八十七中学2016年一般公共预算当年拨款情况说明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六、关于乌鲁木齐市第八十七中学2016年一般公共预算基本支出情况说明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七、关于乌鲁木齐市第八十七中学2016年项目支出情况说明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八、关于乌鲁木齐市第八十七中学2016年一般公共预算“三公”经费预算情况说明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九、关于乌鲁木齐市第八十七中学2016年政府性基金预算拨款情况说明</w:t>
      </w:r>
    </w:p>
    <w:p>
      <w:pPr>
        <w:widowControl/>
        <w:jc w:val="left"/>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十、其他重要事项的情况说明</w:t>
      </w:r>
    </w:p>
    <w:p>
      <w:pPr>
        <w:widowControl/>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第四部分  名词解释</w:t>
      </w:r>
    </w:p>
    <w:p>
      <w:pPr>
        <w:widowControl/>
        <w:jc w:val="left"/>
        <w:rPr>
          <w:rFonts w:ascii="仿宋_GB2312" w:eastAsia="仿宋_GB2312" w:hAnsiTheme="minorEastAsia"/>
          <w:b/>
          <w:color w:val="171717" w:themeColor="background2" w:themeShade="1A"/>
          <w:kern w:val="0"/>
          <w:sz w:val="32"/>
          <w:szCs w:val="32"/>
        </w:rPr>
      </w:pPr>
      <w:r>
        <w:rPr>
          <w:rFonts w:ascii="仿宋_GB2312" w:eastAsia="仿宋_GB2312" w:hAnsiTheme="minorEastAsia"/>
          <w:b/>
          <w:color w:val="171717" w:themeColor="background2" w:themeShade="1A"/>
          <w:kern w:val="0"/>
          <w:sz w:val="32"/>
          <w:szCs w:val="32"/>
        </w:rPr>
        <w:br w:type="page"/>
      </w:r>
    </w:p>
    <w:p>
      <w:pPr>
        <w:pStyle w:val="2"/>
        <w:spacing w:before="240"/>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第一部分乌鲁木齐市第八十七中学单位概况</w:t>
      </w:r>
    </w:p>
    <w:p>
      <w:pPr>
        <w:jc w:val="center"/>
        <w:rPr>
          <w:rFonts w:ascii="黑体" w:hAnsi="黑体" w:eastAsia="黑体"/>
          <w:color w:val="171717" w:themeColor="background2" w:themeShade="1A"/>
          <w:sz w:val="32"/>
          <w:szCs w:val="32"/>
        </w:rPr>
      </w:pP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一、主要职能</w:t>
      </w:r>
    </w:p>
    <w:p>
      <w:pPr>
        <w:shd w:val="clear" w:color="auto" w:fill="FFFFFF"/>
        <w:spacing w:before="100" w:beforeAutospacing="1" w:after="100" w:afterAutospacing="1" w:line="560" w:lineRule="exact"/>
        <w:ind w:firstLine="560" w:firstLineChars="200"/>
        <w:jc w:val="left"/>
        <w:textAlignment w:val="top"/>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八十七中学由乌鲁木齐市水磨沟区人民政府举办，主管部门是乌鲁木齐市水磨沟区教育局。学校是非营利性教育事业单位，具有独立法人资格。实施小学、初中民汉义务教育；促进基础教育发展，小学、初中学历教育。</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二、机构设置及人员情况</w:t>
      </w:r>
    </w:p>
    <w:p>
      <w:pPr>
        <w:shd w:val="clear" w:color="auto" w:fill="FFFFFF"/>
        <w:spacing w:before="100" w:beforeAutospacing="1" w:after="100" w:afterAutospacing="1" w:line="560" w:lineRule="exact"/>
        <w:ind w:firstLine="560" w:firstLineChars="200"/>
        <w:jc w:val="left"/>
        <w:textAlignment w:val="top"/>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根据职责，纳入乌鲁木齐市第八十七中学2017年部门决算编制范围内设9个机构，属于全额拨款事业单位。</w:t>
      </w:r>
    </w:p>
    <w:p>
      <w:pPr>
        <w:shd w:val="clear" w:color="auto" w:fill="FFFFFF"/>
        <w:spacing w:before="100" w:beforeAutospacing="1" w:after="100" w:afterAutospacing="1" w:line="560" w:lineRule="exact"/>
        <w:ind w:firstLine="560" w:firstLineChars="200"/>
        <w:jc w:val="left"/>
        <w:textAlignment w:val="top"/>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乌鲁木齐市第八十七中学编制人数138人，全额拨款事业单位人员编制138人。乌鲁木齐市第八十七中学实有在职人数</w:t>
      </w:r>
      <w:r>
        <w:rPr>
          <w:rFonts w:hint="eastAsia" w:cs="宋体" w:asciiTheme="minorEastAsia" w:hAnsiTheme="minorEastAsia" w:eastAsiaTheme="minorEastAsia"/>
          <w:kern w:val="0"/>
          <w:sz w:val="28"/>
          <w:szCs w:val="28"/>
        </w:rPr>
        <w:t>127</w:t>
      </w:r>
      <w:r>
        <w:rPr>
          <w:rFonts w:hint="eastAsia" w:cs="宋体" w:asciiTheme="minorEastAsia" w:hAnsiTheme="minorEastAsia" w:eastAsiaTheme="minorEastAsia"/>
          <w:color w:val="171717" w:themeColor="background2" w:themeShade="1A"/>
          <w:kern w:val="0"/>
          <w:sz w:val="28"/>
          <w:szCs w:val="28"/>
        </w:rPr>
        <w:t>人，其中：全额拨款事业单位人员127人。</w:t>
      </w:r>
    </w:p>
    <w:p>
      <w:pPr>
        <w:shd w:val="clear" w:color="auto" w:fill="FFFFFF"/>
        <w:spacing w:before="100" w:beforeAutospacing="1" w:after="100" w:afterAutospacing="1" w:line="560" w:lineRule="exact"/>
        <w:ind w:firstLine="560" w:firstLineChars="200"/>
        <w:jc w:val="left"/>
        <w:textAlignment w:val="top"/>
        <w:rPr>
          <w:rFonts w:cs="宋体" w:asciiTheme="minorEastAsia" w:hAnsiTheme="minorEastAsia" w:eastAsiaTheme="minorEastAsia"/>
          <w:color w:val="171717" w:themeColor="background2" w:themeShade="1A"/>
          <w:kern w:val="0"/>
          <w:sz w:val="28"/>
          <w:szCs w:val="28"/>
        </w:rPr>
      </w:pPr>
    </w:p>
    <w:p>
      <w:pPr>
        <w:shd w:val="clear" w:color="auto" w:fill="FFFFFF"/>
        <w:spacing w:before="100" w:beforeAutospacing="1" w:after="100" w:afterAutospacing="1" w:line="560" w:lineRule="exact"/>
        <w:ind w:firstLine="560" w:firstLineChars="200"/>
        <w:jc w:val="left"/>
        <w:textAlignment w:val="top"/>
        <w:rPr>
          <w:rFonts w:cs="宋体" w:asciiTheme="minorEastAsia" w:hAnsiTheme="minorEastAsia" w:eastAsiaTheme="minorEastAsia"/>
          <w:color w:val="171717" w:themeColor="background2" w:themeShade="1A"/>
          <w:kern w:val="0"/>
          <w:sz w:val="28"/>
          <w:szCs w:val="28"/>
        </w:rPr>
      </w:pPr>
    </w:p>
    <w:p>
      <w:pPr>
        <w:shd w:val="clear" w:color="auto" w:fill="FFFFFF"/>
        <w:spacing w:before="100" w:beforeAutospacing="1" w:after="100" w:afterAutospacing="1" w:line="560" w:lineRule="exact"/>
        <w:ind w:firstLine="480" w:firstLineChars="200"/>
        <w:jc w:val="left"/>
        <w:textAlignment w:val="top"/>
        <w:rPr>
          <w:rFonts w:asciiTheme="minorEastAsia" w:hAnsiTheme="minorEastAsia" w:eastAsiaTheme="minorEastAsia"/>
          <w:color w:val="171717" w:themeColor="background2" w:themeShade="1A"/>
          <w:kern w:val="0"/>
          <w:sz w:val="24"/>
        </w:rPr>
      </w:pPr>
    </w:p>
    <w:p>
      <w:pPr>
        <w:pStyle w:val="2"/>
        <w:spacing w:before="240"/>
        <w:rPr>
          <w:rFonts w:ascii="黑体" w:hAnsi="黑体" w:eastAsia="黑体"/>
          <w:b w:val="0"/>
          <w:color w:val="171717" w:themeColor="background2" w:themeShade="1A"/>
        </w:rPr>
      </w:pPr>
      <w:r>
        <w:rPr>
          <w:rFonts w:hint="eastAsia" w:ascii="黑体" w:hAnsi="黑体" w:eastAsia="黑体"/>
          <w:b w:val="0"/>
          <w:color w:val="171717" w:themeColor="background2" w:themeShade="1A"/>
        </w:rPr>
        <w:t>第二部分乌鲁木齐市第八十七中学2016年部门预算公开表</w:t>
      </w:r>
    </w:p>
    <w:p>
      <w:pPr>
        <w:widowControl/>
        <w:spacing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表一：</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部门收支总体情况表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编制部门：乌鲁木齐市第八十七中学                     单位：万元</w:t>
      </w:r>
    </w:p>
    <w:tbl>
      <w:tblPr>
        <w:tblStyle w:val="13"/>
        <w:tblW w:w="8931" w:type="dxa"/>
        <w:tblInd w:w="-176" w:type="dxa"/>
        <w:tblLayout w:type="fixed"/>
        <w:tblCellMar>
          <w:top w:w="0" w:type="dxa"/>
          <w:left w:w="108" w:type="dxa"/>
          <w:bottom w:w="0" w:type="dxa"/>
          <w:right w:w="108" w:type="dxa"/>
        </w:tblCellMar>
      </w:tblPr>
      <w:tblGrid>
        <w:gridCol w:w="2549"/>
        <w:gridCol w:w="1704"/>
        <w:gridCol w:w="2977"/>
        <w:gridCol w:w="1701"/>
      </w:tblGrid>
      <w:tr>
        <w:tblPrEx>
          <w:tblLayout w:type="fixed"/>
          <w:tblCellMar>
            <w:top w:w="0" w:type="dxa"/>
            <w:left w:w="108" w:type="dxa"/>
            <w:bottom w:w="0" w:type="dxa"/>
            <w:right w:w="108" w:type="dxa"/>
          </w:tblCellMar>
        </w:tblPrEx>
        <w:trPr>
          <w:trHeight w:val="360" w:hRule="atLeast"/>
        </w:trPr>
        <w:tc>
          <w:tcPr>
            <w:tcW w:w="4253" w:type="dxa"/>
            <w:gridSpan w:val="2"/>
            <w:tcBorders>
              <w:top w:val="single" w:color="auto" w:sz="4" w:space="0"/>
              <w:left w:val="single" w:color="auto" w:sz="4" w:space="0"/>
              <w:bottom w:val="single" w:color="auto" w:sz="4" w:space="0"/>
              <w:right w:val="single" w:color="000000" w:sz="4" w:space="0"/>
            </w:tcBorders>
            <w:shd w:val="clear" w:color="auto" w:fill="auto"/>
            <w:noWrap/>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收     入</w:t>
            </w:r>
          </w:p>
        </w:tc>
        <w:tc>
          <w:tcPr>
            <w:tcW w:w="4678" w:type="dxa"/>
            <w:gridSpan w:val="2"/>
            <w:tcBorders>
              <w:top w:val="single" w:color="auto" w:sz="4" w:space="0"/>
              <w:left w:val="nil"/>
              <w:bottom w:val="single" w:color="auto" w:sz="4" w:space="0"/>
              <w:right w:val="single" w:color="auto" w:sz="4" w:space="0"/>
            </w:tcBorders>
            <w:shd w:val="clear" w:color="auto" w:fill="auto"/>
            <w:noWrap/>
            <w:vAlign w:val="bottom"/>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     出</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704"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c>
          <w:tcPr>
            <w:tcW w:w="297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功能分类</w:t>
            </w:r>
          </w:p>
        </w:tc>
        <w:tc>
          <w:tcPr>
            <w:tcW w:w="1701"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预算数</w:t>
            </w: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2323.3</w:t>
            </w: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一般公共预算</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2323.3</w:t>
            </w: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政府性基金预算</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非税收入</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其他资金</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hAnsi="Arial" w:eastAsia="仿宋_GB2312" w:cs="Arial"/>
                <w:color w:val="171717" w:themeColor="background2" w:themeShade="1A"/>
                <w:sz w:val="18"/>
                <w:szCs w:val="18"/>
              </w:rPr>
              <w:t>2323.3</w:t>
            </w:r>
          </w:p>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财政预算拨款结余结转</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结转</w:t>
            </w:r>
          </w:p>
        </w:tc>
        <w:tc>
          <w:tcPr>
            <w:tcW w:w="170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 xml:space="preserve">    结余</w:t>
            </w:r>
          </w:p>
        </w:tc>
        <w:tc>
          <w:tcPr>
            <w:tcW w:w="170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2549" w:type="dxa"/>
            <w:tcBorders>
              <w:top w:val="nil"/>
              <w:left w:val="single" w:color="auto" w:sz="4" w:space="0"/>
              <w:bottom w:val="single" w:color="auto" w:sz="4" w:space="0"/>
              <w:right w:val="single" w:color="auto" w:sz="4" w:space="0"/>
            </w:tcBorders>
            <w:shd w:val="clear" w:color="auto" w:fill="auto"/>
            <w:noWrap/>
            <w:vAlign w:val="bottom"/>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704"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701"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65" w:hRule="atLeast"/>
        </w:trPr>
        <w:tc>
          <w:tcPr>
            <w:tcW w:w="2549" w:type="dxa"/>
            <w:tcBorders>
              <w:top w:val="nil"/>
              <w:left w:val="single" w:color="auto" w:sz="4" w:space="0"/>
              <w:bottom w:val="single" w:color="auto" w:sz="4" w:space="0"/>
              <w:right w:val="nil"/>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704"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2273.46</w:t>
            </w:r>
          </w:p>
        </w:tc>
        <w:tc>
          <w:tcPr>
            <w:tcW w:w="2977" w:type="dxa"/>
            <w:tcBorders>
              <w:top w:val="nil"/>
              <w:left w:val="nil"/>
              <w:bottom w:val="single" w:color="auto" w:sz="4" w:space="0"/>
              <w:right w:val="nil"/>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合  计</w:t>
            </w:r>
          </w:p>
        </w:tc>
        <w:tc>
          <w:tcPr>
            <w:tcW w:w="1701"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2273.46</w:t>
            </w: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表二：</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部门收入总体情况表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填报部门：乌鲁木齐市第八十七中学                          单位：万元</w:t>
      </w:r>
    </w:p>
    <w:tbl>
      <w:tblPr>
        <w:tblStyle w:val="13"/>
        <w:tblW w:w="8976" w:type="dxa"/>
        <w:tblInd w:w="93" w:type="dxa"/>
        <w:tblLayout w:type="fixed"/>
        <w:tblCellMar>
          <w:top w:w="0" w:type="dxa"/>
          <w:left w:w="108" w:type="dxa"/>
          <w:bottom w:w="0" w:type="dxa"/>
          <w:right w:w="108" w:type="dxa"/>
        </w:tblCellMar>
      </w:tblPr>
      <w:tblGrid>
        <w:gridCol w:w="546"/>
        <w:gridCol w:w="457"/>
        <w:gridCol w:w="457"/>
        <w:gridCol w:w="1428"/>
        <w:gridCol w:w="936"/>
        <w:gridCol w:w="936"/>
        <w:gridCol w:w="680"/>
        <w:gridCol w:w="680"/>
        <w:gridCol w:w="680"/>
        <w:gridCol w:w="680"/>
        <w:gridCol w:w="816"/>
        <w:gridCol w:w="680"/>
      </w:tblGrid>
      <w:tr>
        <w:tblPrEx>
          <w:tblLayout w:type="fixed"/>
          <w:tblCellMar>
            <w:top w:w="0" w:type="dxa"/>
            <w:left w:w="108" w:type="dxa"/>
            <w:bottom w:w="0" w:type="dxa"/>
            <w:right w:w="108" w:type="dxa"/>
          </w:tblCellMar>
        </w:tblPrEx>
        <w:trPr>
          <w:trHeight w:val="510" w:hRule="atLeast"/>
        </w:trPr>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功能分类科目编码</w:t>
            </w:r>
          </w:p>
        </w:tc>
        <w:tc>
          <w:tcPr>
            <w:tcW w:w="1428"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功能分类科目名称</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总  计</w:t>
            </w:r>
          </w:p>
        </w:tc>
        <w:tc>
          <w:tcPr>
            <w:tcW w:w="936"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一般公共预算拨款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政府性基金预算拨款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非税收入拨款</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其他资金</w:t>
            </w:r>
          </w:p>
        </w:tc>
        <w:tc>
          <w:tcPr>
            <w:tcW w:w="680" w:type="dxa"/>
            <w:vMerge w:val="restart"/>
            <w:tcBorders>
              <w:top w:val="single" w:color="auto" w:sz="4" w:space="0"/>
              <w:left w:val="single" w:color="auto" w:sz="4" w:space="0"/>
              <w:bottom w:val="single" w:color="000000"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事业单位经营收入</w:t>
            </w:r>
          </w:p>
        </w:tc>
        <w:tc>
          <w:tcPr>
            <w:tcW w:w="1496" w:type="dxa"/>
            <w:gridSpan w:val="2"/>
            <w:tcBorders>
              <w:top w:val="single" w:color="auto" w:sz="4" w:space="0"/>
              <w:left w:val="single" w:color="auto" w:sz="4" w:space="0"/>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kern w:val="0"/>
                <w:sz w:val="18"/>
                <w:szCs w:val="18"/>
              </w:rPr>
              <w:t>财政预算拨款结余结转</w:t>
            </w:r>
          </w:p>
        </w:tc>
      </w:tr>
      <w:tr>
        <w:tblPrEx>
          <w:tblLayout w:type="fixed"/>
          <w:tblCellMar>
            <w:top w:w="0" w:type="dxa"/>
            <w:left w:w="108" w:type="dxa"/>
            <w:bottom w:w="0" w:type="dxa"/>
            <w:right w:w="108" w:type="dxa"/>
          </w:tblCellMar>
        </w:tblPrEx>
        <w:trPr>
          <w:trHeight w:val="187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b/>
                <w:color w:val="171717" w:themeColor="background2" w:themeShade="1A"/>
                <w:sz w:val="18"/>
                <w:szCs w:val="18"/>
              </w:rPr>
            </w:pPr>
            <w:r>
              <w:rPr>
                <w:rFonts w:hint="eastAsia" w:ascii="仿宋_GB2312" w:eastAsia="仿宋_GB2312" w:hAnsiTheme="minorEastAsia"/>
                <w:b/>
                <w:color w:val="171717" w:themeColor="background2" w:themeShade="1A"/>
                <w:sz w:val="18"/>
                <w:szCs w:val="18"/>
              </w:rPr>
              <w:t>项</w:t>
            </w:r>
          </w:p>
        </w:tc>
        <w:tc>
          <w:tcPr>
            <w:tcW w:w="1428"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936"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680" w:type="dxa"/>
            <w:vMerge w:val="continue"/>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color w:val="171717" w:themeColor="background2" w:themeShade="1A"/>
                <w:sz w:val="18"/>
                <w:szCs w:val="18"/>
              </w:rPr>
            </w:pPr>
          </w:p>
        </w:tc>
        <w:tc>
          <w:tcPr>
            <w:tcW w:w="816"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w:t>
            </w:r>
          </w:p>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转</w:t>
            </w:r>
          </w:p>
        </w:tc>
        <w:tc>
          <w:tcPr>
            <w:tcW w:w="680" w:type="dxa"/>
            <w:tcBorders>
              <w:top w:val="single" w:color="auto" w:sz="4" w:space="0"/>
              <w:left w:val="single" w:color="auto" w:sz="4" w:space="0"/>
              <w:bottom w:val="single" w:color="000000" w:sz="4" w:space="0"/>
              <w:right w:val="single" w:color="auto" w:sz="4" w:space="0"/>
            </w:tcBorders>
            <w:vAlign w:val="center"/>
          </w:tcPr>
          <w:p>
            <w:pPr>
              <w:spacing w:line="300" w:lineRule="auto"/>
              <w:rPr>
                <w:rFonts w:ascii="仿宋_GB2312" w:eastAsia="仿宋_GB2312" w:cs="宋体" w:hAnsiTheme="minorEastAsia"/>
                <w:b/>
                <w:color w:val="171717" w:themeColor="background2" w:themeShade="1A"/>
                <w:sz w:val="18"/>
                <w:szCs w:val="18"/>
              </w:rPr>
            </w:pPr>
            <w:r>
              <w:rPr>
                <w:rFonts w:hint="eastAsia" w:ascii="仿宋_GB2312" w:eastAsia="仿宋_GB2312" w:cs="宋体" w:hAnsiTheme="minorEastAsia"/>
                <w:b/>
                <w:color w:val="171717" w:themeColor="background2" w:themeShade="1A"/>
                <w:sz w:val="18"/>
                <w:szCs w:val="18"/>
              </w:rPr>
              <w:t>结余</w:t>
            </w: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1428"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936" w:type="dxa"/>
            <w:tcBorders>
              <w:top w:val="nil"/>
              <w:left w:val="nil"/>
              <w:bottom w:val="single" w:color="auto" w:sz="4" w:space="0"/>
              <w:right w:val="single" w:color="auto" w:sz="4" w:space="0"/>
            </w:tcBorders>
            <w:shd w:val="clear" w:color="000000" w:fill="FFFFFF"/>
            <w:noWrap/>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1171.31</w:t>
            </w:r>
          </w:p>
        </w:tc>
        <w:tc>
          <w:tcPr>
            <w:tcW w:w="936" w:type="dxa"/>
            <w:tcBorders>
              <w:top w:val="nil"/>
              <w:left w:val="nil"/>
              <w:bottom w:val="single" w:color="auto" w:sz="4" w:space="0"/>
              <w:right w:val="single" w:color="auto" w:sz="4" w:space="0"/>
            </w:tcBorders>
            <w:shd w:val="clear" w:color="000000" w:fill="FFFFFF"/>
            <w:noWrap/>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1171.31</w:t>
            </w: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1428"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小学教育</w:t>
            </w:r>
          </w:p>
        </w:tc>
        <w:tc>
          <w:tcPr>
            <w:tcW w:w="936" w:type="dxa"/>
            <w:tcBorders>
              <w:top w:val="nil"/>
              <w:left w:val="nil"/>
              <w:bottom w:val="single" w:color="auto" w:sz="4" w:space="0"/>
              <w:right w:val="single" w:color="auto" w:sz="4" w:space="0"/>
            </w:tcBorders>
            <w:shd w:val="clear" w:color="000000" w:fill="FFFFFF"/>
            <w:noWrap/>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1151.99</w:t>
            </w:r>
          </w:p>
        </w:tc>
        <w:tc>
          <w:tcPr>
            <w:tcW w:w="936" w:type="dxa"/>
            <w:tcBorders>
              <w:top w:val="nil"/>
              <w:left w:val="nil"/>
              <w:bottom w:val="single" w:color="auto" w:sz="4" w:space="0"/>
              <w:right w:val="single" w:color="auto" w:sz="4" w:space="0"/>
            </w:tcBorders>
            <w:shd w:val="clear" w:color="000000" w:fill="FFFFFF"/>
            <w:noWrap/>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1151.99</w:t>
            </w: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000000" w:fill="FFFFFF"/>
            <w:noWrap/>
            <w:vAlign w:val="center"/>
          </w:tcPr>
          <w:p>
            <w:pPr>
              <w:widowControl/>
              <w:jc w:val="right"/>
              <w:rPr>
                <w:rFonts w:ascii="仿宋_GB2312" w:eastAsia="仿宋_GB2312"/>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000000" w:fill="FFFFFF"/>
            <w:noWrap/>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1428"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p>
        </w:tc>
        <w:tc>
          <w:tcPr>
            <w:tcW w:w="936"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r>
        <w:tblPrEx>
          <w:tblLayout w:type="fixed"/>
          <w:tblCellMar>
            <w:top w:w="0" w:type="dxa"/>
            <w:left w:w="108" w:type="dxa"/>
            <w:bottom w:w="0" w:type="dxa"/>
            <w:right w:w="108" w:type="dxa"/>
          </w:tblCellMar>
        </w:tblPrEx>
        <w:trPr>
          <w:trHeight w:val="46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1428" w:type="dxa"/>
            <w:tcBorders>
              <w:top w:val="nil"/>
              <w:left w:val="nil"/>
              <w:bottom w:val="single" w:color="auto" w:sz="4" w:space="0"/>
              <w:right w:val="single" w:color="auto" w:sz="4" w:space="0"/>
            </w:tcBorders>
            <w:shd w:val="clear" w:color="auto" w:fill="auto"/>
            <w:vAlign w:val="center"/>
          </w:tcPr>
          <w:p>
            <w:pPr>
              <w:spacing w:line="300" w:lineRule="auto"/>
              <w:jc w:val="center"/>
              <w:rPr>
                <w:rFonts w:ascii="仿宋_GB2312" w:eastAsia="仿宋_GB2312" w:cs="宋体" w:hAnsiTheme="minorEastAsia"/>
                <w:color w:val="171717" w:themeColor="background2" w:themeShade="1A"/>
                <w:sz w:val="18"/>
                <w:szCs w:val="18"/>
              </w:rPr>
            </w:pPr>
            <w:r>
              <w:rPr>
                <w:rFonts w:hint="eastAsia" w:ascii="仿宋_GB2312" w:eastAsia="仿宋_GB2312" w:hAnsiTheme="minorEastAsia"/>
                <w:color w:val="171717" w:themeColor="background2" w:themeShade="1A"/>
                <w:sz w:val="18"/>
                <w:szCs w:val="18"/>
              </w:rPr>
              <w:t>合计</w:t>
            </w:r>
          </w:p>
        </w:tc>
        <w:tc>
          <w:tcPr>
            <w:tcW w:w="93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2323.3</w:t>
            </w:r>
          </w:p>
        </w:tc>
        <w:tc>
          <w:tcPr>
            <w:tcW w:w="93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r>
              <w:rPr>
                <w:rFonts w:hint="eastAsia" w:ascii="仿宋_GB2312" w:eastAsia="仿宋_GB2312" w:cs="宋体" w:hAnsiTheme="minorEastAsia"/>
                <w:color w:val="171717" w:themeColor="background2" w:themeShade="1A"/>
                <w:sz w:val="18"/>
                <w:szCs w:val="18"/>
              </w:rPr>
              <w:t>2323.3</w:t>
            </w: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816"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c>
          <w:tcPr>
            <w:tcW w:w="680" w:type="dxa"/>
            <w:tcBorders>
              <w:top w:val="nil"/>
              <w:left w:val="nil"/>
              <w:bottom w:val="single" w:color="auto" w:sz="4" w:space="0"/>
              <w:right w:val="single" w:color="auto" w:sz="4" w:space="0"/>
            </w:tcBorders>
            <w:shd w:val="clear" w:color="auto" w:fill="auto"/>
            <w:vAlign w:val="center"/>
          </w:tcPr>
          <w:p>
            <w:pPr>
              <w:spacing w:line="300" w:lineRule="auto"/>
              <w:jc w:val="right"/>
              <w:rPr>
                <w:rFonts w:ascii="仿宋_GB2312" w:eastAsia="仿宋_GB2312" w:cs="宋体" w:hAnsiTheme="minorEastAsia"/>
                <w:color w:val="171717" w:themeColor="background2" w:themeShade="1A"/>
                <w:sz w:val="18"/>
                <w:szCs w:val="18"/>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表三：</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部门支出总体情况表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编制部门：乌鲁木齐市第八十七中学                          单位：万元</w:t>
      </w:r>
    </w:p>
    <w:tbl>
      <w:tblPr>
        <w:tblStyle w:val="13"/>
        <w:tblW w:w="9229" w:type="dxa"/>
        <w:tblInd w:w="93" w:type="dxa"/>
        <w:tblLayout w:type="fixed"/>
        <w:tblCellMar>
          <w:top w:w="0" w:type="dxa"/>
          <w:left w:w="108" w:type="dxa"/>
          <w:bottom w:w="0" w:type="dxa"/>
          <w:right w:w="108" w:type="dxa"/>
        </w:tblCellMar>
      </w:tblPr>
      <w:tblGrid>
        <w:gridCol w:w="546"/>
        <w:gridCol w:w="457"/>
        <w:gridCol w:w="457"/>
        <w:gridCol w:w="2510"/>
        <w:gridCol w:w="1800"/>
        <w:gridCol w:w="1801"/>
        <w:gridCol w:w="1658"/>
      </w:tblGrid>
      <w:tr>
        <w:tblPrEx>
          <w:tblLayout w:type="fixed"/>
          <w:tblCellMar>
            <w:top w:w="0" w:type="dxa"/>
            <w:left w:w="108" w:type="dxa"/>
            <w:bottom w:w="0" w:type="dxa"/>
            <w:right w:w="108" w:type="dxa"/>
          </w:tblCellMar>
        </w:tblPrEx>
        <w:trPr>
          <w:trHeight w:val="345" w:hRule="atLeast"/>
        </w:trPr>
        <w:tc>
          <w:tcPr>
            <w:tcW w:w="3970"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259"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支出预算</w:t>
            </w:r>
          </w:p>
        </w:tc>
      </w:tr>
      <w:tr>
        <w:tblPrEx>
          <w:tblLayout w:type="fixed"/>
          <w:tblCellMar>
            <w:top w:w="0" w:type="dxa"/>
            <w:left w:w="108" w:type="dxa"/>
            <w:bottom w:w="0" w:type="dxa"/>
            <w:right w:w="108" w:type="dxa"/>
          </w:tblCellMar>
        </w:tblPrEx>
        <w:trPr>
          <w:trHeight w:val="480" w:hRule="atLeast"/>
        </w:trPr>
        <w:tc>
          <w:tcPr>
            <w:tcW w:w="1460"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80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8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658"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27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0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58"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1171.31</w:t>
            </w:r>
          </w:p>
        </w:tc>
        <w:tc>
          <w:tcPr>
            <w:tcW w:w="18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hAnsi="Arial" w:eastAsia="仿宋_GB2312" w:cs="Arial"/>
                <w:color w:val="171717" w:themeColor="background2" w:themeShade="1A"/>
                <w:sz w:val="18"/>
                <w:szCs w:val="18"/>
              </w:rPr>
              <w:t>1050.54</w:t>
            </w:r>
          </w:p>
        </w:tc>
        <w:tc>
          <w:tcPr>
            <w:tcW w:w="165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r>
              <w:rPr>
                <w:rFonts w:hint="eastAsia" w:ascii="仿宋_GB2312" w:hAnsi="Arial" w:eastAsia="仿宋_GB2312" w:cs="Arial"/>
                <w:color w:val="171717" w:themeColor="background2" w:themeShade="1A"/>
                <w:sz w:val="18"/>
                <w:szCs w:val="18"/>
              </w:rPr>
              <w:t>120.77</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小学教育</w:t>
            </w: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1151.99</w:t>
            </w:r>
          </w:p>
        </w:tc>
        <w:tc>
          <w:tcPr>
            <w:tcW w:w="18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hAnsi="Arial" w:eastAsia="仿宋_GB2312" w:cs="Arial"/>
                <w:color w:val="171717" w:themeColor="background2" w:themeShade="1A"/>
                <w:sz w:val="18"/>
                <w:szCs w:val="18"/>
              </w:rPr>
              <w:t>1111.21</w:t>
            </w:r>
          </w:p>
        </w:tc>
        <w:tc>
          <w:tcPr>
            <w:tcW w:w="165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40.78</w:t>
            </w: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p>
        </w:tc>
        <w:tc>
          <w:tcPr>
            <w:tcW w:w="1800"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p>
        </w:tc>
        <w:tc>
          <w:tcPr>
            <w:tcW w:w="18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p>
        </w:tc>
        <w:tc>
          <w:tcPr>
            <w:tcW w:w="165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5" w:hRule="atLeast"/>
        </w:trPr>
        <w:tc>
          <w:tcPr>
            <w:tcW w:w="546"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800"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sz w:val="18"/>
                <w:szCs w:val="18"/>
              </w:rPr>
              <w:t>2323.3</w:t>
            </w:r>
          </w:p>
        </w:tc>
        <w:tc>
          <w:tcPr>
            <w:tcW w:w="18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2161.75</w:t>
            </w:r>
          </w:p>
        </w:tc>
        <w:tc>
          <w:tcPr>
            <w:tcW w:w="165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161.55</w:t>
            </w:r>
          </w:p>
        </w:tc>
      </w:tr>
    </w:tbl>
    <w:p>
      <w:pPr>
        <w:widowControl/>
        <w:spacing w:beforeLines="50" w:line="300" w:lineRule="auto"/>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beforeLines="50"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表四：</w:t>
      </w:r>
    </w:p>
    <w:p>
      <w:pPr>
        <w:widowControl/>
        <w:spacing w:beforeLines="50"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财政拨款收支预算总体情况表</w:t>
      </w:r>
    </w:p>
    <w:p>
      <w:pPr>
        <w:widowControl/>
        <w:spacing w:beforeLines="50"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编制部门：乌鲁木齐市第八十七中学                   单位：万元</w:t>
      </w:r>
    </w:p>
    <w:tbl>
      <w:tblPr>
        <w:tblStyle w:val="13"/>
        <w:tblW w:w="9229" w:type="dxa"/>
        <w:tblInd w:w="93" w:type="dxa"/>
        <w:tblLayout w:type="fixed"/>
        <w:tblCellMar>
          <w:top w:w="0" w:type="dxa"/>
          <w:left w:w="108" w:type="dxa"/>
          <w:bottom w:w="0" w:type="dxa"/>
          <w:right w:w="108" w:type="dxa"/>
        </w:tblCellMar>
      </w:tblPr>
      <w:tblGrid>
        <w:gridCol w:w="1745"/>
        <w:gridCol w:w="1247"/>
        <w:gridCol w:w="2552"/>
        <w:gridCol w:w="1134"/>
        <w:gridCol w:w="1228"/>
        <w:gridCol w:w="1323"/>
      </w:tblGrid>
      <w:tr>
        <w:tblPrEx>
          <w:tblLayout w:type="fixed"/>
          <w:tblCellMar>
            <w:top w:w="0" w:type="dxa"/>
            <w:left w:w="108" w:type="dxa"/>
            <w:bottom w:w="0" w:type="dxa"/>
            <w:right w:w="108" w:type="dxa"/>
          </w:tblCellMar>
        </w:tblPrEx>
        <w:trPr>
          <w:trHeight w:val="285" w:hRule="atLeast"/>
        </w:trPr>
        <w:tc>
          <w:tcPr>
            <w:tcW w:w="2992" w:type="dxa"/>
            <w:gridSpan w:val="2"/>
            <w:tcBorders>
              <w:top w:val="single" w:color="auto" w:sz="4" w:space="0"/>
              <w:left w:val="single" w:color="auto" w:sz="4" w:space="0"/>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财政拨款收入</w:t>
            </w:r>
          </w:p>
        </w:tc>
        <w:tc>
          <w:tcPr>
            <w:tcW w:w="6237"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财政拨款支出</w:t>
            </w:r>
          </w:p>
        </w:tc>
      </w:tr>
      <w:tr>
        <w:tblPrEx>
          <w:tblLayout w:type="fixed"/>
          <w:tblCellMar>
            <w:top w:w="0" w:type="dxa"/>
            <w:left w:w="108" w:type="dxa"/>
            <w:bottom w:w="0" w:type="dxa"/>
            <w:right w:w="108" w:type="dxa"/>
          </w:tblCellMar>
        </w:tblPrEx>
        <w:trPr>
          <w:trHeight w:val="428" w:hRule="atLeast"/>
        </w:trPr>
        <w:tc>
          <w:tcPr>
            <w:tcW w:w="174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项    目</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2552"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功  能  分  类</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合计</w:t>
            </w: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一般公共预算</w:t>
            </w: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color w:val="171717" w:themeColor="background2" w:themeShade="1A"/>
                <w:kern w:val="0"/>
                <w:sz w:val="18"/>
                <w:szCs w:val="18"/>
              </w:rPr>
            </w:pPr>
            <w:r>
              <w:rPr>
                <w:rFonts w:hint="eastAsia" w:ascii="仿宋_GB2312" w:eastAsia="仿宋_GB2312" w:cs="宋体" w:hAnsiTheme="minorEastAsia"/>
                <w:b/>
                <w:color w:val="171717" w:themeColor="background2" w:themeShade="1A"/>
                <w:kern w:val="0"/>
                <w:sz w:val="18"/>
                <w:szCs w:val="18"/>
              </w:rPr>
              <w:t>政府性基金预算</w:t>
            </w: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财政拨款（补助）</w:t>
            </w:r>
          </w:p>
        </w:tc>
        <w:tc>
          <w:tcPr>
            <w:tcW w:w="124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2323.3</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201 一般公共服务支出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一般公共预算</w:t>
            </w:r>
          </w:p>
        </w:tc>
        <w:tc>
          <w:tcPr>
            <w:tcW w:w="1247"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2323.3</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202 外交支出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政府性基金预算</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203 国防支出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204 公共安全支出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205 教育支出</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2323.3</w:t>
            </w:r>
          </w:p>
        </w:tc>
        <w:tc>
          <w:tcPr>
            <w:tcW w:w="122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2323.3</w:t>
            </w:r>
          </w:p>
        </w:tc>
        <w:tc>
          <w:tcPr>
            <w:tcW w:w="1323"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p>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206 科学技术支出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207 文化体育与传媒支出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208 社会保障和就业支出</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209 社会保险基金支出</w:t>
            </w:r>
          </w:p>
        </w:tc>
        <w:tc>
          <w:tcPr>
            <w:tcW w:w="113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210 医疗卫生与计划生育支出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211 节能环保支出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212 城乡社区支出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213 农林水支出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214 交通运输支出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215 资源勘探信息等支出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 商业服务业等支出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217 金融支出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219 援助其他地区支出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220 国土资源气象等支出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221 住房保障支出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222 粮油物资管理支出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223 国有资本经营预算支出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227 预备费</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229 其他支出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231 债务还本支出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 债务付息支出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bottom"/>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233 债务发行费支出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24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2323.3</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小           计</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right="24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2323.3</w:t>
            </w:r>
          </w:p>
        </w:tc>
        <w:tc>
          <w:tcPr>
            <w:tcW w:w="1228" w:type="dxa"/>
            <w:tcBorders>
              <w:top w:val="nil"/>
              <w:left w:val="nil"/>
              <w:bottom w:val="single" w:color="auto" w:sz="4" w:space="0"/>
              <w:right w:val="single" w:color="auto" w:sz="4" w:space="0"/>
            </w:tcBorders>
            <w:shd w:val="clear" w:color="auto" w:fill="auto"/>
            <w:noWrap/>
            <w:vAlign w:val="center"/>
          </w:tcPr>
          <w:p>
            <w:pPr>
              <w:widowControl/>
              <w:spacing w:line="300" w:lineRule="auto"/>
              <w:ind w:right="24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2323.3</w:t>
            </w: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rPr>
                <w:rFonts w:ascii="仿宋_GB2312" w:eastAsia="仿宋_GB2312" w:cs="宋体" w:hAnsiTheme="minorEastAsia"/>
                <w:color w:val="171717" w:themeColor="background2" w:themeShade="1A"/>
                <w:kern w:val="0"/>
                <w:sz w:val="18"/>
                <w:szCs w:val="18"/>
              </w:rPr>
            </w:pPr>
          </w:p>
        </w:tc>
        <w:tc>
          <w:tcPr>
            <w:tcW w:w="1247" w:type="dxa"/>
            <w:tcBorders>
              <w:top w:val="nil"/>
              <w:left w:val="nil"/>
              <w:bottom w:val="single" w:color="auto" w:sz="4" w:space="0"/>
              <w:right w:val="single" w:color="auto" w:sz="4" w:space="0"/>
            </w:tcBorders>
            <w:shd w:val="clear" w:color="auto" w:fill="auto"/>
            <w:noWrap/>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230 转移性支出</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312" w:hRule="exact"/>
        </w:trPr>
        <w:tc>
          <w:tcPr>
            <w:tcW w:w="1745"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收  入  总  计</w:t>
            </w:r>
          </w:p>
        </w:tc>
        <w:tc>
          <w:tcPr>
            <w:tcW w:w="124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2323.3</w:t>
            </w:r>
          </w:p>
        </w:tc>
        <w:tc>
          <w:tcPr>
            <w:tcW w:w="255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支  出  总  计</w:t>
            </w:r>
          </w:p>
        </w:tc>
        <w:tc>
          <w:tcPr>
            <w:tcW w:w="1134" w:type="dxa"/>
            <w:tcBorders>
              <w:top w:val="nil"/>
              <w:left w:val="nil"/>
              <w:bottom w:val="single" w:color="auto" w:sz="4" w:space="0"/>
              <w:right w:val="single" w:color="auto" w:sz="4" w:space="0"/>
            </w:tcBorders>
            <w:shd w:val="clear" w:color="auto" w:fill="auto"/>
            <w:vAlign w:val="center"/>
          </w:tcPr>
          <w:p>
            <w:pPr>
              <w:widowControl/>
              <w:spacing w:line="300" w:lineRule="auto"/>
              <w:ind w:right="24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2323.3</w:t>
            </w:r>
          </w:p>
        </w:tc>
        <w:tc>
          <w:tcPr>
            <w:tcW w:w="1228" w:type="dxa"/>
            <w:tcBorders>
              <w:top w:val="nil"/>
              <w:left w:val="nil"/>
              <w:bottom w:val="single" w:color="auto" w:sz="4" w:space="0"/>
              <w:right w:val="single" w:color="auto" w:sz="4" w:space="0"/>
            </w:tcBorders>
            <w:shd w:val="clear" w:color="auto" w:fill="auto"/>
            <w:vAlign w:val="center"/>
          </w:tcPr>
          <w:p>
            <w:pPr>
              <w:widowControl/>
              <w:spacing w:line="300" w:lineRule="auto"/>
              <w:ind w:right="240"/>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2323.3</w:t>
            </w:r>
          </w:p>
        </w:tc>
        <w:tc>
          <w:tcPr>
            <w:tcW w:w="1323"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表五：</w:t>
      </w:r>
    </w:p>
    <w:tbl>
      <w:tblPr>
        <w:tblStyle w:val="13"/>
        <w:tblW w:w="9232" w:type="dxa"/>
        <w:tblInd w:w="98" w:type="dxa"/>
        <w:tblLayout w:type="fixed"/>
        <w:tblCellMar>
          <w:top w:w="0" w:type="dxa"/>
          <w:left w:w="108" w:type="dxa"/>
          <w:bottom w:w="0" w:type="dxa"/>
          <w:right w:w="108" w:type="dxa"/>
        </w:tblCellMar>
      </w:tblPr>
      <w:tblGrid>
        <w:gridCol w:w="546"/>
        <w:gridCol w:w="492"/>
        <w:gridCol w:w="457"/>
        <w:gridCol w:w="2510"/>
        <w:gridCol w:w="1684"/>
        <w:gridCol w:w="1842"/>
        <w:gridCol w:w="1701"/>
      </w:tblGrid>
      <w:tr>
        <w:tblPrEx>
          <w:tblLayout w:type="fixed"/>
          <w:tblCellMar>
            <w:top w:w="0" w:type="dxa"/>
            <w:left w:w="108" w:type="dxa"/>
            <w:bottom w:w="0" w:type="dxa"/>
            <w:right w:w="108" w:type="dxa"/>
          </w:tblCellMar>
        </w:tblPrEx>
        <w:trPr>
          <w:trHeight w:val="450" w:hRule="atLeast"/>
        </w:trPr>
        <w:tc>
          <w:tcPr>
            <w:tcW w:w="9232" w:type="dxa"/>
            <w:gridSpan w:val="7"/>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一般公共预算支出情况表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编制部门：乌鲁木齐市第八十七中学                              单位：万元</w:t>
            </w:r>
          </w:p>
        </w:tc>
      </w:tr>
      <w:tr>
        <w:tblPrEx>
          <w:tblLayout w:type="fixed"/>
          <w:tblCellMar>
            <w:top w:w="0" w:type="dxa"/>
            <w:left w:w="108" w:type="dxa"/>
            <w:bottom w:w="0" w:type="dxa"/>
            <w:right w:w="108" w:type="dxa"/>
          </w:tblCellMar>
        </w:tblPrEx>
        <w:trPr>
          <w:trHeight w:val="405" w:hRule="atLeast"/>
        </w:trPr>
        <w:tc>
          <w:tcPr>
            <w:tcW w:w="4005" w:type="dxa"/>
            <w:gridSpan w:val="4"/>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227"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一般公共预算支出</w:t>
            </w:r>
          </w:p>
        </w:tc>
      </w:tr>
      <w:tr>
        <w:tblPrEx>
          <w:tblLayout w:type="fixed"/>
          <w:tblCellMar>
            <w:top w:w="0" w:type="dxa"/>
            <w:left w:w="108" w:type="dxa"/>
            <w:bottom w:w="0" w:type="dxa"/>
            <w:right w:w="108" w:type="dxa"/>
          </w:tblCellMar>
        </w:tblPrEx>
        <w:trPr>
          <w:trHeight w:val="465" w:hRule="atLeast"/>
        </w:trPr>
        <w:tc>
          <w:tcPr>
            <w:tcW w:w="1495"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510"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684"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842"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0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51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684"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842"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1171.31</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hAnsi="Arial" w:eastAsia="仿宋_GB2312" w:cs="Arial"/>
                <w:color w:val="171717" w:themeColor="background2" w:themeShade="1A"/>
                <w:sz w:val="18"/>
                <w:szCs w:val="18"/>
              </w:rPr>
              <w:t>1050.54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r>
              <w:rPr>
                <w:rFonts w:hint="eastAsia" w:ascii="仿宋_GB2312" w:hAnsi="Arial" w:eastAsia="仿宋_GB2312" w:cs="Arial"/>
                <w:color w:val="171717" w:themeColor="background2" w:themeShade="1A"/>
                <w:sz w:val="18"/>
                <w:szCs w:val="18"/>
              </w:rPr>
              <w:t>120.77</w:t>
            </w: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小学教育</w:t>
            </w: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1151.99</w:t>
            </w: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hAnsi="Arial" w:eastAsia="仿宋_GB2312" w:cs="Arial"/>
                <w:color w:val="171717" w:themeColor="background2" w:themeShade="1A"/>
                <w:sz w:val="18"/>
                <w:szCs w:val="18"/>
              </w:rPr>
              <w:t>1111.21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40.78</w:t>
            </w: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492"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457" w:type="dxa"/>
            <w:tcBorders>
              <w:top w:val="nil"/>
              <w:left w:val="nil"/>
              <w:bottom w:val="single" w:color="auto" w:sz="4" w:space="0"/>
              <w:right w:val="single" w:color="auto" w:sz="4" w:space="0"/>
            </w:tcBorders>
            <w:shd w:val="clear" w:color="auto" w:fill="auto"/>
            <w:vAlign w:val="center"/>
          </w:tcPr>
          <w:p>
            <w:pPr>
              <w:jc w:val="right"/>
              <w:rPr>
                <w:rFonts w:ascii="仿宋_GB2312" w:eastAsia="仿宋_GB2312"/>
                <w:color w:val="171717" w:themeColor="background2" w:themeShade="1A"/>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p>
        </w:tc>
        <w:tc>
          <w:tcPr>
            <w:tcW w:w="1684"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p>
        </w:tc>
        <w:tc>
          <w:tcPr>
            <w:tcW w:w="1842"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50" w:hRule="atLeast"/>
        </w:trPr>
        <w:tc>
          <w:tcPr>
            <w:tcW w:w="54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92"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510"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684"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sz w:val="18"/>
                <w:szCs w:val="18"/>
              </w:rPr>
              <w:t>2323.3</w:t>
            </w:r>
          </w:p>
        </w:tc>
        <w:tc>
          <w:tcPr>
            <w:tcW w:w="1842"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2161.75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161.55</w:t>
            </w:r>
          </w:p>
        </w:tc>
      </w:tr>
    </w:tbl>
    <w:p>
      <w:pPr>
        <w:widowControl/>
        <w:spacing w:line="300" w:lineRule="auto"/>
        <w:jc w:val="left"/>
        <w:outlineLvl w:val="1"/>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表六：</w:t>
      </w:r>
    </w:p>
    <w:tbl>
      <w:tblPr>
        <w:tblStyle w:val="13"/>
        <w:tblW w:w="9147" w:type="dxa"/>
        <w:tblInd w:w="238" w:type="dxa"/>
        <w:tblLayout w:type="fixed"/>
        <w:tblCellMar>
          <w:top w:w="0" w:type="dxa"/>
          <w:left w:w="108" w:type="dxa"/>
          <w:bottom w:w="0" w:type="dxa"/>
          <w:right w:w="108" w:type="dxa"/>
        </w:tblCellMar>
      </w:tblPr>
      <w:tblGrid>
        <w:gridCol w:w="576"/>
        <w:gridCol w:w="577"/>
        <w:gridCol w:w="2891"/>
        <w:gridCol w:w="1701"/>
        <w:gridCol w:w="1701"/>
        <w:gridCol w:w="1701"/>
      </w:tblGrid>
      <w:tr>
        <w:tblPrEx>
          <w:tblLayout w:type="fixed"/>
          <w:tblCellMar>
            <w:top w:w="0" w:type="dxa"/>
            <w:left w:w="108" w:type="dxa"/>
            <w:bottom w:w="0" w:type="dxa"/>
            <w:right w:w="108" w:type="dxa"/>
          </w:tblCellMar>
        </w:tblPrEx>
        <w:trPr>
          <w:trHeight w:val="375" w:hRule="atLeast"/>
        </w:trPr>
        <w:tc>
          <w:tcPr>
            <w:tcW w:w="9147" w:type="dxa"/>
            <w:gridSpan w:val="6"/>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一般公共预算基本支出情况表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编制部门：乌鲁木齐市第八十七中学                             单位：万元</w:t>
            </w:r>
          </w:p>
        </w:tc>
      </w:tr>
      <w:tr>
        <w:tblPrEx>
          <w:tblLayout w:type="fixed"/>
          <w:tblCellMar>
            <w:top w:w="0" w:type="dxa"/>
            <w:left w:w="108" w:type="dxa"/>
            <w:bottom w:w="0" w:type="dxa"/>
            <w:right w:w="108" w:type="dxa"/>
          </w:tblCellMar>
        </w:tblPrEx>
        <w:trPr>
          <w:trHeight w:val="390" w:hRule="atLeast"/>
        </w:trPr>
        <w:tc>
          <w:tcPr>
            <w:tcW w:w="4044" w:type="dxa"/>
            <w:gridSpan w:val="3"/>
            <w:tcBorders>
              <w:top w:val="single" w:color="auto" w:sz="4" w:space="0"/>
              <w:left w:val="single" w:color="auto" w:sz="4" w:space="0"/>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w:t>
            </w:r>
          </w:p>
        </w:tc>
        <w:tc>
          <w:tcPr>
            <w:tcW w:w="5103" w:type="dxa"/>
            <w:gridSpan w:val="3"/>
            <w:tcBorders>
              <w:top w:val="single" w:color="auto" w:sz="4" w:space="0"/>
              <w:left w:val="nil"/>
              <w:bottom w:val="single" w:color="auto" w:sz="4" w:space="0"/>
              <w:right w:val="single" w:color="000000"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一般公共预算基本支出</w:t>
            </w:r>
          </w:p>
        </w:tc>
      </w:tr>
      <w:tr>
        <w:tblPrEx>
          <w:tblLayout w:type="fixed"/>
          <w:tblCellMar>
            <w:top w:w="0" w:type="dxa"/>
            <w:left w:w="108" w:type="dxa"/>
            <w:bottom w:w="0" w:type="dxa"/>
            <w:right w:w="108" w:type="dxa"/>
          </w:tblCellMar>
        </w:tblPrEx>
        <w:trPr>
          <w:trHeight w:val="495" w:hRule="atLeast"/>
        </w:trPr>
        <w:tc>
          <w:tcPr>
            <w:tcW w:w="1153" w:type="dxa"/>
            <w:gridSpan w:val="2"/>
            <w:tcBorders>
              <w:top w:val="single" w:color="auto" w:sz="4" w:space="0"/>
              <w:left w:val="single" w:color="auto" w:sz="4" w:space="0"/>
              <w:bottom w:val="single" w:color="auto" w:sz="4" w:space="0"/>
              <w:right w:val="nil"/>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经济分类科目编码</w:t>
            </w:r>
          </w:p>
        </w:tc>
        <w:tc>
          <w:tcPr>
            <w:tcW w:w="289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经济分类科目名称</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人员经费</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公用经费</w:t>
            </w:r>
          </w:p>
        </w:tc>
      </w:tr>
      <w:tr>
        <w:tblPrEx>
          <w:tblLayout w:type="fixed"/>
          <w:tblCellMar>
            <w:top w:w="0" w:type="dxa"/>
            <w:left w:w="108" w:type="dxa"/>
            <w:bottom w:w="0" w:type="dxa"/>
            <w:right w:w="108" w:type="dxa"/>
          </w:tblCellMar>
        </w:tblPrEx>
        <w:trPr>
          <w:trHeight w:val="270"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289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基本工资</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371.88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371.88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津贴补贴</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97.61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97.61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奖金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其他社会保障缴费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432.8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432.8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绩效工资</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370.01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370.01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301</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其他工资福利支出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2.48</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2.48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办公费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32.1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32.1</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05</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水费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10.58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10.58</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电费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13.97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13.97</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邮电费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8.39</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8.39</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办公取暖费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35.77</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35.77</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物业管理费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4.58</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4.58</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其他车辆</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2.66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2.66</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11</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差旅费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9.85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9.85</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13</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维修(护)费(含其他维修)</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23.92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23.92</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14</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租赁费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3.44</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3.44</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培训费小计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34.36</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34.36</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17</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公务接待费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1.31</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1.31</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专用材料费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7.93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7.93</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26</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劳务费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3.02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3.02</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28</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工会经费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5</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5</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29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福利费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21.02</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21.02</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302</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其他商品服务支出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43.23</w:t>
            </w: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43.23</w:t>
            </w: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02</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退休费</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292.01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292.01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奖励金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164.82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164.82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10</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住房公积金</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131.89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131.89</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14</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采暖补贴</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15.91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15.91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303</w:t>
            </w: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99</w:t>
            </w:r>
          </w:p>
        </w:tc>
        <w:tc>
          <w:tcPr>
            <w:tcW w:w="2891" w:type="dxa"/>
            <w:tcBorders>
              <w:top w:val="nil"/>
              <w:left w:val="nil"/>
              <w:bottom w:val="single" w:color="auto" w:sz="4" w:space="0"/>
              <w:right w:val="single" w:color="auto" w:sz="4" w:space="0"/>
            </w:tcBorders>
            <w:shd w:val="clear" w:color="auto" w:fill="auto"/>
            <w:vAlign w:val="center"/>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其他对个人和家庭的补助支出</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21.21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21.21</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eastAsia="仿宋_GB2312"/>
                <w:color w:val="171717" w:themeColor="background2" w:themeShade="1A"/>
                <w:sz w:val="18"/>
                <w:szCs w:val="18"/>
              </w:rPr>
            </w:pPr>
          </w:p>
        </w:tc>
      </w:tr>
      <w:tr>
        <w:tblPrEx>
          <w:tblLayout w:type="fixed"/>
          <w:tblCellMar>
            <w:top w:w="0" w:type="dxa"/>
            <w:left w:w="108" w:type="dxa"/>
            <w:bottom w:w="0" w:type="dxa"/>
            <w:right w:w="108" w:type="dxa"/>
          </w:tblCellMar>
        </w:tblPrEx>
        <w:trPr>
          <w:trHeight w:val="402" w:hRule="atLeast"/>
        </w:trPr>
        <w:tc>
          <w:tcPr>
            <w:tcW w:w="576"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57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289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bCs/>
                <w:color w:val="171717" w:themeColor="background2" w:themeShade="1A"/>
                <w:kern w:val="0"/>
                <w:sz w:val="18"/>
                <w:szCs w:val="18"/>
              </w:rPr>
              <w:t>合计</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hAnsi="Arial" w:eastAsia="仿宋_GB2312" w:cs="Arial"/>
                <w:color w:val="171717" w:themeColor="background2" w:themeShade="1A"/>
                <w:sz w:val="18"/>
                <w:szCs w:val="18"/>
              </w:rPr>
              <w:t>2161.75</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hAnsi="Arial" w:eastAsia="仿宋_GB2312" w:cs="Arial"/>
                <w:color w:val="171717" w:themeColor="background2" w:themeShade="1A"/>
                <w:sz w:val="18"/>
                <w:szCs w:val="18"/>
              </w:rPr>
              <w:t>1900.62</w:t>
            </w:r>
          </w:p>
        </w:tc>
        <w:tc>
          <w:tcPr>
            <w:tcW w:w="1701" w:type="dxa"/>
            <w:tcBorders>
              <w:top w:val="nil"/>
              <w:left w:val="nil"/>
              <w:bottom w:val="single" w:color="auto" w:sz="4" w:space="0"/>
              <w:right w:val="single" w:color="auto" w:sz="4" w:space="0"/>
            </w:tcBorders>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hAnsi="Arial" w:eastAsia="仿宋_GB2312" w:cs="Arial"/>
                <w:color w:val="171717" w:themeColor="background2" w:themeShade="1A"/>
                <w:sz w:val="18"/>
                <w:szCs w:val="18"/>
              </w:rPr>
              <w:t>261.13</w:t>
            </w: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表七：</w:t>
      </w:r>
    </w:p>
    <w:tbl>
      <w:tblPr>
        <w:tblStyle w:val="13"/>
        <w:tblW w:w="11027" w:type="dxa"/>
        <w:jc w:val="center"/>
        <w:tblInd w:w="0" w:type="dxa"/>
        <w:tblLayout w:type="fixed"/>
        <w:tblCellMar>
          <w:top w:w="0" w:type="dxa"/>
          <w:left w:w="108" w:type="dxa"/>
          <w:bottom w:w="0" w:type="dxa"/>
          <w:right w:w="108" w:type="dxa"/>
        </w:tblCellMar>
      </w:tblPr>
      <w:tblGrid>
        <w:gridCol w:w="11"/>
        <w:gridCol w:w="535"/>
        <w:gridCol w:w="457"/>
        <w:gridCol w:w="457"/>
        <w:gridCol w:w="851"/>
        <w:gridCol w:w="1456"/>
        <w:gridCol w:w="936"/>
        <w:gridCol w:w="936"/>
        <w:gridCol w:w="756"/>
        <w:gridCol w:w="816"/>
        <w:gridCol w:w="652"/>
        <w:gridCol w:w="698"/>
        <w:gridCol w:w="457"/>
        <w:gridCol w:w="698"/>
        <w:gridCol w:w="457"/>
        <w:gridCol w:w="457"/>
        <w:gridCol w:w="389"/>
        <w:gridCol w:w="8"/>
      </w:tblGrid>
      <w:tr>
        <w:tblPrEx>
          <w:tblLayout w:type="fixed"/>
          <w:tblCellMar>
            <w:top w:w="0" w:type="dxa"/>
            <w:left w:w="108" w:type="dxa"/>
            <w:bottom w:w="0" w:type="dxa"/>
            <w:right w:w="108" w:type="dxa"/>
          </w:tblCellMar>
        </w:tblPrEx>
        <w:trPr>
          <w:gridBefore w:val="1"/>
          <w:gridAfter w:val="1"/>
          <w:wBefore w:w="11" w:type="dxa"/>
          <w:wAfter w:w="8" w:type="dxa"/>
          <w:trHeight w:val="375" w:hRule="atLeast"/>
          <w:jc w:val="center"/>
        </w:trPr>
        <w:tc>
          <w:tcPr>
            <w:tcW w:w="11008" w:type="dxa"/>
            <w:gridSpan w:val="16"/>
            <w:tcBorders>
              <w:top w:val="nil"/>
              <w:left w:val="nil"/>
              <w:bottom w:val="nil"/>
              <w:right w:val="nil"/>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32"/>
                <w:szCs w:val="32"/>
              </w:rPr>
            </w:pPr>
            <w:r>
              <w:rPr>
                <w:rFonts w:hint="eastAsia" w:ascii="仿宋_GB2312" w:eastAsia="仿宋_GB2312" w:cs="宋体" w:hAnsiTheme="minorEastAsia"/>
                <w:b/>
                <w:bCs/>
                <w:color w:val="171717" w:themeColor="background2" w:themeShade="1A"/>
                <w:kern w:val="0"/>
                <w:sz w:val="32"/>
                <w:szCs w:val="32"/>
              </w:rPr>
              <w:t>一般公共预算项目支出情况表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编制部门：乌鲁木齐市第八十七中学                                    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30" w:hRule="atLeast"/>
          <w:jc w:val="center"/>
        </w:trPr>
        <w:tc>
          <w:tcPr>
            <w:tcW w:w="1460" w:type="dxa"/>
            <w:gridSpan w:val="4"/>
            <w:shd w:val="clear" w:color="auto" w:fill="auto"/>
            <w:noWrap/>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 目 编 码</w:t>
            </w:r>
          </w:p>
        </w:tc>
        <w:tc>
          <w:tcPr>
            <w:tcW w:w="851" w:type="dxa"/>
            <w:vMerge w:val="restart"/>
            <w:shd w:val="clear" w:color="auto" w:fill="auto"/>
            <w:noWrap/>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科目</w:t>
            </w:r>
          </w:p>
        </w:tc>
        <w:tc>
          <w:tcPr>
            <w:tcW w:w="1456" w:type="dxa"/>
            <w:vMerge w:val="restart"/>
            <w:shd w:val="clear" w:color="auto" w:fill="auto"/>
            <w:noWrap/>
            <w:vAlign w:val="center"/>
          </w:tcPr>
          <w:p>
            <w:pPr>
              <w:spacing w:line="300" w:lineRule="auto"/>
              <w:jc w:val="center"/>
              <w:rPr>
                <w:rFonts w:ascii="仿宋_GB2312" w:eastAsia="仿宋_GB2312" w:hAnsiTheme="minorEastAsia"/>
                <w:color w:val="171717" w:themeColor="background2" w:themeShade="1A"/>
                <w:sz w:val="18"/>
                <w:szCs w:val="18"/>
              </w:rPr>
            </w:pPr>
            <w:r>
              <w:rPr>
                <w:rFonts w:hint="eastAsia" w:ascii="仿宋_GB2312" w:eastAsia="仿宋_GB2312" w:hAnsiTheme="minorEastAsia"/>
                <w:b/>
                <w:color w:val="171717" w:themeColor="background2" w:themeShade="1A"/>
                <w:kern w:val="0"/>
                <w:sz w:val="18"/>
                <w:szCs w:val="18"/>
              </w:rPr>
              <w:t>项目名称</w:t>
            </w:r>
          </w:p>
        </w:tc>
        <w:tc>
          <w:tcPr>
            <w:tcW w:w="936"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项目支出合计</w:t>
            </w:r>
          </w:p>
        </w:tc>
        <w:tc>
          <w:tcPr>
            <w:tcW w:w="936"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工资福利支出</w:t>
            </w:r>
          </w:p>
        </w:tc>
        <w:tc>
          <w:tcPr>
            <w:tcW w:w="756"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商品和服务支出</w:t>
            </w:r>
          </w:p>
        </w:tc>
        <w:tc>
          <w:tcPr>
            <w:tcW w:w="816"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对个人和家庭的补助</w:t>
            </w:r>
          </w:p>
        </w:tc>
        <w:tc>
          <w:tcPr>
            <w:tcW w:w="652"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债务利息及费用支出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资本性支出</w:t>
            </w:r>
          </w:p>
        </w:tc>
        <w:tc>
          <w:tcPr>
            <w:tcW w:w="698"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对企业补助（基本建设）</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对企业补助</w:t>
            </w:r>
          </w:p>
        </w:tc>
        <w:tc>
          <w:tcPr>
            <w:tcW w:w="457" w:type="dxa"/>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对社会保障基金补助</w:t>
            </w:r>
          </w:p>
        </w:tc>
        <w:tc>
          <w:tcPr>
            <w:tcW w:w="397" w:type="dxa"/>
            <w:gridSpan w:val="2"/>
            <w:vMerge w:val="restart"/>
            <w:shd w:val="clear" w:color="auto" w:fill="auto"/>
            <w:vAlign w:val="center"/>
          </w:tcPr>
          <w:p>
            <w:pPr>
              <w:widowControl/>
              <w:spacing w:line="300" w:lineRule="auto"/>
              <w:jc w:val="center"/>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其他支出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367" w:hRule="atLeast"/>
          <w:jc w:val="center"/>
        </w:trPr>
        <w:tc>
          <w:tcPr>
            <w:tcW w:w="546" w:type="dxa"/>
            <w:gridSpan w:val="2"/>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类</w:t>
            </w:r>
          </w:p>
        </w:tc>
        <w:tc>
          <w:tcPr>
            <w:tcW w:w="457" w:type="dxa"/>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款</w:t>
            </w:r>
          </w:p>
        </w:tc>
        <w:tc>
          <w:tcPr>
            <w:tcW w:w="457" w:type="dxa"/>
            <w:tcBorders>
              <w:bottom w:val="single" w:color="auto" w:sz="4" w:space="0"/>
            </w:tcBorders>
            <w:shd w:val="clear" w:color="auto" w:fill="auto"/>
            <w:noWrap/>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r>
              <w:rPr>
                <w:rFonts w:hint="eastAsia" w:ascii="仿宋_GB2312" w:eastAsia="仿宋_GB2312" w:hAnsiTheme="minorEastAsia"/>
                <w:b/>
                <w:color w:val="171717" w:themeColor="background2" w:themeShade="1A"/>
                <w:kern w:val="0"/>
                <w:sz w:val="18"/>
                <w:szCs w:val="18"/>
              </w:rPr>
              <w:t>项</w:t>
            </w:r>
          </w:p>
        </w:tc>
        <w:tc>
          <w:tcPr>
            <w:tcW w:w="851" w:type="dxa"/>
            <w:vMerge w:val="continue"/>
            <w:tcBorders>
              <w:bottom w:val="single" w:color="auto" w:sz="4" w:space="0"/>
            </w:tcBorders>
            <w:shd w:val="clear" w:color="auto" w:fill="auto"/>
            <w:vAlign w:val="center"/>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145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93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93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75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816"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52"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698"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457" w:type="dxa"/>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c>
          <w:tcPr>
            <w:tcW w:w="397" w:type="dxa"/>
            <w:gridSpan w:val="2"/>
            <w:vMerge w:val="continue"/>
            <w:tcBorders>
              <w:bottom w:val="single" w:color="auto" w:sz="4" w:space="0"/>
            </w:tcBorders>
            <w:shd w:val="clear" w:color="auto" w:fill="auto"/>
          </w:tcPr>
          <w:p>
            <w:pPr>
              <w:widowControl/>
              <w:spacing w:line="300" w:lineRule="auto"/>
              <w:jc w:val="left"/>
              <w:outlineLvl w:val="1"/>
              <w:rPr>
                <w:rFonts w:ascii="仿宋_GB2312" w:eastAsia="仿宋_GB2312" w:hAnsiTheme="minorEastAsia"/>
                <w:b/>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851"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小学教育</w:t>
            </w:r>
          </w:p>
        </w:tc>
        <w:tc>
          <w:tcPr>
            <w:tcW w:w="1456"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2016年临时聘用人员经费</w:t>
            </w:r>
          </w:p>
          <w:p>
            <w:pPr>
              <w:widowControl/>
              <w:jc w:val="left"/>
              <w:rPr>
                <w:rFonts w:ascii="仿宋_GB2312" w:eastAsia="仿宋_GB2312"/>
                <w:color w:val="171717" w:themeColor="background2" w:themeShade="1A"/>
                <w:sz w:val="18"/>
                <w:szCs w:val="18"/>
              </w:rPr>
            </w:pPr>
          </w:p>
        </w:tc>
        <w:tc>
          <w:tcPr>
            <w:tcW w:w="936" w:type="dxa"/>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40.78</w:t>
            </w:r>
          </w:p>
        </w:tc>
        <w:tc>
          <w:tcPr>
            <w:tcW w:w="936" w:type="dxa"/>
            <w:shd w:val="clear" w:color="auto" w:fill="auto"/>
            <w:vAlign w:val="center"/>
          </w:tcPr>
          <w:p>
            <w:pPr>
              <w:widowControl/>
              <w:jc w:val="right"/>
              <w:rPr>
                <w:rFonts w:ascii="仿宋_GB2312" w:eastAsia="仿宋_GB2312"/>
                <w:color w:val="171717" w:themeColor="background2" w:themeShade="1A"/>
                <w:sz w:val="18"/>
                <w:szCs w:val="18"/>
              </w:rPr>
            </w:pPr>
          </w:p>
        </w:tc>
        <w:tc>
          <w:tcPr>
            <w:tcW w:w="756" w:type="dxa"/>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40.78</w:t>
            </w:r>
          </w:p>
        </w:tc>
        <w:tc>
          <w:tcPr>
            <w:tcW w:w="816" w:type="dxa"/>
            <w:shd w:val="clear" w:color="auto" w:fill="auto"/>
            <w:vAlign w:val="center"/>
          </w:tcPr>
          <w:p>
            <w:pPr>
              <w:widowControl/>
              <w:jc w:val="right"/>
              <w:rPr>
                <w:rFonts w:ascii="仿宋_GB2312" w:eastAsia="仿宋_GB2312"/>
                <w:color w:val="171717" w:themeColor="background2" w:themeShade="1A"/>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9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851"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1456"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校园绿化美化经费</w:t>
            </w:r>
          </w:p>
          <w:p>
            <w:pPr>
              <w:widowControl/>
              <w:jc w:val="left"/>
              <w:rPr>
                <w:rFonts w:ascii="仿宋_GB2312" w:eastAsia="仿宋_GB2312"/>
                <w:color w:val="171717" w:themeColor="background2" w:themeShade="1A"/>
                <w:sz w:val="18"/>
                <w:szCs w:val="18"/>
              </w:rPr>
            </w:pPr>
          </w:p>
        </w:tc>
        <w:tc>
          <w:tcPr>
            <w:tcW w:w="936" w:type="dxa"/>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10</w:t>
            </w:r>
          </w:p>
        </w:tc>
        <w:tc>
          <w:tcPr>
            <w:tcW w:w="9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56" w:type="dxa"/>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10</w:t>
            </w:r>
          </w:p>
        </w:tc>
        <w:tc>
          <w:tcPr>
            <w:tcW w:w="81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9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851"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1456"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2016年临时聘用人员经费</w:t>
            </w:r>
          </w:p>
          <w:p>
            <w:pPr>
              <w:widowControl/>
              <w:jc w:val="left"/>
              <w:rPr>
                <w:rFonts w:ascii="仿宋_GB2312" w:eastAsia="仿宋_GB2312"/>
                <w:color w:val="171717" w:themeColor="background2" w:themeShade="1A"/>
                <w:sz w:val="18"/>
                <w:szCs w:val="18"/>
              </w:rPr>
            </w:pPr>
          </w:p>
        </w:tc>
        <w:tc>
          <w:tcPr>
            <w:tcW w:w="936" w:type="dxa"/>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40.77</w:t>
            </w:r>
          </w:p>
        </w:tc>
        <w:tc>
          <w:tcPr>
            <w:tcW w:w="936" w:type="dxa"/>
            <w:shd w:val="clear" w:color="auto" w:fill="auto"/>
            <w:vAlign w:val="center"/>
          </w:tcPr>
          <w:p>
            <w:pPr>
              <w:widowControl/>
              <w:jc w:val="right"/>
              <w:rPr>
                <w:rFonts w:ascii="仿宋_GB2312" w:eastAsia="仿宋_GB2312"/>
                <w:color w:val="171717" w:themeColor="background2" w:themeShade="1A"/>
                <w:sz w:val="18"/>
                <w:szCs w:val="18"/>
              </w:rPr>
            </w:pPr>
          </w:p>
        </w:tc>
        <w:tc>
          <w:tcPr>
            <w:tcW w:w="756" w:type="dxa"/>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40.77</w:t>
            </w:r>
          </w:p>
        </w:tc>
        <w:tc>
          <w:tcPr>
            <w:tcW w:w="81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9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851"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1456"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中考工作经费</w:t>
            </w:r>
          </w:p>
          <w:p>
            <w:pPr>
              <w:widowControl/>
              <w:jc w:val="left"/>
              <w:rPr>
                <w:rFonts w:ascii="仿宋_GB2312" w:eastAsia="仿宋_GB2312"/>
                <w:color w:val="171717" w:themeColor="background2" w:themeShade="1A"/>
                <w:sz w:val="18"/>
                <w:szCs w:val="18"/>
              </w:rPr>
            </w:pPr>
          </w:p>
        </w:tc>
        <w:tc>
          <w:tcPr>
            <w:tcW w:w="936" w:type="dxa"/>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10</w:t>
            </w:r>
          </w:p>
        </w:tc>
        <w:tc>
          <w:tcPr>
            <w:tcW w:w="9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756" w:type="dxa"/>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10</w:t>
            </w:r>
          </w:p>
        </w:tc>
        <w:tc>
          <w:tcPr>
            <w:tcW w:w="816" w:type="dxa"/>
            <w:shd w:val="clear" w:color="auto" w:fill="auto"/>
            <w:vAlign w:val="center"/>
          </w:tcPr>
          <w:p>
            <w:pPr>
              <w:widowControl/>
              <w:jc w:val="right"/>
              <w:rPr>
                <w:rFonts w:ascii="仿宋_GB2312" w:eastAsia="仿宋_GB2312"/>
                <w:color w:val="171717" w:themeColor="background2" w:themeShade="1A"/>
                <w:sz w:val="18"/>
                <w:szCs w:val="18"/>
              </w:rPr>
            </w:pP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9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vAlign w:val="center"/>
          </w:tcPr>
          <w:p>
            <w:pPr>
              <w:widowControl/>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205</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02</w:t>
            </w:r>
          </w:p>
        </w:tc>
        <w:tc>
          <w:tcPr>
            <w:tcW w:w="457" w:type="dxa"/>
            <w:shd w:val="clear" w:color="auto" w:fill="auto"/>
            <w:vAlign w:val="center"/>
          </w:tcPr>
          <w:p>
            <w:pPr>
              <w:jc w:val="righ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03</w:t>
            </w:r>
          </w:p>
        </w:tc>
        <w:tc>
          <w:tcPr>
            <w:tcW w:w="851"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初中教育</w:t>
            </w:r>
          </w:p>
        </w:tc>
        <w:tc>
          <w:tcPr>
            <w:tcW w:w="1456" w:type="dxa"/>
            <w:shd w:val="clear" w:color="auto" w:fill="auto"/>
          </w:tcPr>
          <w:p>
            <w:pPr>
              <w:widowControl/>
              <w:jc w:val="left"/>
              <w:rPr>
                <w:rFonts w:ascii="仿宋_GB2312" w:eastAsia="仿宋_GB2312"/>
                <w:color w:val="171717" w:themeColor="background2" w:themeShade="1A"/>
                <w:sz w:val="18"/>
                <w:szCs w:val="18"/>
              </w:rPr>
            </w:pPr>
            <w:r>
              <w:rPr>
                <w:rFonts w:hint="eastAsia" w:ascii="仿宋_GB2312" w:eastAsia="仿宋_GB2312"/>
                <w:color w:val="171717" w:themeColor="background2" w:themeShade="1A"/>
                <w:sz w:val="18"/>
                <w:szCs w:val="18"/>
              </w:rPr>
              <w:t>护校队、安保人员经费</w:t>
            </w:r>
          </w:p>
        </w:tc>
        <w:tc>
          <w:tcPr>
            <w:tcW w:w="93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60</w:t>
            </w:r>
          </w:p>
        </w:tc>
        <w:tc>
          <w:tcPr>
            <w:tcW w:w="936" w:type="dxa"/>
            <w:shd w:val="clear" w:color="auto" w:fill="auto"/>
            <w:vAlign w:val="center"/>
          </w:tcPr>
          <w:p>
            <w:pPr>
              <w:widowControl/>
              <w:jc w:val="right"/>
              <w:rPr>
                <w:rFonts w:ascii="仿宋_GB2312" w:eastAsia="仿宋_GB2312"/>
                <w:color w:val="171717" w:themeColor="background2" w:themeShade="1A"/>
                <w:sz w:val="18"/>
                <w:szCs w:val="18"/>
              </w:rPr>
            </w:pPr>
          </w:p>
        </w:tc>
        <w:tc>
          <w:tcPr>
            <w:tcW w:w="75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1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60</w:t>
            </w: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9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85" w:hRule="atLeast"/>
          <w:jc w:val="center"/>
        </w:trPr>
        <w:tc>
          <w:tcPr>
            <w:tcW w:w="546"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851" w:type="dxa"/>
            <w:shd w:val="clear" w:color="auto" w:fill="auto"/>
          </w:tcPr>
          <w:p>
            <w:pPr>
              <w:widowControl/>
              <w:spacing w:line="300" w:lineRule="auto"/>
              <w:jc w:val="left"/>
              <w:outlineLvl w:val="1"/>
              <w:rPr>
                <w:rFonts w:ascii="仿宋_GB2312" w:eastAsia="仿宋_GB2312" w:hAnsiTheme="minorEastAsia"/>
                <w:color w:val="171717" w:themeColor="background2" w:themeShade="1A"/>
                <w:kern w:val="0"/>
                <w:sz w:val="18"/>
                <w:szCs w:val="18"/>
              </w:rPr>
            </w:pPr>
          </w:p>
        </w:tc>
        <w:tc>
          <w:tcPr>
            <w:tcW w:w="1456" w:type="dxa"/>
            <w:shd w:val="clear" w:color="auto" w:fill="auto"/>
            <w:vAlign w:val="center"/>
          </w:tcPr>
          <w:p>
            <w:pPr>
              <w:widowControl/>
              <w:spacing w:line="300" w:lineRule="auto"/>
              <w:jc w:val="center"/>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合计</w:t>
            </w:r>
          </w:p>
        </w:tc>
        <w:tc>
          <w:tcPr>
            <w:tcW w:w="936" w:type="dxa"/>
            <w:shd w:val="clear" w:color="auto" w:fill="auto"/>
            <w:vAlign w:val="center"/>
          </w:tcPr>
          <w:p>
            <w:pPr>
              <w:widowControl/>
              <w:jc w:val="right"/>
              <w:rPr>
                <w:rFonts w:ascii="仿宋_GB2312" w:hAnsi="Arial" w:eastAsia="仿宋_GB2312" w:cs="Arial"/>
                <w:color w:val="171717" w:themeColor="background2" w:themeShade="1A"/>
                <w:sz w:val="18"/>
                <w:szCs w:val="18"/>
              </w:rPr>
            </w:pPr>
            <w:r>
              <w:rPr>
                <w:rFonts w:hint="eastAsia" w:ascii="仿宋_GB2312" w:hAnsi="Arial" w:eastAsia="仿宋_GB2312" w:cs="Arial"/>
                <w:color w:val="171717" w:themeColor="background2" w:themeShade="1A"/>
                <w:sz w:val="18"/>
                <w:szCs w:val="18"/>
              </w:rPr>
              <w:t>161.55</w:t>
            </w:r>
          </w:p>
        </w:tc>
        <w:tc>
          <w:tcPr>
            <w:tcW w:w="936" w:type="dxa"/>
            <w:shd w:val="clear" w:color="auto" w:fill="auto"/>
            <w:vAlign w:val="center"/>
          </w:tcPr>
          <w:p>
            <w:pPr>
              <w:widowControl/>
              <w:jc w:val="right"/>
              <w:rPr>
                <w:rFonts w:ascii="仿宋_GB2312" w:hAnsi="Arial" w:eastAsia="仿宋_GB2312" w:cs="Arial"/>
                <w:color w:val="171717" w:themeColor="background2" w:themeShade="1A"/>
                <w:sz w:val="18"/>
                <w:szCs w:val="18"/>
              </w:rPr>
            </w:pPr>
          </w:p>
        </w:tc>
        <w:tc>
          <w:tcPr>
            <w:tcW w:w="75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101.55</w:t>
            </w:r>
          </w:p>
        </w:tc>
        <w:tc>
          <w:tcPr>
            <w:tcW w:w="816" w:type="dxa"/>
            <w:shd w:val="clear" w:color="auto" w:fill="auto"/>
            <w:vAlign w:val="center"/>
          </w:tcPr>
          <w:p>
            <w:pPr>
              <w:widowControl/>
              <w:spacing w:line="300" w:lineRule="auto"/>
              <w:jc w:val="right"/>
              <w:outlineLvl w:val="1"/>
              <w:rPr>
                <w:rFonts w:ascii="仿宋_GB2312" w:eastAsia="仿宋_GB2312" w:hAnsiTheme="minorEastAsia"/>
                <w:color w:val="171717" w:themeColor="background2" w:themeShade="1A"/>
                <w:kern w:val="0"/>
                <w:sz w:val="18"/>
                <w:szCs w:val="18"/>
              </w:rPr>
            </w:pPr>
            <w:r>
              <w:rPr>
                <w:rFonts w:hint="eastAsia" w:ascii="仿宋_GB2312" w:eastAsia="仿宋_GB2312" w:hAnsiTheme="minorEastAsia"/>
                <w:color w:val="171717" w:themeColor="background2" w:themeShade="1A"/>
                <w:kern w:val="0"/>
                <w:sz w:val="18"/>
                <w:szCs w:val="18"/>
              </w:rPr>
              <w:t>60</w:t>
            </w:r>
          </w:p>
        </w:tc>
        <w:tc>
          <w:tcPr>
            <w:tcW w:w="652"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698"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457" w:type="dxa"/>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c>
          <w:tcPr>
            <w:tcW w:w="397" w:type="dxa"/>
            <w:gridSpan w:val="2"/>
            <w:shd w:val="clear" w:color="auto" w:fill="auto"/>
          </w:tcPr>
          <w:p>
            <w:pPr>
              <w:widowControl/>
              <w:spacing w:line="300" w:lineRule="auto"/>
              <w:jc w:val="right"/>
              <w:outlineLvl w:val="1"/>
              <w:rPr>
                <w:rFonts w:ascii="仿宋_GB2312" w:eastAsia="仿宋_GB2312" w:hAnsiTheme="minorEastAsia"/>
                <w:color w:val="171717" w:themeColor="background2" w:themeShade="1A"/>
                <w:kern w:val="0"/>
                <w:sz w:val="18"/>
                <w:szCs w:val="18"/>
              </w:rPr>
            </w:pPr>
          </w:p>
        </w:tc>
      </w:tr>
    </w:tbl>
    <w:p>
      <w:pPr>
        <w:widowControl/>
        <w:spacing w:line="300" w:lineRule="auto"/>
        <w:jc w:val="left"/>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jc w:val="left"/>
        <w:rPr>
          <w:rFonts w:asciiTheme="minorEastAsia" w:hAnsiTheme="minorEastAsia" w:eastAsiaTheme="minorEastAsia"/>
          <w:b/>
          <w:color w:val="171717" w:themeColor="background2" w:themeShade="1A"/>
          <w:kern w:val="0"/>
          <w:sz w:val="24"/>
        </w:rPr>
      </w:pPr>
    </w:p>
    <w:p>
      <w:pPr>
        <w:widowControl/>
        <w:spacing w:line="300" w:lineRule="auto"/>
        <w:jc w:val="left"/>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表八：</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一般公共预算“三公”经费支出情况表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编制单位：乌鲁木齐市第八十七中学                           单位：万元</w:t>
      </w:r>
    </w:p>
    <w:tbl>
      <w:tblPr>
        <w:tblStyle w:val="13"/>
        <w:tblW w:w="9087" w:type="dxa"/>
        <w:tblInd w:w="93" w:type="dxa"/>
        <w:tblLayout w:type="fixed"/>
        <w:tblCellMar>
          <w:top w:w="0" w:type="dxa"/>
          <w:left w:w="108" w:type="dxa"/>
          <w:bottom w:w="0" w:type="dxa"/>
          <w:right w:w="108" w:type="dxa"/>
        </w:tblCellMar>
      </w:tblPr>
      <w:tblGrid>
        <w:gridCol w:w="1575"/>
        <w:gridCol w:w="1417"/>
        <w:gridCol w:w="1559"/>
        <w:gridCol w:w="1418"/>
        <w:gridCol w:w="1559"/>
        <w:gridCol w:w="1559"/>
      </w:tblGrid>
      <w:tr>
        <w:tblPrEx>
          <w:tblLayout w:type="fixed"/>
          <w:tblCellMar>
            <w:top w:w="0" w:type="dxa"/>
            <w:left w:w="108" w:type="dxa"/>
            <w:bottom w:w="0" w:type="dxa"/>
            <w:right w:w="108" w:type="dxa"/>
          </w:tblCellMar>
        </w:tblPrEx>
        <w:trPr>
          <w:trHeight w:val="546" w:hRule="atLeast"/>
        </w:trPr>
        <w:tc>
          <w:tcPr>
            <w:tcW w:w="1575"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合计</w:t>
            </w:r>
          </w:p>
        </w:tc>
        <w:tc>
          <w:tcPr>
            <w:tcW w:w="1417"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因公出国（境）费</w:t>
            </w:r>
          </w:p>
        </w:tc>
        <w:tc>
          <w:tcPr>
            <w:tcW w:w="4536"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公务用车购置及运行费</w:t>
            </w:r>
          </w:p>
        </w:tc>
        <w:tc>
          <w:tcPr>
            <w:tcW w:w="1559"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公务接待费</w:t>
            </w:r>
          </w:p>
        </w:tc>
      </w:tr>
      <w:tr>
        <w:tblPrEx>
          <w:tblLayout w:type="fixed"/>
          <w:tblCellMar>
            <w:top w:w="0" w:type="dxa"/>
            <w:left w:w="108" w:type="dxa"/>
            <w:bottom w:w="0" w:type="dxa"/>
            <w:right w:w="108" w:type="dxa"/>
          </w:tblCellMar>
        </w:tblPrEx>
        <w:trPr>
          <w:trHeight w:val="810" w:hRule="atLeast"/>
        </w:trPr>
        <w:tc>
          <w:tcPr>
            <w:tcW w:w="1575"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417"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公务用车购置费</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公务用车运行费</w:t>
            </w:r>
          </w:p>
        </w:tc>
        <w:tc>
          <w:tcPr>
            <w:tcW w:w="1559" w:type="dxa"/>
            <w:vMerge w:val="continue"/>
            <w:tcBorders>
              <w:top w:val="single" w:color="auto" w:sz="4" w:space="0"/>
              <w:left w:val="single" w:color="auto" w:sz="4" w:space="0"/>
              <w:bottom w:val="single" w:color="auto"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92"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1.31</w:t>
            </w: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0</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r>
              <w:rPr>
                <w:rFonts w:hint="eastAsia" w:ascii="仿宋_GB2312" w:eastAsia="仿宋_GB2312"/>
                <w:color w:val="171717" w:themeColor="background2" w:themeShade="1A"/>
                <w:sz w:val="18"/>
                <w:szCs w:val="18"/>
              </w:rPr>
              <w:t>1.31</w:t>
            </w:r>
          </w:p>
        </w:tc>
      </w:tr>
      <w:tr>
        <w:tblPrEx>
          <w:tblLayout w:type="fixed"/>
          <w:tblCellMar>
            <w:top w:w="0" w:type="dxa"/>
            <w:left w:w="108" w:type="dxa"/>
            <w:bottom w:w="0" w:type="dxa"/>
            <w:right w:w="108" w:type="dxa"/>
          </w:tblCellMar>
        </w:tblPrEx>
        <w:trPr>
          <w:trHeight w:val="558"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55"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6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83" w:hRule="atLeast"/>
        </w:trPr>
        <w:tc>
          <w:tcPr>
            <w:tcW w:w="1575" w:type="dxa"/>
            <w:tcBorders>
              <w:top w:val="nil"/>
              <w:left w:val="single" w:color="auto" w:sz="4" w:space="0"/>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418"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r>
    </w:tbl>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spacing w:line="300" w:lineRule="auto"/>
        <w:outlineLvl w:val="1"/>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jc w:val="left"/>
        <w:rPr>
          <w:rFonts w:asciiTheme="minorEastAsia" w:hAnsiTheme="minorEastAsia" w:eastAsiaTheme="minorEastAsia"/>
          <w:color w:val="171717" w:themeColor="background2" w:themeShade="1A"/>
          <w:kern w:val="0"/>
          <w:sz w:val="24"/>
        </w:rPr>
      </w:pPr>
    </w:p>
    <w:p>
      <w:pPr>
        <w:widowControl/>
        <w:spacing w:line="300" w:lineRule="auto"/>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表九：</w:t>
      </w:r>
    </w:p>
    <w:p>
      <w:pPr>
        <w:widowControl/>
        <w:spacing w:line="300" w:lineRule="auto"/>
        <w:jc w:val="center"/>
        <w:outlineLvl w:val="1"/>
        <w:rPr>
          <w:rFonts w:ascii="仿宋_GB2312" w:eastAsia="仿宋_GB2312" w:hAnsiTheme="minorEastAsia"/>
          <w:b/>
          <w:color w:val="171717" w:themeColor="background2" w:themeShade="1A"/>
          <w:kern w:val="0"/>
          <w:sz w:val="32"/>
          <w:szCs w:val="32"/>
        </w:rPr>
      </w:pPr>
      <w:r>
        <w:rPr>
          <w:rFonts w:hint="eastAsia" w:ascii="仿宋_GB2312" w:eastAsia="仿宋_GB2312" w:hAnsiTheme="minorEastAsia"/>
          <w:b/>
          <w:color w:val="171717" w:themeColor="background2" w:themeShade="1A"/>
          <w:kern w:val="0"/>
          <w:sz w:val="32"/>
          <w:szCs w:val="32"/>
        </w:rPr>
        <w:t>政府性基金预算支出情况表</w:t>
      </w:r>
    </w:p>
    <w:p>
      <w:pPr>
        <w:widowControl/>
        <w:spacing w:line="300" w:lineRule="auto"/>
        <w:jc w:val="left"/>
        <w:outlineLvl w:val="1"/>
        <w:rPr>
          <w:rFonts w:ascii="仿宋_GB2312" w:eastAsia="仿宋_GB2312" w:hAnsiTheme="minorEastAsia"/>
          <w:color w:val="171717" w:themeColor="background2" w:themeShade="1A"/>
          <w:kern w:val="0"/>
          <w:sz w:val="24"/>
        </w:rPr>
      </w:pPr>
      <w:r>
        <w:rPr>
          <w:rFonts w:hint="eastAsia" w:ascii="仿宋_GB2312" w:eastAsia="仿宋_GB2312" w:hAnsiTheme="minorEastAsia"/>
          <w:color w:val="171717" w:themeColor="background2" w:themeShade="1A"/>
          <w:kern w:val="0"/>
          <w:sz w:val="24"/>
        </w:rPr>
        <w:t>编制单位：乌鲁木齐市第八十七中学                                单位：万元</w:t>
      </w:r>
    </w:p>
    <w:tbl>
      <w:tblPr>
        <w:tblStyle w:val="13"/>
        <w:tblW w:w="9087" w:type="dxa"/>
        <w:tblInd w:w="93" w:type="dxa"/>
        <w:tblLayout w:type="fixed"/>
        <w:tblCellMar>
          <w:top w:w="0" w:type="dxa"/>
          <w:left w:w="108" w:type="dxa"/>
          <w:bottom w:w="0" w:type="dxa"/>
          <w:right w:w="108" w:type="dxa"/>
        </w:tblCellMar>
      </w:tblPr>
      <w:tblGrid>
        <w:gridCol w:w="458"/>
        <w:gridCol w:w="457"/>
        <w:gridCol w:w="457"/>
        <w:gridCol w:w="2896"/>
        <w:gridCol w:w="1559"/>
        <w:gridCol w:w="1701"/>
        <w:gridCol w:w="1559"/>
      </w:tblGrid>
      <w:tr>
        <w:tblPrEx>
          <w:tblLayout w:type="fixed"/>
          <w:tblCellMar>
            <w:top w:w="0" w:type="dxa"/>
            <w:left w:w="108" w:type="dxa"/>
            <w:bottom w:w="0" w:type="dxa"/>
            <w:right w:w="108" w:type="dxa"/>
          </w:tblCellMar>
        </w:tblPrEx>
        <w:trPr>
          <w:trHeight w:val="465" w:hRule="atLeast"/>
        </w:trPr>
        <w:tc>
          <w:tcPr>
            <w:tcW w:w="4268" w:type="dxa"/>
            <w:gridSpan w:val="4"/>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  目</w:t>
            </w:r>
          </w:p>
        </w:tc>
        <w:tc>
          <w:tcPr>
            <w:tcW w:w="4819" w:type="dxa"/>
            <w:gridSpan w:val="3"/>
            <w:tcBorders>
              <w:top w:val="single" w:color="auto" w:sz="4" w:space="0"/>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政府性基金预算支出</w:t>
            </w:r>
          </w:p>
        </w:tc>
      </w:tr>
      <w:tr>
        <w:tblPrEx>
          <w:tblLayout w:type="fixed"/>
          <w:tblCellMar>
            <w:top w:w="0" w:type="dxa"/>
            <w:left w:w="108" w:type="dxa"/>
            <w:bottom w:w="0" w:type="dxa"/>
            <w:right w:w="108" w:type="dxa"/>
          </w:tblCellMar>
        </w:tblPrEx>
        <w:trPr>
          <w:trHeight w:val="360" w:hRule="atLeast"/>
        </w:trPr>
        <w:tc>
          <w:tcPr>
            <w:tcW w:w="1372" w:type="dxa"/>
            <w:gridSpan w:val="3"/>
            <w:tcBorders>
              <w:top w:val="single" w:color="auto" w:sz="4" w:space="0"/>
              <w:left w:val="single" w:color="auto" w:sz="4" w:space="0"/>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功能分类科目编码</w:t>
            </w:r>
          </w:p>
        </w:tc>
        <w:tc>
          <w:tcPr>
            <w:tcW w:w="2896"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功能分类科目名称</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小计</w:t>
            </w:r>
          </w:p>
        </w:tc>
        <w:tc>
          <w:tcPr>
            <w:tcW w:w="1701"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基本支出</w:t>
            </w:r>
          </w:p>
        </w:tc>
        <w:tc>
          <w:tcPr>
            <w:tcW w:w="1559" w:type="dxa"/>
            <w:vMerge w:val="restart"/>
            <w:tcBorders>
              <w:top w:val="nil"/>
              <w:left w:val="single" w:color="auto" w:sz="4" w:space="0"/>
              <w:bottom w:val="single" w:color="000000"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项目支出</w:t>
            </w:r>
          </w:p>
        </w:tc>
      </w:tr>
      <w:tr>
        <w:tblPrEx>
          <w:tblLayout w:type="fixed"/>
          <w:tblCellMar>
            <w:top w:w="0" w:type="dxa"/>
            <w:left w:w="108" w:type="dxa"/>
            <w:bottom w:w="0" w:type="dxa"/>
            <w:right w:w="108" w:type="dxa"/>
          </w:tblCellMar>
        </w:tblPrEx>
        <w:trPr>
          <w:trHeight w:val="315"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类</w:t>
            </w: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款</w:t>
            </w: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r>
              <w:rPr>
                <w:rFonts w:hint="eastAsia" w:ascii="仿宋_GB2312" w:eastAsia="仿宋_GB2312" w:cs="宋体" w:hAnsiTheme="minorEastAsia"/>
                <w:b/>
                <w:bCs/>
                <w:color w:val="171717" w:themeColor="background2" w:themeShade="1A"/>
                <w:kern w:val="0"/>
                <w:sz w:val="18"/>
                <w:szCs w:val="18"/>
              </w:rPr>
              <w:t>项</w:t>
            </w:r>
          </w:p>
        </w:tc>
        <w:tc>
          <w:tcPr>
            <w:tcW w:w="2896"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701"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c>
          <w:tcPr>
            <w:tcW w:w="1559"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b/>
                <w:bCs/>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r>
        <w:tblPrEx>
          <w:tblLayout w:type="fixed"/>
          <w:tblCellMar>
            <w:top w:w="0" w:type="dxa"/>
            <w:left w:w="108" w:type="dxa"/>
            <w:bottom w:w="0" w:type="dxa"/>
            <w:right w:w="108" w:type="dxa"/>
          </w:tblCellMar>
        </w:tblPrEx>
        <w:trPr>
          <w:trHeight w:val="510" w:hRule="atLeast"/>
        </w:trPr>
        <w:tc>
          <w:tcPr>
            <w:tcW w:w="458"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457" w:type="dxa"/>
            <w:tcBorders>
              <w:top w:val="nil"/>
              <w:left w:val="nil"/>
              <w:bottom w:val="single" w:color="auto" w:sz="4" w:space="0"/>
              <w:right w:val="single" w:color="auto" w:sz="4" w:space="0"/>
            </w:tcBorders>
            <w:shd w:val="clear" w:color="auto" w:fill="auto"/>
            <w:vAlign w:val="center"/>
          </w:tcPr>
          <w:p>
            <w:pPr>
              <w:widowControl/>
              <w:spacing w:line="300" w:lineRule="auto"/>
              <w:jc w:val="left"/>
              <w:rPr>
                <w:rFonts w:ascii="仿宋_GB2312" w:eastAsia="仿宋_GB2312" w:cs="宋体" w:hAnsiTheme="minorEastAsia"/>
                <w:color w:val="171717" w:themeColor="background2" w:themeShade="1A"/>
                <w:kern w:val="0"/>
                <w:sz w:val="18"/>
                <w:szCs w:val="18"/>
              </w:rPr>
            </w:pPr>
          </w:p>
        </w:tc>
        <w:tc>
          <w:tcPr>
            <w:tcW w:w="2896" w:type="dxa"/>
            <w:tcBorders>
              <w:top w:val="nil"/>
              <w:left w:val="nil"/>
              <w:bottom w:val="single" w:color="auto" w:sz="4" w:space="0"/>
              <w:right w:val="single" w:color="auto" w:sz="4" w:space="0"/>
            </w:tcBorders>
            <w:shd w:val="clear" w:color="auto" w:fill="auto"/>
            <w:vAlign w:val="center"/>
          </w:tcPr>
          <w:p>
            <w:pPr>
              <w:widowControl/>
              <w:spacing w:line="300" w:lineRule="auto"/>
              <w:jc w:val="center"/>
              <w:rPr>
                <w:rFonts w:ascii="仿宋_GB2312" w:eastAsia="仿宋_GB2312" w:cs="宋体" w:hAnsiTheme="minorEastAsia"/>
                <w:color w:val="171717" w:themeColor="background2" w:themeShade="1A"/>
                <w:kern w:val="0"/>
                <w:sz w:val="18"/>
                <w:szCs w:val="18"/>
              </w:rPr>
            </w:pPr>
            <w:r>
              <w:rPr>
                <w:rFonts w:hint="eastAsia" w:ascii="仿宋_GB2312" w:eastAsia="仿宋_GB2312" w:cs="宋体" w:hAnsiTheme="minorEastAsia"/>
                <w:color w:val="171717" w:themeColor="background2" w:themeShade="1A"/>
                <w:kern w:val="0"/>
                <w:sz w:val="18"/>
                <w:szCs w:val="18"/>
              </w:rPr>
              <w:t>合计</w:t>
            </w: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701"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c>
          <w:tcPr>
            <w:tcW w:w="1559" w:type="dxa"/>
            <w:tcBorders>
              <w:top w:val="nil"/>
              <w:left w:val="nil"/>
              <w:bottom w:val="single" w:color="auto" w:sz="4" w:space="0"/>
              <w:right w:val="single" w:color="auto" w:sz="4" w:space="0"/>
            </w:tcBorders>
            <w:shd w:val="clear" w:color="auto" w:fill="auto"/>
            <w:vAlign w:val="center"/>
          </w:tcPr>
          <w:p>
            <w:pPr>
              <w:widowControl/>
              <w:spacing w:line="300" w:lineRule="auto"/>
              <w:jc w:val="right"/>
              <w:rPr>
                <w:rFonts w:ascii="仿宋_GB2312" w:eastAsia="仿宋_GB2312" w:cs="宋体" w:hAnsiTheme="minorEastAsia"/>
                <w:color w:val="171717" w:themeColor="background2" w:themeShade="1A"/>
                <w:kern w:val="0"/>
                <w:sz w:val="18"/>
                <w:szCs w:val="18"/>
              </w:rPr>
            </w:pPr>
          </w:p>
        </w:tc>
      </w:tr>
    </w:tbl>
    <w:p>
      <w:pPr>
        <w:widowControl/>
        <w:spacing w:line="300" w:lineRule="auto"/>
        <w:outlineLvl w:val="1"/>
        <w:rPr>
          <w:rFonts w:ascii="仿宋_GB2312" w:eastAsia="仿宋_GB2312" w:hAnsiTheme="minorEastAsia"/>
          <w:color w:val="171717" w:themeColor="background2" w:themeShade="1A"/>
          <w:kern w:val="0"/>
          <w:sz w:val="32"/>
          <w:szCs w:val="32"/>
        </w:rPr>
      </w:pPr>
      <w:r>
        <w:rPr>
          <w:rFonts w:hint="eastAsia" w:ascii="仿宋_GB2312" w:eastAsia="仿宋_GB2312" w:hAnsiTheme="minorEastAsia"/>
          <w:color w:val="171717" w:themeColor="background2" w:themeShade="1A"/>
          <w:kern w:val="0"/>
          <w:sz w:val="32"/>
          <w:szCs w:val="32"/>
        </w:rPr>
        <w:t>备注：无内容应公开空表并说明情况。</w:t>
      </w:r>
    </w:p>
    <w:p>
      <w:pPr>
        <w:widowControl/>
        <w:spacing w:line="300" w:lineRule="auto"/>
        <w:jc w:val="left"/>
        <w:outlineLvl w:val="1"/>
        <w:rPr>
          <w:rFonts w:asciiTheme="minorEastAsia" w:hAnsiTheme="minorEastAsia" w:eastAsiaTheme="minorEastAsia"/>
          <w:color w:val="171717" w:themeColor="background2" w:themeShade="1A"/>
          <w:kern w:val="0"/>
          <w:sz w:val="24"/>
        </w:rPr>
        <w:sectPr>
          <w:headerReference r:id="rId3" w:type="default"/>
          <w:footerReference r:id="rId4" w:type="default"/>
          <w:footerReference r:id="rId5" w:type="even"/>
          <w:pgSz w:w="11906" w:h="16838"/>
          <w:pgMar w:top="2098" w:right="1418" w:bottom="1928" w:left="1588" w:header="851" w:footer="992" w:gutter="0"/>
          <w:pgNumType w:fmt="numberInDash"/>
          <w:cols w:space="720" w:num="1"/>
          <w:docGrid w:linePitch="312" w:charSpace="0"/>
        </w:sectPr>
      </w:pPr>
    </w:p>
    <w:p>
      <w:pPr>
        <w:pStyle w:val="2"/>
        <w:spacing w:before="312"/>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第三部分乌鲁木齐市第八十七中学2016年部门预算情况说明</w:t>
      </w:r>
    </w:p>
    <w:p>
      <w:pPr>
        <w:rPr>
          <w:color w:val="171717" w:themeColor="background2" w:themeShade="1A"/>
        </w:rPr>
      </w:pP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一、关于乌鲁木齐市第八十七中学2016年收支预算情况的总体说明</w:t>
      </w:r>
    </w:p>
    <w:p>
      <w:pPr>
        <w:widowControl/>
        <w:spacing w:line="300" w:lineRule="auto"/>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按照全口径预算的原则，乌鲁木齐市第八十七中学2016年所有收入和支出均纳入部门预算管理。收支总预算</w:t>
      </w:r>
      <w:r>
        <w:rPr>
          <w:rFonts w:hint="eastAsia" w:asciiTheme="minorEastAsia" w:hAnsiTheme="minorEastAsia" w:eastAsiaTheme="minorEastAsia"/>
          <w:color w:val="171717" w:themeColor="background2" w:themeShade="1A"/>
          <w:sz w:val="28"/>
          <w:szCs w:val="28"/>
        </w:rPr>
        <w:t>2323.3</w:t>
      </w:r>
      <w:r>
        <w:rPr>
          <w:rFonts w:hint="eastAsia" w:cs="宋体" w:asciiTheme="minorEastAsia" w:hAnsiTheme="minorEastAsia" w:eastAsiaTheme="minorEastAsia"/>
          <w:color w:val="171717" w:themeColor="background2" w:themeShade="1A"/>
          <w:kern w:val="0"/>
          <w:sz w:val="28"/>
          <w:szCs w:val="28"/>
        </w:rPr>
        <w:t>万元。</w:t>
      </w:r>
    </w:p>
    <w:p>
      <w:pPr>
        <w:widowControl/>
        <w:spacing w:line="300" w:lineRule="auto"/>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收入预算包括：一般公共预算、单位上年结转（不包括国库集中支付额度结余）等。</w:t>
      </w:r>
    </w:p>
    <w:p>
      <w:pPr>
        <w:widowControl/>
        <w:spacing w:line="300" w:lineRule="auto"/>
        <w:ind w:firstLine="64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支出预算包括：教育支出、社会保障和就业支出等。</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二、关于乌鲁木齐市第八十七中学2016年收入预算情况说明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乌鲁木齐市第八十七中学收入预算</w:t>
      </w:r>
      <w:r>
        <w:rPr>
          <w:rFonts w:hint="eastAsia" w:asciiTheme="minorEastAsia" w:hAnsiTheme="minorEastAsia" w:eastAsiaTheme="minorEastAsia"/>
          <w:color w:val="171717" w:themeColor="background2" w:themeShade="1A"/>
          <w:sz w:val="28"/>
          <w:szCs w:val="28"/>
        </w:rPr>
        <w:t>2323.3万</w:t>
      </w:r>
      <w:r>
        <w:rPr>
          <w:rFonts w:hint="eastAsia" w:cs="宋体" w:asciiTheme="minorEastAsia" w:hAnsiTheme="minorEastAsia" w:eastAsiaTheme="minorEastAsia"/>
          <w:color w:val="171717" w:themeColor="background2" w:themeShade="1A"/>
          <w:kern w:val="0"/>
          <w:sz w:val="28"/>
          <w:szCs w:val="28"/>
        </w:rPr>
        <w:t>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一般公共预算</w:t>
      </w:r>
      <w:r>
        <w:rPr>
          <w:rFonts w:cs="宋体" w:asciiTheme="minorEastAsia" w:hAnsiTheme="minorEastAsia" w:eastAsiaTheme="minorEastAsia"/>
          <w:color w:val="171717" w:themeColor="background2" w:themeShade="1A"/>
          <w:kern w:val="0"/>
          <w:sz w:val="28"/>
          <w:szCs w:val="28"/>
        </w:rPr>
        <w:t>2323.3</w:t>
      </w:r>
      <w:r>
        <w:rPr>
          <w:rFonts w:hint="eastAsia" w:cs="宋体" w:asciiTheme="minorEastAsia" w:hAnsiTheme="minorEastAsia" w:eastAsiaTheme="minorEastAsia"/>
          <w:color w:val="171717" w:themeColor="background2" w:themeShade="1A"/>
          <w:kern w:val="0"/>
          <w:sz w:val="28"/>
          <w:szCs w:val="28"/>
        </w:rPr>
        <w:t>万元，比上年增加480.43万元；增加的原因是人员工资、津贴、社保、公积金等经费增加466.33万元，商品服务支出增加11.25万元。绿化美化经费增加10万元、安保人员经费增加2.4万元、临时聘用人员经费减少9.55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非税收入拨款未安排。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基金预算拨款未安排。</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财政预算拨款结余结转0万元，比上年减少</w:t>
      </w:r>
      <w:r>
        <w:rPr>
          <w:rFonts w:cs="宋体" w:asciiTheme="minorEastAsia" w:hAnsiTheme="minorEastAsia" w:eastAsiaTheme="minorEastAsia"/>
          <w:color w:val="171717" w:themeColor="background2" w:themeShade="1A"/>
          <w:kern w:val="0"/>
          <w:sz w:val="28"/>
          <w:szCs w:val="28"/>
        </w:rPr>
        <w:t>17.73</w:t>
      </w:r>
      <w:r>
        <w:rPr>
          <w:rFonts w:hint="eastAsia" w:cs="宋体" w:asciiTheme="minorEastAsia" w:hAnsiTheme="minorEastAsia" w:eastAsiaTheme="minorEastAsia"/>
          <w:color w:val="171717" w:themeColor="background2" w:themeShade="1A"/>
          <w:kern w:val="0"/>
          <w:sz w:val="28"/>
          <w:szCs w:val="28"/>
        </w:rPr>
        <w:t>万元。</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三、关于乌鲁木齐市第八十七中学单位2016年支出预算情况说明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乌鲁木齐市第八十七中学单位2016年支出预算2323.3万元，其中：</w:t>
      </w:r>
    </w:p>
    <w:p>
      <w:pPr>
        <w:widowControl/>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基本支出2161.75万元，比上年增加477.58万元。增加的原因是人员工资、津贴、社保、公积金等经费增加466.33万元，商品服务支出增加11.25万元。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项目支出161.55万元，比上年增加2.85万元。增加的原因是绿化美化经费增加10万元、安保人员经费增加2.4万元、临时聘用人员经费减少9.55万元。</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四、关于乌鲁木齐市第八十七中学2016年财政拨款收支预算情况的总体说明</w:t>
      </w:r>
    </w:p>
    <w:p>
      <w:pPr>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财政拨款收支总预算</w:t>
      </w:r>
      <w:r>
        <w:rPr>
          <w:rFonts w:cs="宋体" w:asciiTheme="minorEastAsia" w:hAnsiTheme="minorEastAsia" w:eastAsiaTheme="minorEastAsia"/>
          <w:color w:val="171717" w:themeColor="background2" w:themeShade="1A"/>
          <w:kern w:val="0"/>
          <w:sz w:val="28"/>
          <w:szCs w:val="28"/>
        </w:rPr>
        <w:t>2323.3</w:t>
      </w:r>
      <w:r>
        <w:rPr>
          <w:rFonts w:hint="eastAsia" w:cs="宋体" w:asciiTheme="minorEastAsia" w:hAnsiTheme="minorEastAsia" w:eastAsiaTheme="minorEastAsia"/>
          <w:color w:val="171717" w:themeColor="background2" w:themeShade="1A"/>
          <w:kern w:val="0"/>
          <w:sz w:val="28"/>
          <w:szCs w:val="28"/>
        </w:rPr>
        <w:t>万元。</w:t>
      </w:r>
    </w:p>
    <w:p>
      <w:pPr>
        <w:spacing w:line="560" w:lineRule="exact"/>
        <w:ind w:firstLine="560" w:firstLineChars="200"/>
        <w:jc w:val="left"/>
        <w:rPr>
          <w:rFonts w:cs="宋体" w:asciiTheme="minorEastAsia" w:hAnsiTheme="minorEastAsia" w:eastAsiaTheme="minorEastAsia"/>
          <w:b/>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收入全部为一般公共预算拨款，无政府性基金预算拨款。</w:t>
      </w:r>
    </w:p>
    <w:p>
      <w:pPr>
        <w:pStyle w:val="3"/>
        <w:ind w:firstLine="321"/>
        <w:rPr>
          <w:rFonts w:ascii="黑体" w:hAnsi="黑体" w:eastAsia="黑体"/>
          <w:color w:val="171717" w:themeColor="background2" w:themeShade="1A"/>
          <w:sz w:val="32"/>
        </w:rPr>
      </w:pPr>
      <w:r>
        <w:rPr>
          <w:rFonts w:hint="eastAsia" w:ascii="黑体" w:hAnsi="黑体" w:eastAsia="黑体"/>
          <w:color w:val="171717" w:themeColor="background2" w:themeShade="1A"/>
          <w:sz w:val="32"/>
        </w:rPr>
        <w:t>五、关于乌鲁木齐市第八十七中学2016年一般公共预算基本支出情况说明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乌鲁木齐市第八十七中学部门2016年一般公共预算基本支出2161.75万元，其中：</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人员经费1900.62万元，主要包括：基本工资、津贴补贴、奖金、其他社会保障缴费、绩效工资、机关事业单位基本养老保险缴费、住房公积金、其他工资福利支出、退休费、奖励金、其他对个人和家庭的补助支出等。</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公用经费261.13万元，主要包括：办公费、水费、电费、邮电费、办公取暖费、物业管理费、其他车辆、差旅费、维修(护)费(含其他维修)、租赁费、培训费小计、公务接待费、专用材料费、劳务费、、工会经费、福利费、其他商品服务支出等。</w:t>
      </w:r>
    </w:p>
    <w:p>
      <w:pPr>
        <w:pStyle w:val="3"/>
        <w:ind w:firstLine="321"/>
        <w:rPr>
          <w:rFonts w:ascii="黑体" w:hAnsi="黑体" w:eastAsia="黑体"/>
          <w:color w:val="171717" w:themeColor="background2" w:themeShade="1A"/>
          <w:sz w:val="32"/>
        </w:rPr>
      </w:pPr>
      <w:r>
        <w:rPr>
          <w:rFonts w:hint="eastAsia" w:ascii="黑体" w:hAnsi="黑体" w:eastAsia="黑体"/>
          <w:color w:val="171717" w:themeColor="background2" w:themeShade="1A"/>
          <w:sz w:val="32"/>
        </w:rPr>
        <w:t>六、关于乌鲁木齐市第八十七中学2016年一般公共预算项目支出情况说明</w:t>
      </w: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情况一：</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项目名称：校园绿化美化经费</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设立的政策依据：根据校园绿化美化经费设立依据</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预算安排规模：10万元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项目承担单位：乌鲁木齐市第八十七中学</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资金分配情况：用于校园绿化美化</w:t>
      </w:r>
    </w:p>
    <w:p>
      <w:pPr>
        <w:widowControl/>
        <w:spacing w:line="560" w:lineRule="exact"/>
        <w:ind w:firstLine="560" w:firstLineChars="200"/>
        <w:jc w:val="left"/>
        <w:rPr>
          <w:rFonts w:cs="仿宋_GB2312"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资金执行时间：2016年1月-2016年12月</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项目名称：中考工作经费</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设立的政策依据：根据中考工作经费设立依据</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预算安排规模：10万元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项目承担单位：乌鲁木齐市第八十七中学</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资金分配情况：用于</w:t>
      </w:r>
      <w:r>
        <w:rPr>
          <w:rFonts w:asciiTheme="minorEastAsia" w:hAnsiTheme="minorEastAsia" w:eastAsiaTheme="minorEastAsia"/>
          <w:color w:val="171717" w:themeColor="background2" w:themeShade="1A"/>
          <w:sz w:val="28"/>
          <w:szCs w:val="28"/>
        </w:rPr>
        <w:t>中考工作</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资金执行时间：2016年1月-2016年12月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p>
    <w:p>
      <w:pPr>
        <w:widowControl/>
        <w:spacing w:line="560" w:lineRule="exact"/>
        <w:ind w:firstLine="562" w:firstLineChars="200"/>
        <w:jc w:val="left"/>
        <w:rPr>
          <w:rFonts w:asciiTheme="minorEastAsia" w:hAnsiTheme="minorEastAsia" w:eastAsiaTheme="minorEastAsia"/>
          <w:b/>
          <w:color w:val="171717" w:themeColor="background2" w:themeShade="1A"/>
          <w:sz w:val="28"/>
          <w:szCs w:val="28"/>
        </w:rPr>
      </w:pPr>
      <w:r>
        <w:rPr>
          <w:rFonts w:hint="eastAsia" w:asciiTheme="minorEastAsia" w:hAnsiTheme="minorEastAsia" w:eastAsiaTheme="minorEastAsia"/>
          <w:b/>
          <w:color w:val="171717" w:themeColor="background2" w:themeShade="1A"/>
          <w:sz w:val="28"/>
          <w:szCs w:val="28"/>
        </w:rPr>
        <w:t>情况二：</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项目名称：2016年临时聘用人员经费</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设立的政策依据：根据临时聘用人员经费设立依据</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预算安排规模：81.55万元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项目承担单位：乌鲁木齐市第八十七中学</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资金分配情况：</w:t>
      </w:r>
      <w:r>
        <w:rPr>
          <w:rFonts w:hint="eastAsia" w:cs="仿宋_GB2312" w:asciiTheme="minorEastAsia" w:hAnsiTheme="minorEastAsia" w:eastAsiaTheme="minorEastAsia"/>
          <w:color w:val="171717" w:themeColor="background2" w:themeShade="1A"/>
          <w:kern w:val="0"/>
          <w:sz w:val="28"/>
          <w:szCs w:val="28"/>
        </w:rPr>
        <w:t>代课教师</w:t>
      </w:r>
      <w:r>
        <w:rPr>
          <w:rFonts w:cs="仿宋_GB2312" w:asciiTheme="minorEastAsia" w:hAnsiTheme="minorEastAsia" w:eastAsiaTheme="minorEastAsia"/>
          <w:color w:val="171717" w:themeColor="background2" w:themeShade="1A"/>
          <w:kern w:val="0"/>
          <w:sz w:val="28"/>
          <w:szCs w:val="28"/>
        </w:rPr>
        <w:t>32</w:t>
      </w:r>
      <w:r>
        <w:rPr>
          <w:rFonts w:hint="eastAsia" w:cs="仿宋_GB2312" w:asciiTheme="minorEastAsia" w:hAnsiTheme="minorEastAsia" w:eastAsiaTheme="minorEastAsia"/>
          <w:color w:val="171717" w:themeColor="background2" w:themeShade="1A"/>
          <w:kern w:val="0"/>
          <w:sz w:val="28"/>
          <w:szCs w:val="28"/>
        </w:rPr>
        <w:t>人</w:t>
      </w:r>
      <w:r>
        <w:rPr>
          <w:rFonts w:cs="仿宋_GB2312" w:asciiTheme="minorEastAsia" w:hAnsiTheme="minorEastAsia" w:eastAsiaTheme="minorEastAsia"/>
          <w:color w:val="171717" w:themeColor="background2" w:themeShade="1A"/>
          <w:kern w:val="0"/>
          <w:sz w:val="28"/>
          <w:szCs w:val="28"/>
        </w:rPr>
        <w:t>，</w:t>
      </w:r>
      <w:r>
        <w:rPr>
          <w:rFonts w:hint="eastAsia" w:cs="仿宋_GB2312" w:asciiTheme="minorEastAsia" w:hAnsiTheme="minorEastAsia" w:eastAsiaTheme="minorEastAsia"/>
          <w:color w:val="171717" w:themeColor="background2" w:themeShade="1A"/>
          <w:kern w:val="0"/>
          <w:sz w:val="28"/>
          <w:szCs w:val="28"/>
        </w:rPr>
        <w:t>临时工</w:t>
      </w:r>
      <w:r>
        <w:rPr>
          <w:rFonts w:cs="仿宋_GB2312" w:asciiTheme="minorEastAsia" w:hAnsiTheme="minorEastAsia" w:eastAsiaTheme="minorEastAsia"/>
          <w:color w:val="171717" w:themeColor="background2" w:themeShade="1A"/>
          <w:kern w:val="0"/>
          <w:sz w:val="28"/>
          <w:szCs w:val="28"/>
        </w:rPr>
        <w:t>2</w:t>
      </w:r>
      <w:r>
        <w:rPr>
          <w:rFonts w:hint="eastAsia" w:cs="仿宋_GB2312" w:asciiTheme="minorEastAsia" w:hAnsiTheme="minorEastAsia" w:eastAsiaTheme="minorEastAsia"/>
          <w:color w:val="171717" w:themeColor="background2" w:themeShade="1A"/>
          <w:kern w:val="0"/>
          <w:sz w:val="28"/>
          <w:szCs w:val="28"/>
        </w:rPr>
        <w:t>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2016年1月-2016年12月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r>
        <w:rPr>
          <w:rFonts w:cs="宋体" w:asciiTheme="minorEastAsia" w:hAnsiTheme="minorEastAsia" w:eastAsiaTheme="minorEastAsia"/>
          <w:color w:val="171717" w:themeColor="background2" w:themeShade="1A"/>
          <w:kern w:val="0"/>
          <w:sz w:val="28"/>
          <w:szCs w:val="28"/>
        </w:rPr>
        <w:t>34</w:t>
      </w:r>
      <w:r>
        <w:rPr>
          <w:rFonts w:hint="eastAsia" w:cs="宋体" w:asciiTheme="minorEastAsia" w:hAnsiTheme="minorEastAsia" w:eastAsiaTheme="minorEastAsia"/>
          <w:color w:val="171717" w:themeColor="background2" w:themeShade="1A"/>
          <w:kern w:val="0"/>
          <w:sz w:val="28"/>
          <w:szCs w:val="28"/>
        </w:rPr>
        <w:t>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w:t>
      </w:r>
      <w:r>
        <w:rPr>
          <w:rFonts w:cs="宋体" w:asciiTheme="minorEastAsia" w:hAnsiTheme="minorEastAsia" w:eastAsiaTheme="minorEastAsia"/>
          <w:color w:val="171717" w:themeColor="background2" w:themeShade="1A"/>
          <w:kern w:val="0"/>
          <w:sz w:val="28"/>
          <w:szCs w:val="28"/>
        </w:rPr>
        <w:t>：</w:t>
      </w:r>
      <w:r>
        <w:rPr>
          <w:rFonts w:hint="eastAsia" w:cs="宋体" w:asciiTheme="minorEastAsia" w:hAnsiTheme="minorEastAsia" w:eastAsiaTheme="minorEastAsia"/>
          <w:color w:val="171717" w:themeColor="background2" w:themeShade="1A"/>
          <w:kern w:val="0"/>
          <w:sz w:val="28"/>
          <w:szCs w:val="28"/>
        </w:rPr>
        <w:t>2381元/月/人</w:t>
      </w:r>
      <w:r>
        <w:rPr>
          <w:rFonts w:cs="宋体" w:asciiTheme="minorEastAsia" w:hAnsiTheme="minorEastAsia" w:eastAsiaTheme="minorEastAsia"/>
          <w:color w:val="171717" w:themeColor="background2" w:themeShade="1A"/>
          <w:kern w:val="0"/>
          <w:sz w:val="28"/>
          <w:szCs w:val="28"/>
        </w:rPr>
        <w:t>；临时工：</w:t>
      </w:r>
      <w:r>
        <w:rPr>
          <w:rFonts w:hint="eastAsia" w:cs="宋体" w:asciiTheme="minorEastAsia" w:hAnsiTheme="minorEastAsia" w:eastAsiaTheme="minorEastAsia"/>
          <w:color w:val="171717" w:themeColor="background2" w:themeShade="1A"/>
          <w:kern w:val="0"/>
          <w:sz w:val="28"/>
          <w:szCs w:val="28"/>
        </w:rPr>
        <w:t>2231元/月/人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代课教师</w:t>
      </w:r>
      <w:r>
        <w:rPr>
          <w:rFonts w:cs="宋体" w:asciiTheme="minorEastAsia" w:hAnsiTheme="minorEastAsia" w:eastAsiaTheme="minorEastAsia"/>
          <w:color w:val="171717" w:themeColor="background2" w:themeShade="1A"/>
          <w:kern w:val="0"/>
          <w:sz w:val="28"/>
          <w:szCs w:val="28"/>
        </w:rPr>
        <w:t>及临</w:t>
      </w:r>
      <w:r>
        <w:rPr>
          <w:rFonts w:hint="eastAsia" w:cs="宋体" w:asciiTheme="minorEastAsia" w:hAnsiTheme="minorEastAsia" w:eastAsiaTheme="minorEastAsia"/>
          <w:color w:val="171717" w:themeColor="background2" w:themeShade="1A"/>
          <w:kern w:val="0"/>
          <w:sz w:val="28"/>
          <w:szCs w:val="28"/>
        </w:rPr>
        <w:t>聘</w:t>
      </w:r>
      <w:r>
        <w:rPr>
          <w:rFonts w:cs="宋体" w:asciiTheme="minorEastAsia" w:hAnsiTheme="minorEastAsia" w:eastAsiaTheme="minorEastAsia"/>
          <w:color w:val="171717" w:themeColor="background2" w:themeShade="1A"/>
          <w:kern w:val="0"/>
          <w:sz w:val="28"/>
          <w:szCs w:val="28"/>
        </w:rPr>
        <w:t>人员</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打卡</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发放程序：按考勤</w:t>
      </w:r>
      <w:r>
        <w:rPr>
          <w:rFonts w:cs="宋体" w:asciiTheme="minorEastAsia" w:hAnsiTheme="minorEastAsia" w:eastAsiaTheme="minorEastAsia"/>
          <w:color w:val="171717" w:themeColor="background2" w:themeShade="1A"/>
          <w:kern w:val="0"/>
          <w:sz w:val="28"/>
          <w:szCs w:val="28"/>
        </w:rPr>
        <w:t>表发放</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受益人群和社会效益</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临时聘用人员</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项目名称：护校队、安保人员经费</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设立的政策依据：根据护校队、安保人员经费设立依据</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预算安排规模：60万元</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asciiTheme="minorEastAsia" w:hAnsiTheme="minorEastAsia" w:eastAsiaTheme="minorEastAsia"/>
          <w:color w:val="171717" w:themeColor="background2" w:themeShade="1A"/>
          <w:sz w:val="28"/>
          <w:szCs w:val="28"/>
        </w:rPr>
        <w:t>项目承担单位：乌鲁木齐市第八十七中学</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资金分配情况：</w:t>
      </w:r>
      <w:r>
        <w:rPr>
          <w:rFonts w:hint="eastAsia" w:cs="仿宋_GB2312" w:asciiTheme="minorEastAsia" w:hAnsiTheme="minorEastAsia" w:eastAsiaTheme="minorEastAsia"/>
          <w:color w:val="171717" w:themeColor="background2" w:themeShade="1A"/>
          <w:kern w:val="0"/>
          <w:sz w:val="28"/>
          <w:szCs w:val="28"/>
        </w:rPr>
        <w:t>学校</w:t>
      </w:r>
      <w:r>
        <w:rPr>
          <w:rFonts w:cs="仿宋_GB2312" w:asciiTheme="minorEastAsia" w:hAnsiTheme="minorEastAsia" w:eastAsiaTheme="minorEastAsia"/>
          <w:color w:val="171717" w:themeColor="background2" w:themeShade="1A"/>
          <w:kern w:val="0"/>
          <w:sz w:val="28"/>
          <w:szCs w:val="28"/>
        </w:rPr>
        <w:t>护校队</w:t>
      </w:r>
      <w:r>
        <w:rPr>
          <w:rFonts w:hint="eastAsia" w:cs="仿宋_GB2312" w:asciiTheme="minorEastAsia" w:hAnsiTheme="minorEastAsia" w:eastAsiaTheme="minorEastAsia"/>
          <w:color w:val="171717" w:themeColor="background2" w:themeShade="1A"/>
          <w:kern w:val="0"/>
          <w:sz w:val="28"/>
          <w:szCs w:val="28"/>
        </w:rPr>
        <w:t>1人</w:t>
      </w:r>
      <w:r>
        <w:rPr>
          <w:rFonts w:cs="仿宋_GB2312" w:asciiTheme="minorEastAsia" w:hAnsiTheme="minorEastAsia" w:eastAsiaTheme="minorEastAsia"/>
          <w:color w:val="171717" w:themeColor="background2" w:themeShade="1A"/>
          <w:kern w:val="0"/>
          <w:sz w:val="28"/>
          <w:szCs w:val="28"/>
        </w:rPr>
        <w:t>，外聘护校队9</w:t>
      </w:r>
      <w:r>
        <w:rPr>
          <w:rFonts w:hint="eastAsia" w:cs="仿宋_GB2312" w:asciiTheme="minorEastAsia" w:hAnsiTheme="minorEastAsia" w:eastAsiaTheme="minorEastAsia"/>
          <w:color w:val="171717" w:themeColor="background2" w:themeShade="1A"/>
          <w:kern w:val="0"/>
          <w:sz w:val="28"/>
          <w:szCs w:val="28"/>
        </w:rPr>
        <w:t>人</w:t>
      </w:r>
      <w:r>
        <w:rPr>
          <w:rFonts w:cs="仿宋_GB2312" w:asciiTheme="minorEastAsia" w:hAnsiTheme="minorEastAsia" w:eastAsiaTheme="minorEastAsia"/>
          <w:color w:val="171717" w:themeColor="background2" w:themeShade="1A"/>
          <w:kern w:val="0"/>
          <w:sz w:val="28"/>
          <w:szCs w:val="28"/>
        </w:rPr>
        <w:t>，保安公司</w:t>
      </w:r>
      <w:r>
        <w:rPr>
          <w:rFonts w:hint="eastAsia" w:cs="仿宋_GB2312" w:asciiTheme="minorEastAsia" w:hAnsiTheme="minorEastAsia" w:eastAsiaTheme="minorEastAsia"/>
          <w:color w:val="171717" w:themeColor="background2" w:themeShade="1A"/>
          <w:kern w:val="0"/>
          <w:sz w:val="28"/>
          <w:szCs w:val="28"/>
        </w:rPr>
        <w:t>10人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仿宋_GB2312" w:asciiTheme="minorEastAsia" w:hAnsiTheme="minorEastAsia" w:eastAsiaTheme="minorEastAsia"/>
          <w:color w:val="171717" w:themeColor="background2" w:themeShade="1A"/>
          <w:sz w:val="28"/>
          <w:szCs w:val="28"/>
        </w:rPr>
        <w:t>资金执行时间：</w:t>
      </w:r>
      <w:r>
        <w:rPr>
          <w:rFonts w:hint="eastAsia" w:asciiTheme="minorEastAsia" w:hAnsiTheme="minorEastAsia" w:eastAsiaTheme="minorEastAsia"/>
          <w:color w:val="171717" w:themeColor="background2" w:themeShade="1A"/>
          <w:sz w:val="28"/>
          <w:szCs w:val="28"/>
        </w:rPr>
        <w:t>2016年1月-2016年12月</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资金来源</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财政拨款</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补贴人数</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2</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补贴标准</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本校护校</w:t>
      </w:r>
      <w:r>
        <w:rPr>
          <w:rFonts w:cs="宋体" w:asciiTheme="minorEastAsia" w:hAnsiTheme="minorEastAsia" w:eastAsiaTheme="minorEastAsia"/>
          <w:color w:val="171717" w:themeColor="background2" w:themeShade="1A"/>
          <w:kern w:val="0"/>
          <w:sz w:val="28"/>
          <w:szCs w:val="28"/>
        </w:rPr>
        <w:t>队：</w:t>
      </w:r>
      <w:r>
        <w:rPr>
          <w:rFonts w:hint="eastAsia" w:cs="宋体" w:asciiTheme="minorEastAsia" w:hAnsiTheme="minorEastAsia" w:eastAsiaTheme="minorEastAsia"/>
          <w:color w:val="171717" w:themeColor="background2" w:themeShade="1A"/>
          <w:kern w:val="0"/>
          <w:sz w:val="28"/>
          <w:szCs w:val="28"/>
        </w:rPr>
        <w:t>1500元/月/人；</w:t>
      </w:r>
      <w:r>
        <w:rPr>
          <w:rFonts w:cs="宋体" w:asciiTheme="minorEastAsia" w:hAnsiTheme="minorEastAsia" w:eastAsiaTheme="minorEastAsia"/>
          <w:color w:val="171717" w:themeColor="background2" w:themeShade="1A"/>
          <w:kern w:val="0"/>
          <w:sz w:val="28"/>
          <w:szCs w:val="28"/>
        </w:rPr>
        <w:t>外聘护校队</w:t>
      </w:r>
      <w:r>
        <w:rPr>
          <w:rFonts w:hint="eastAsia" w:cs="宋体" w:asciiTheme="minorEastAsia" w:hAnsiTheme="minorEastAsia" w:eastAsiaTheme="minorEastAsia"/>
          <w:color w:val="171717" w:themeColor="background2" w:themeShade="1A"/>
          <w:kern w:val="0"/>
          <w:sz w:val="28"/>
          <w:szCs w:val="28"/>
        </w:rPr>
        <w:t>25</w:t>
      </w:r>
      <w:r>
        <w:rPr>
          <w:rFonts w:cs="宋体" w:asciiTheme="minorEastAsia" w:hAnsiTheme="minorEastAsia" w:eastAsiaTheme="minorEastAsia"/>
          <w:color w:val="171717" w:themeColor="background2" w:themeShade="1A"/>
          <w:kern w:val="0"/>
          <w:sz w:val="28"/>
          <w:szCs w:val="28"/>
        </w:rPr>
        <w:t>00</w:t>
      </w:r>
      <w:r>
        <w:rPr>
          <w:rFonts w:hint="eastAsia" w:cs="宋体" w:asciiTheme="minorEastAsia" w:hAnsiTheme="minorEastAsia" w:eastAsiaTheme="minorEastAsia"/>
          <w:color w:val="171717" w:themeColor="background2" w:themeShade="1A"/>
          <w:kern w:val="0"/>
          <w:sz w:val="28"/>
          <w:szCs w:val="28"/>
        </w:rPr>
        <w:t>元/月/人；保安</w:t>
      </w:r>
      <w:r>
        <w:rPr>
          <w:rFonts w:cs="宋体" w:asciiTheme="minorEastAsia" w:hAnsiTheme="minorEastAsia" w:eastAsiaTheme="minorEastAsia"/>
          <w:color w:val="171717" w:themeColor="background2" w:themeShade="1A"/>
          <w:kern w:val="0"/>
          <w:sz w:val="28"/>
          <w:szCs w:val="28"/>
        </w:rPr>
        <w:t>公司：</w:t>
      </w:r>
      <w:r>
        <w:rPr>
          <w:rFonts w:hint="eastAsia" w:cs="宋体" w:asciiTheme="minorEastAsia" w:hAnsiTheme="minorEastAsia" w:eastAsiaTheme="minorEastAsia"/>
          <w:color w:val="171717" w:themeColor="background2" w:themeShade="1A"/>
          <w:kern w:val="0"/>
          <w:sz w:val="28"/>
          <w:szCs w:val="28"/>
        </w:rPr>
        <w:t>2500元/月/人</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asciiTheme="minorEastAsia" w:hAnsiTheme="minorEastAsia" w:eastAsiaTheme="minorEastAsia"/>
          <w:color w:val="171717" w:themeColor="background2" w:themeShade="1A"/>
          <w:sz w:val="28"/>
          <w:szCs w:val="28"/>
        </w:rPr>
        <w:t>补贴范围</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护校队、安保人员</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补贴方式</w:t>
      </w:r>
      <w:r>
        <w:rPr>
          <w:rFonts w:hint="eastAsia" w:asciiTheme="minorEastAsia" w:hAnsiTheme="minorEastAsia" w:eastAsiaTheme="minorEastAsia"/>
          <w:color w:val="171717" w:themeColor="background2" w:themeShade="1A"/>
          <w:sz w:val="28"/>
          <w:szCs w:val="28"/>
        </w:rPr>
        <w:t>：</w:t>
      </w:r>
      <w:r>
        <w:rPr>
          <w:rFonts w:hint="eastAsia" w:cs="宋体" w:asciiTheme="minorEastAsia" w:hAnsiTheme="minorEastAsia" w:eastAsiaTheme="minorEastAsia"/>
          <w:color w:val="171717" w:themeColor="background2" w:themeShade="1A"/>
          <w:kern w:val="0"/>
          <w:sz w:val="28"/>
          <w:szCs w:val="28"/>
        </w:rPr>
        <w:t>打卡</w:t>
      </w:r>
    </w:p>
    <w:p>
      <w:pPr>
        <w:widowControl/>
        <w:spacing w:line="560" w:lineRule="exact"/>
        <w:ind w:firstLine="560" w:firstLineChars="200"/>
        <w:jc w:val="left"/>
        <w:rPr>
          <w:rFonts w:asciiTheme="minorEastAsia" w:hAnsiTheme="minorEastAsia" w:eastAsiaTheme="minorEastAsia"/>
          <w:color w:val="171717" w:themeColor="background2" w:themeShade="1A"/>
          <w:sz w:val="28"/>
          <w:szCs w:val="28"/>
        </w:rPr>
      </w:pPr>
      <w:r>
        <w:rPr>
          <w:rFonts w:hint="eastAsia" w:cs="宋体" w:asciiTheme="minorEastAsia" w:hAnsiTheme="minorEastAsia" w:eastAsiaTheme="minorEastAsia"/>
          <w:color w:val="171717" w:themeColor="background2" w:themeShade="1A"/>
          <w:kern w:val="0"/>
          <w:sz w:val="28"/>
          <w:szCs w:val="28"/>
        </w:rPr>
        <w:t>发放程序：按考勤</w:t>
      </w:r>
      <w:r>
        <w:rPr>
          <w:rFonts w:cs="宋体" w:asciiTheme="minorEastAsia" w:hAnsiTheme="minorEastAsia" w:eastAsiaTheme="minorEastAsia"/>
          <w:color w:val="171717" w:themeColor="background2" w:themeShade="1A"/>
          <w:kern w:val="0"/>
          <w:sz w:val="28"/>
          <w:szCs w:val="28"/>
        </w:rPr>
        <w:t>表发放</w:t>
      </w:r>
    </w:p>
    <w:p>
      <w:pPr>
        <w:widowControl/>
        <w:spacing w:line="560" w:lineRule="exact"/>
        <w:ind w:firstLine="560" w:firstLineChars="200"/>
        <w:jc w:val="left"/>
        <w:rPr>
          <w:rFonts w:cs="仿宋_GB2312" w:asciiTheme="minorEastAsia" w:hAnsiTheme="minorEastAsia" w:eastAsiaTheme="minorEastAsia"/>
          <w:color w:val="171717" w:themeColor="background2" w:themeShade="1A"/>
          <w:kern w:val="0"/>
          <w:sz w:val="28"/>
          <w:szCs w:val="28"/>
        </w:rPr>
      </w:pPr>
      <w:r>
        <w:rPr>
          <w:rFonts w:asciiTheme="minorEastAsia" w:hAnsiTheme="minorEastAsia" w:eastAsiaTheme="minorEastAsia"/>
          <w:color w:val="171717" w:themeColor="background2" w:themeShade="1A"/>
          <w:sz w:val="28"/>
          <w:szCs w:val="28"/>
        </w:rPr>
        <w:t>受益人群和社会效益</w:t>
      </w:r>
      <w:r>
        <w:rPr>
          <w:rFonts w:hint="eastAsia" w:asciiTheme="minorEastAsia" w:hAnsiTheme="minorEastAsia" w:eastAsiaTheme="minorEastAsia"/>
          <w:color w:val="171717" w:themeColor="background2" w:themeShade="1A"/>
          <w:sz w:val="28"/>
          <w:szCs w:val="28"/>
        </w:rPr>
        <w:t>：</w:t>
      </w:r>
      <w:r>
        <w:rPr>
          <w:rFonts w:hint="eastAsia" w:cs="仿宋_GB2312" w:asciiTheme="minorEastAsia" w:hAnsiTheme="minorEastAsia" w:eastAsiaTheme="minorEastAsia"/>
          <w:color w:val="171717" w:themeColor="background2" w:themeShade="1A"/>
          <w:kern w:val="0"/>
          <w:sz w:val="28"/>
          <w:szCs w:val="28"/>
        </w:rPr>
        <w:t>护校队、安保人员</w:t>
      </w:r>
    </w:p>
    <w:p>
      <w:pPr>
        <w:widowControl/>
        <w:spacing w:line="560" w:lineRule="exact"/>
        <w:jc w:val="left"/>
        <w:rPr>
          <w:rFonts w:asciiTheme="minorEastAsia" w:hAnsiTheme="minorEastAsia" w:eastAsiaTheme="minorEastAsia"/>
          <w:b/>
          <w:color w:val="171717" w:themeColor="background2" w:themeShade="1A"/>
          <w:sz w:val="28"/>
          <w:szCs w:val="28"/>
        </w:rPr>
      </w:pP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七、关于乌鲁木齐市第八十七中学2016年一般公共预算“三公”经费预算情况说明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乌鲁木齐市第八十七中学2016年“三公”经费财政拨款预算数为</w:t>
      </w:r>
      <w:r>
        <w:rPr>
          <w:rFonts w:cs="宋体" w:asciiTheme="minorEastAsia" w:hAnsiTheme="minorEastAsia" w:eastAsiaTheme="minorEastAsia"/>
          <w:color w:val="171717" w:themeColor="background2" w:themeShade="1A"/>
          <w:kern w:val="0"/>
          <w:sz w:val="28"/>
          <w:szCs w:val="28"/>
        </w:rPr>
        <w:t>1.3</w:t>
      </w:r>
      <w:r>
        <w:rPr>
          <w:rFonts w:hint="eastAsia" w:cs="宋体" w:asciiTheme="minorEastAsia" w:hAnsiTheme="minorEastAsia" w:eastAsiaTheme="minorEastAsia"/>
          <w:color w:val="171717" w:themeColor="background2" w:themeShade="1A"/>
          <w:kern w:val="0"/>
          <w:sz w:val="28"/>
          <w:szCs w:val="28"/>
        </w:rPr>
        <w:t>1万元，其中：因公出国（境）费</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万元，公务用车购置</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万元，公务用车运行费</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万元，公务接待费</w:t>
      </w:r>
      <w:r>
        <w:rPr>
          <w:rFonts w:cs="宋体" w:asciiTheme="minorEastAsia" w:hAnsiTheme="minorEastAsia" w:eastAsiaTheme="minorEastAsia"/>
          <w:color w:val="171717" w:themeColor="background2" w:themeShade="1A"/>
          <w:kern w:val="0"/>
          <w:sz w:val="28"/>
          <w:szCs w:val="28"/>
        </w:rPr>
        <w:t>1.3</w:t>
      </w:r>
      <w:r>
        <w:rPr>
          <w:rFonts w:hint="eastAsia" w:cs="宋体" w:asciiTheme="minorEastAsia" w:hAnsiTheme="minorEastAsia" w:eastAsiaTheme="minorEastAsia"/>
          <w:color w:val="171717" w:themeColor="background2" w:themeShade="1A"/>
          <w:kern w:val="0"/>
          <w:sz w:val="28"/>
          <w:szCs w:val="28"/>
        </w:rPr>
        <w:t>1万元。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4"/>
        </w:rPr>
      </w:pPr>
      <w:r>
        <w:rPr>
          <w:rFonts w:hint="eastAsia" w:cs="宋体" w:asciiTheme="minorEastAsia" w:hAnsiTheme="minorEastAsia" w:eastAsiaTheme="minorEastAsia"/>
          <w:color w:val="171717" w:themeColor="background2" w:themeShade="1A"/>
          <w:kern w:val="0"/>
          <w:sz w:val="28"/>
          <w:szCs w:val="28"/>
        </w:rPr>
        <w:t>2016年“三公”经费财政拨款预算比上年增加0.09万元，其中：因公出国（境）费、公务用车购置费、公务用车运行费未安排预算，公务接待费比上年增加0.09万元。</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八、关于乌鲁木齐市第八十七中学2016年政府性基金预算拨款情况说明</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乌鲁木齐市第八十七中学2016年没有使用政府性基金预算拨款安排的支出，政府性基金预算支出情况表为空表。</w:t>
      </w:r>
    </w:p>
    <w:p>
      <w:pPr>
        <w:pStyle w:val="3"/>
        <w:ind w:firstLine="320"/>
        <w:rPr>
          <w:rFonts w:ascii="黑体" w:hAnsi="黑体" w:eastAsia="黑体"/>
          <w:b w:val="0"/>
          <w:color w:val="171717" w:themeColor="background2" w:themeShade="1A"/>
          <w:sz w:val="32"/>
        </w:rPr>
      </w:pPr>
      <w:r>
        <w:rPr>
          <w:rFonts w:hint="eastAsia" w:ascii="黑体" w:hAnsi="黑体" w:eastAsia="黑体"/>
          <w:b w:val="0"/>
          <w:color w:val="171717" w:themeColor="background2" w:themeShade="1A"/>
          <w:sz w:val="32"/>
        </w:rPr>
        <w:t>九、其他重要事项的情况说明</w:t>
      </w:r>
    </w:p>
    <w:p>
      <w:pPr>
        <w:pStyle w:val="4"/>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（一）政府采购情况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2016年，部门及下属单位政府采购预算0万元，其中：政府采购货物预算0万元，政府采购工程预算0万元，政府采购服务预算0万元。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asciiTheme="minorEastAsia" w:hAnsiTheme="minorEastAsia" w:eastAsiaTheme="minorEastAsia"/>
          <w:color w:val="171717" w:themeColor="background2" w:themeShade="1A"/>
          <w:sz w:val="28"/>
          <w:szCs w:val="28"/>
        </w:rPr>
        <w:t>2016年度本部门面向中小企业预留政府采购项目预算金额0万元，其中：面向小微企业预留政府采购项目预算金额0万元。</w:t>
      </w:r>
    </w:p>
    <w:p>
      <w:pPr>
        <w:pStyle w:val="4"/>
        <w:ind w:firstLine="562"/>
        <w:rPr>
          <w:rFonts w:ascii="楷体" w:hAnsi="楷体" w:eastAsia="楷体"/>
          <w:color w:val="171717" w:themeColor="background2" w:themeShade="1A"/>
          <w:sz w:val="32"/>
        </w:rPr>
      </w:pPr>
      <w:r>
        <w:rPr>
          <w:rFonts w:hint="eastAsia"/>
          <w:color w:val="171717" w:themeColor="background2" w:themeShade="1A"/>
        </w:rPr>
        <w:t>（</w:t>
      </w:r>
      <w:r>
        <w:rPr>
          <w:rFonts w:hint="eastAsia" w:ascii="楷体" w:hAnsi="楷体" w:eastAsia="楷体"/>
          <w:color w:val="171717" w:themeColor="background2" w:themeShade="1A"/>
          <w:sz w:val="32"/>
        </w:rPr>
        <w:t>二）国有资产占用使用情况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截至2015年底，乌鲁木齐市第八十七中学及下属各预算单位占用使用国有资产总体情况为</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1.房屋</w:t>
      </w:r>
      <w:r>
        <w:rPr>
          <w:rFonts w:cs="宋体" w:asciiTheme="minorEastAsia" w:hAnsiTheme="minorEastAsia" w:eastAsiaTheme="minorEastAsia"/>
          <w:color w:val="171717" w:themeColor="background2" w:themeShade="1A"/>
          <w:kern w:val="0"/>
          <w:sz w:val="28"/>
          <w:szCs w:val="28"/>
        </w:rPr>
        <w:t>9,398.82</w:t>
      </w:r>
      <w:r>
        <w:rPr>
          <w:rFonts w:hint="eastAsia" w:cs="宋体" w:asciiTheme="minorEastAsia" w:hAnsiTheme="minorEastAsia" w:eastAsiaTheme="minorEastAsia"/>
          <w:color w:val="171717" w:themeColor="background2" w:themeShade="1A"/>
          <w:kern w:val="0"/>
          <w:sz w:val="28"/>
          <w:szCs w:val="28"/>
        </w:rPr>
        <w:t>平方米，价值</w:t>
      </w:r>
      <w:r>
        <w:rPr>
          <w:rFonts w:cs="宋体" w:asciiTheme="minorEastAsia" w:hAnsiTheme="minorEastAsia" w:eastAsiaTheme="minorEastAsia"/>
          <w:color w:val="171717" w:themeColor="background2" w:themeShade="1A"/>
          <w:kern w:val="0"/>
          <w:sz w:val="28"/>
          <w:szCs w:val="28"/>
        </w:rPr>
        <w:t>1,56</w:t>
      </w:r>
      <w:r>
        <w:rPr>
          <w:rFonts w:hint="eastAsia" w:cs="宋体" w:asciiTheme="minorEastAsia" w:hAnsiTheme="minorEastAsia" w:eastAsiaTheme="minorEastAsia"/>
          <w:color w:val="171717" w:themeColor="background2" w:themeShade="1A"/>
          <w:kern w:val="0"/>
          <w:sz w:val="28"/>
          <w:szCs w:val="28"/>
        </w:rPr>
        <w:t>4.41万元。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2.车辆</w:t>
      </w:r>
      <w:r>
        <w:rPr>
          <w:rFonts w:cs="宋体" w:asciiTheme="minorEastAsia" w:hAnsiTheme="minorEastAsia" w:eastAsiaTheme="minorEastAsia"/>
          <w:color w:val="171717" w:themeColor="background2" w:themeShade="1A"/>
          <w:kern w:val="0"/>
          <w:sz w:val="28"/>
          <w:szCs w:val="28"/>
        </w:rPr>
        <w:t>1</w:t>
      </w:r>
      <w:r>
        <w:rPr>
          <w:rFonts w:hint="eastAsia" w:cs="宋体" w:asciiTheme="minorEastAsia" w:hAnsiTheme="minorEastAsia" w:eastAsiaTheme="minorEastAsia"/>
          <w:color w:val="171717" w:themeColor="background2" w:themeShade="1A"/>
          <w:kern w:val="0"/>
          <w:sz w:val="28"/>
          <w:szCs w:val="28"/>
        </w:rPr>
        <w:t>辆，价值</w:t>
      </w:r>
      <w:r>
        <w:rPr>
          <w:rFonts w:cs="宋体" w:asciiTheme="minorEastAsia" w:hAnsiTheme="minorEastAsia" w:eastAsiaTheme="minorEastAsia"/>
          <w:color w:val="171717" w:themeColor="background2" w:themeShade="1A"/>
          <w:kern w:val="0"/>
          <w:sz w:val="28"/>
          <w:szCs w:val="28"/>
        </w:rPr>
        <w:t>15.71</w:t>
      </w:r>
      <w:r>
        <w:rPr>
          <w:rFonts w:hint="eastAsia" w:cs="宋体" w:asciiTheme="minorEastAsia" w:hAnsiTheme="minorEastAsia" w:eastAsiaTheme="minorEastAsia"/>
          <w:color w:val="171717" w:themeColor="background2" w:themeShade="1A"/>
          <w:kern w:val="0"/>
          <w:sz w:val="28"/>
          <w:szCs w:val="28"/>
        </w:rPr>
        <w:t>万元；其中：一般公务用车</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辆，价值</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万元；执法执勤用车</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辆，价值</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万元；其他车辆</w:t>
      </w:r>
      <w:r>
        <w:rPr>
          <w:rFonts w:cs="宋体" w:asciiTheme="minorEastAsia" w:hAnsiTheme="minorEastAsia" w:eastAsiaTheme="minorEastAsia"/>
          <w:color w:val="171717" w:themeColor="background2" w:themeShade="1A"/>
          <w:kern w:val="0"/>
          <w:sz w:val="28"/>
          <w:szCs w:val="28"/>
        </w:rPr>
        <w:t>1</w:t>
      </w:r>
      <w:r>
        <w:rPr>
          <w:rFonts w:hint="eastAsia" w:cs="宋体" w:asciiTheme="minorEastAsia" w:hAnsiTheme="minorEastAsia" w:eastAsiaTheme="minorEastAsia"/>
          <w:color w:val="171717" w:themeColor="background2" w:themeShade="1A"/>
          <w:kern w:val="0"/>
          <w:sz w:val="28"/>
          <w:szCs w:val="28"/>
        </w:rPr>
        <w:t>辆，价值</w:t>
      </w:r>
      <w:r>
        <w:rPr>
          <w:rFonts w:cs="宋体" w:asciiTheme="minorEastAsia" w:hAnsiTheme="minorEastAsia" w:eastAsiaTheme="minorEastAsia"/>
          <w:color w:val="171717" w:themeColor="background2" w:themeShade="1A"/>
          <w:kern w:val="0"/>
          <w:sz w:val="28"/>
          <w:szCs w:val="28"/>
        </w:rPr>
        <w:t>15.71</w:t>
      </w:r>
      <w:r>
        <w:rPr>
          <w:rFonts w:hint="eastAsia" w:cs="宋体" w:asciiTheme="minorEastAsia" w:hAnsiTheme="minorEastAsia" w:eastAsiaTheme="minorEastAsia"/>
          <w:color w:val="171717" w:themeColor="background2" w:themeShade="1A"/>
          <w:kern w:val="0"/>
          <w:sz w:val="28"/>
          <w:szCs w:val="28"/>
        </w:rPr>
        <w:t>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cs="宋体" w:asciiTheme="minorEastAsia" w:hAnsiTheme="minorEastAsia" w:eastAsiaTheme="minorEastAsia"/>
          <w:color w:val="171717" w:themeColor="background2" w:themeShade="1A"/>
          <w:kern w:val="0"/>
          <w:sz w:val="28"/>
          <w:szCs w:val="28"/>
        </w:rPr>
        <w:t>3</w:t>
      </w:r>
      <w:r>
        <w:rPr>
          <w:rFonts w:hint="eastAsia" w:cs="宋体" w:asciiTheme="minorEastAsia" w:hAnsiTheme="minorEastAsia" w:eastAsiaTheme="minorEastAsia"/>
          <w:color w:val="171717" w:themeColor="background2" w:themeShade="1A"/>
          <w:kern w:val="0"/>
          <w:sz w:val="28"/>
          <w:szCs w:val="28"/>
        </w:rPr>
        <w:t>.其他资产（含</w:t>
      </w:r>
      <w:r>
        <w:rPr>
          <w:rFonts w:cs="宋体" w:asciiTheme="minorEastAsia" w:hAnsiTheme="minorEastAsia" w:eastAsiaTheme="minorEastAsia"/>
          <w:color w:val="171717" w:themeColor="background2" w:themeShade="1A"/>
          <w:kern w:val="0"/>
          <w:sz w:val="28"/>
          <w:szCs w:val="28"/>
        </w:rPr>
        <w:t>办公家具</w:t>
      </w:r>
      <w:r>
        <w:rPr>
          <w:rFonts w:hint="eastAsia" w:cs="宋体" w:asciiTheme="minorEastAsia" w:hAnsiTheme="minorEastAsia" w:eastAsiaTheme="minorEastAsia"/>
          <w:color w:val="171717" w:themeColor="background2" w:themeShade="1A"/>
          <w:kern w:val="0"/>
          <w:sz w:val="28"/>
          <w:szCs w:val="28"/>
        </w:rPr>
        <w:t>）价值472.51万元。</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单位价值50万元以上大型设备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台（套），单位价值100万元以上大型设备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2016年部门预算未安排购置车辆经费，安排购置50万元以上大型设备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台（套），单位价值100万元以上大型设备</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台（套）。</w:t>
      </w:r>
    </w:p>
    <w:p>
      <w:pPr>
        <w:pStyle w:val="4"/>
        <w:ind w:firstLine="643"/>
        <w:rPr>
          <w:rFonts w:ascii="楷体" w:hAnsi="楷体" w:eastAsia="楷体"/>
          <w:color w:val="171717" w:themeColor="background2" w:themeShade="1A"/>
          <w:sz w:val="32"/>
        </w:rPr>
      </w:pPr>
      <w:r>
        <w:rPr>
          <w:rFonts w:hint="eastAsia" w:ascii="楷体" w:hAnsi="楷体" w:eastAsia="楷体"/>
          <w:color w:val="171717" w:themeColor="background2" w:themeShade="1A"/>
          <w:sz w:val="32"/>
        </w:rPr>
        <w:t>（三）预算绩效情况</w:t>
      </w:r>
    </w:p>
    <w:p>
      <w:pPr>
        <w:widowControl/>
        <w:spacing w:line="560" w:lineRule="exact"/>
        <w:ind w:firstLine="560" w:firstLineChars="200"/>
        <w:jc w:val="left"/>
        <w:rPr>
          <w:rFonts w:cs="宋体" w:asciiTheme="minorEastAsia" w:hAnsiTheme="minorEastAsia" w:eastAsiaTheme="minorEastAsia"/>
          <w:color w:val="171717" w:themeColor="background2" w:themeShade="1A"/>
          <w:kern w:val="0"/>
          <w:sz w:val="28"/>
          <w:szCs w:val="28"/>
        </w:rPr>
      </w:pPr>
      <w:r>
        <w:rPr>
          <w:rFonts w:hint="eastAsia" w:cs="宋体" w:asciiTheme="minorEastAsia" w:hAnsiTheme="minorEastAsia" w:eastAsiaTheme="minorEastAsia"/>
          <w:color w:val="171717" w:themeColor="background2" w:themeShade="1A"/>
          <w:kern w:val="0"/>
          <w:sz w:val="28"/>
          <w:szCs w:val="28"/>
        </w:rPr>
        <w:t>2016年度，本年度实行绩效管理的项目</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个，涉及预算金额</w:t>
      </w:r>
      <w:r>
        <w:rPr>
          <w:rFonts w:cs="宋体" w:asciiTheme="minorEastAsia" w:hAnsiTheme="minorEastAsia" w:eastAsiaTheme="minorEastAsia"/>
          <w:color w:val="171717" w:themeColor="background2" w:themeShade="1A"/>
          <w:kern w:val="0"/>
          <w:sz w:val="28"/>
          <w:szCs w:val="28"/>
        </w:rPr>
        <w:t>0</w:t>
      </w:r>
      <w:r>
        <w:rPr>
          <w:rFonts w:hint="eastAsia" w:cs="宋体" w:asciiTheme="minorEastAsia" w:hAnsiTheme="minorEastAsia" w:eastAsiaTheme="minorEastAsia"/>
          <w:color w:val="171717" w:themeColor="background2" w:themeShade="1A"/>
          <w:kern w:val="0"/>
          <w:sz w:val="28"/>
          <w:szCs w:val="28"/>
        </w:rPr>
        <w:t>万元。具体情况见下表（按项目分别填报）：</w:t>
      </w:r>
    </w:p>
    <w:p>
      <w:pPr>
        <w:spacing w:line="300" w:lineRule="auto"/>
        <w:jc w:val="center"/>
        <w:rPr>
          <w:rFonts w:cs="宋体" w:asciiTheme="minorEastAsia" w:hAnsiTheme="minorEastAsia" w:eastAsiaTheme="minorEastAsia"/>
          <w:b/>
          <w:color w:val="171717" w:themeColor="background2" w:themeShade="1A"/>
          <w:kern w:val="0"/>
          <w:sz w:val="36"/>
          <w:szCs w:val="36"/>
        </w:rPr>
      </w:pPr>
      <w:r>
        <w:rPr>
          <w:rFonts w:hint="eastAsia" w:cs="宋体" w:asciiTheme="minorEastAsia" w:hAnsiTheme="minorEastAsia" w:eastAsiaTheme="minorEastAsia"/>
          <w:b/>
          <w:color w:val="171717" w:themeColor="background2" w:themeShade="1A"/>
          <w:kern w:val="0"/>
          <w:sz w:val="36"/>
          <w:szCs w:val="36"/>
        </w:rPr>
        <w:t>财政支出绩效目标申报表</w:t>
      </w:r>
    </w:p>
    <w:p>
      <w:pPr>
        <w:spacing w:line="300" w:lineRule="auto"/>
        <w:jc w:val="center"/>
        <w:rPr>
          <w:rFonts w:ascii="仿宋_GB2312" w:eastAsia="仿宋_GB2312" w:cs="宋体" w:hAnsiTheme="minorEastAsia"/>
          <w:color w:val="171717" w:themeColor="background2" w:themeShade="1A"/>
          <w:kern w:val="0"/>
          <w:sz w:val="36"/>
          <w:szCs w:val="36"/>
        </w:rPr>
      </w:pPr>
      <w:r>
        <w:rPr>
          <w:rFonts w:hint="eastAsia" w:ascii="仿宋_GB2312" w:eastAsia="仿宋_GB2312" w:cs="宋体" w:hAnsiTheme="minorEastAsia"/>
          <w:color w:val="171717" w:themeColor="background2" w:themeShade="1A"/>
          <w:kern w:val="0"/>
          <w:sz w:val="36"/>
          <w:szCs w:val="36"/>
        </w:rPr>
        <w:t>（   年度）</w:t>
      </w:r>
    </w:p>
    <w:p>
      <w:pPr>
        <w:spacing w:line="300" w:lineRule="auto"/>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填报单位：</w:t>
      </w:r>
    </w:p>
    <w:tbl>
      <w:tblPr>
        <w:tblStyle w:val="13"/>
        <w:tblW w:w="9229" w:type="dxa"/>
        <w:tblInd w:w="93" w:type="dxa"/>
        <w:tblLayout w:type="fixed"/>
        <w:tblCellMar>
          <w:top w:w="0" w:type="dxa"/>
          <w:left w:w="108" w:type="dxa"/>
          <w:bottom w:w="0" w:type="dxa"/>
          <w:right w:w="108" w:type="dxa"/>
        </w:tblCellMar>
      </w:tblPr>
      <w:tblGrid>
        <w:gridCol w:w="1960"/>
        <w:gridCol w:w="2166"/>
        <w:gridCol w:w="74"/>
        <w:gridCol w:w="1780"/>
        <w:gridCol w:w="222"/>
        <w:gridCol w:w="476"/>
        <w:gridCol w:w="1559"/>
        <w:gridCol w:w="992"/>
      </w:tblGrid>
      <w:tr>
        <w:tblPrEx>
          <w:tblLayout w:type="fixed"/>
          <w:tblCellMar>
            <w:top w:w="0" w:type="dxa"/>
            <w:left w:w="108" w:type="dxa"/>
            <w:bottom w:w="0" w:type="dxa"/>
            <w:right w:w="108" w:type="dxa"/>
          </w:tblCellMar>
        </w:tblPrEx>
        <w:trPr>
          <w:trHeight w:val="556"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项目名称</w:t>
            </w:r>
          </w:p>
        </w:tc>
        <w:tc>
          <w:tcPr>
            <w:tcW w:w="2166" w:type="dxa"/>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single" w:color="auto" w:sz="4" w:space="0"/>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项目属性</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新增项目□    延续项目□</w:t>
            </w:r>
          </w:p>
        </w:tc>
      </w:tr>
      <w:tr>
        <w:tblPrEx>
          <w:tblLayout w:type="fixed"/>
          <w:tblCellMar>
            <w:top w:w="0" w:type="dxa"/>
            <w:left w:w="108" w:type="dxa"/>
            <w:bottom w:w="0" w:type="dxa"/>
            <w:right w:w="108" w:type="dxa"/>
          </w:tblCellMar>
        </w:tblPrEx>
        <w:trPr>
          <w:trHeight w:val="564"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主管部门</w:t>
            </w:r>
          </w:p>
        </w:tc>
        <w:tc>
          <w:tcPr>
            <w:tcW w:w="2166"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项目实施单位</w:t>
            </w:r>
          </w:p>
        </w:tc>
        <w:tc>
          <w:tcPr>
            <w:tcW w:w="3249" w:type="dxa"/>
            <w:gridSpan w:val="4"/>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项目起止时间</w:t>
            </w:r>
          </w:p>
        </w:tc>
        <w:tc>
          <w:tcPr>
            <w:tcW w:w="2166"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854"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项目负责人</w:t>
            </w:r>
          </w:p>
        </w:tc>
        <w:tc>
          <w:tcPr>
            <w:tcW w:w="698"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1559"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联系电话</w:t>
            </w:r>
          </w:p>
        </w:tc>
        <w:tc>
          <w:tcPr>
            <w:tcW w:w="992" w:type="dxa"/>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nil"/>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项目资金（万元）</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资金总额</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财政拨款</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自有资金</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经营性收入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其他收入</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nil"/>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其他</w:t>
            </w:r>
          </w:p>
        </w:tc>
      </w:tr>
      <w:tr>
        <w:tblPrEx>
          <w:tblLayout w:type="fixed"/>
          <w:tblCellMar>
            <w:top w:w="0" w:type="dxa"/>
            <w:left w:w="108" w:type="dxa"/>
            <w:bottom w:w="0" w:type="dxa"/>
            <w:right w:w="108" w:type="dxa"/>
          </w:tblCellMar>
        </w:tblPrEx>
        <w:trPr>
          <w:trHeight w:val="600" w:hRule="atLeast"/>
        </w:trPr>
        <w:tc>
          <w:tcPr>
            <w:tcW w:w="1960" w:type="dxa"/>
            <w:tcBorders>
              <w:top w:val="single" w:color="auto" w:sz="4" w:space="0"/>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单位职能阐述</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spacing w:line="300" w:lineRule="auto"/>
              <w:rPr>
                <w:rFonts w:ascii="仿宋_GB2312" w:eastAsia="仿宋_GB2312" w:cs="宋体" w:hAnsiTheme="minorEastAsia"/>
                <w:color w:val="171717" w:themeColor="background2" w:themeShade="1A"/>
                <w:sz w:val="24"/>
              </w:rPr>
            </w:pPr>
          </w:p>
        </w:tc>
      </w:tr>
      <w:tr>
        <w:tblPrEx>
          <w:tblLayout w:type="fixed"/>
          <w:tblCellMar>
            <w:top w:w="0" w:type="dxa"/>
            <w:left w:w="108" w:type="dxa"/>
            <w:bottom w:w="0" w:type="dxa"/>
            <w:right w:w="108" w:type="dxa"/>
          </w:tblCellMar>
        </w:tblPrEx>
        <w:trPr>
          <w:trHeight w:val="553" w:hRule="atLeast"/>
        </w:trPr>
        <w:tc>
          <w:tcPr>
            <w:tcW w:w="1960" w:type="dxa"/>
            <w:tcBorders>
              <w:top w:val="nil"/>
              <w:left w:val="single" w:color="auto" w:sz="4" w:space="0"/>
              <w:bottom w:val="single" w:color="auto"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项目概况</w:t>
            </w:r>
          </w:p>
        </w:tc>
        <w:tc>
          <w:tcPr>
            <w:tcW w:w="7269" w:type="dxa"/>
            <w:gridSpan w:val="7"/>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项目立项情况</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项目立项的依据</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项目申报的可行性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项目申报的必要性</w:t>
            </w:r>
          </w:p>
        </w:tc>
        <w:tc>
          <w:tcPr>
            <w:tcW w:w="5029" w:type="dxa"/>
            <w:gridSpan w:val="5"/>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90" w:hRule="atLeast"/>
        </w:trPr>
        <w:tc>
          <w:tcPr>
            <w:tcW w:w="1960" w:type="dxa"/>
            <w:vMerge w:val="restart"/>
            <w:tcBorders>
              <w:top w:val="nil"/>
              <w:left w:val="single" w:color="auto" w:sz="4" w:space="0"/>
              <w:bottom w:val="single" w:color="000000" w:sz="4" w:space="0"/>
              <w:right w:val="single" w:color="auto"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项目实施进度计划</w:t>
            </w: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项目实施内容</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开始时间</w:t>
            </w: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完成时间</w:t>
            </w: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1、</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20"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2、</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r>
        <w:tblPrEx>
          <w:tblLayout w:type="fixed"/>
          <w:tblCellMar>
            <w:top w:w="0" w:type="dxa"/>
            <w:left w:w="108" w:type="dxa"/>
            <w:bottom w:w="0" w:type="dxa"/>
            <w:right w:w="108" w:type="dxa"/>
          </w:tblCellMar>
        </w:tblPrEx>
        <w:trPr>
          <w:trHeight w:val="457" w:hRule="atLeast"/>
        </w:trPr>
        <w:tc>
          <w:tcPr>
            <w:tcW w:w="1960" w:type="dxa"/>
            <w:vMerge w:val="continue"/>
            <w:tcBorders>
              <w:top w:val="nil"/>
              <w:left w:val="single" w:color="auto" w:sz="4" w:space="0"/>
              <w:bottom w:val="single" w:color="000000" w:sz="4" w:space="0"/>
              <w:right w:val="single" w:color="auto" w:sz="4" w:space="0"/>
            </w:tcBorders>
            <w:vAlign w:val="center"/>
          </w:tcPr>
          <w:p>
            <w:pPr>
              <w:widowControl/>
              <w:spacing w:line="300" w:lineRule="auto"/>
              <w:jc w:val="left"/>
              <w:rPr>
                <w:rFonts w:ascii="仿宋_GB2312" w:eastAsia="仿宋_GB2312" w:cs="宋体" w:hAnsiTheme="minorEastAsia"/>
                <w:color w:val="171717" w:themeColor="background2" w:themeShade="1A"/>
                <w:kern w:val="0"/>
                <w:sz w:val="24"/>
              </w:rPr>
            </w:pPr>
          </w:p>
        </w:tc>
        <w:tc>
          <w:tcPr>
            <w:tcW w:w="2240" w:type="dxa"/>
            <w:gridSpan w:val="2"/>
            <w:tcBorders>
              <w:top w:val="nil"/>
              <w:left w:val="nil"/>
              <w:bottom w:val="single" w:color="auto" w:sz="4" w:space="0"/>
              <w:right w:val="single" w:color="auto" w:sz="4" w:space="0"/>
            </w:tcBorders>
            <w:shd w:val="clear" w:color="auto" w:fill="auto"/>
            <w:noWrap/>
            <w:vAlign w:val="center"/>
          </w:tcPr>
          <w:p>
            <w:pPr>
              <w:widowControl/>
              <w:spacing w:line="300" w:lineRule="auto"/>
              <w:jc w:val="left"/>
              <w:rPr>
                <w:rFonts w:ascii="仿宋_GB2312" w:eastAsia="仿宋_GB2312" w:cs="宋体" w:hAnsiTheme="minorEastAsia"/>
                <w:color w:val="171717" w:themeColor="background2" w:themeShade="1A"/>
                <w:kern w:val="0"/>
                <w:sz w:val="24"/>
              </w:rPr>
            </w:pPr>
            <w:r>
              <w:rPr>
                <w:rFonts w:hint="eastAsia" w:ascii="仿宋_GB2312" w:eastAsia="仿宋_GB2312" w:cs="宋体" w:hAnsiTheme="minorEastAsia"/>
                <w:color w:val="171717" w:themeColor="background2" w:themeShade="1A"/>
                <w:kern w:val="0"/>
                <w:sz w:val="24"/>
              </w:rPr>
              <w:t>……</w:t>
            </w:r>
          </w:p>
        </w:tc>
        <w:tc>
          <w:tcPr>
            <w:tcW w:w="2002" w:type="dxa"/>
            <w:gridSpan w:val="2"/>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c>
          <w:tcPr>
            <w:tcW w:w="3027" w:type="dxa"/>
            <w:gridSpan w:val="3"/>
            <w:tcBorders>
              <w:top w:val="single" w:color="auto" w:sz="4" w:space="0"/>
              <w:left w:val="nil"/>
              <w:bottom w:val="single" w:color="auto" w:sz="4" w:space="0"/>
              <w:right w:val="single" w:color="000000" w:sz="4" w:space="0"/>
            </w:tcBorders>
            <w:shd w:val="clear" w:color="auto" w:fill="auto"/>
            <w:noWrap/>
            <w:vAlign w:val="center"/>
          </w:tcPr>
          <w:p>
            <w:pPr>
              <w:widowControl/>
              <w:spacing w:line="300" w:lineRule="auto"/>
              <w:jc w:val="center"/>
              <w:rPr>
                <w:rFonts w:ascii="仿宋_GB2312" w:eastAsia="仿宋_GB2312" w:cs="宋体" w:hAnsiTheme="minorEastAsia"/>
                <w:color w:val="171717" w:themeColor="background2" w:themeShade="1A"/>
                <w:kern w:val="0"/>
                <w:sz w:val="24"/>
              </w:rPr>
            </w:pPr>
          </w:p>
        </w:tc>
      </w:tr>
    </w:tbl>
    <w:p>
      <w:pPr>
        <w:rPr>
          <w:color w:val="171717" w:themeColor="background2" w:themeShade="1A"/>
        </w:rPr>
      </w:pPr>
    </w:p>
    <w:p>
      <w:pPr>
        <w:rPr>
          <w:color w:val="171717" w:themeColor="background2" w:themeShade="1A"/>
        </w:rPr>
      </w:pPr>
    </w:p>
    <w:p>
      <w:pPr>
        <w:rPr>
          <w:color w:val="171717" w:themeColor="background2" w:themeShade="1A"/>
        </w:rPr>
      </w:pPr>
    </w:p>
    <w:p>
      <w:pPr>
        <w:rPr>
          <w:color w:val="171717" w:themeColor="background2" w:themeShade="1A"/>
        </w:rPr>
      </w:pPr>
    </w:p>
    <w:p>
      <w:pPr>
        <w:rPr>
          <w:color w:val="171717" w:themeColor="background2" w:themeShade="1A"/>
        </w:rPr>
      </w:pPr>
    </w:p>
    <w:p>
      <w:pPr>
        <w:rPr>
          <w:rFonts w:ascii="楷体" w:hAnsi="楷体" w:eastAsia="楷体"/>
          <w:b/>
          <w:color w:val="171717" w:themeColor="background2" w:themeShade="1A"/>
          <w:sz w:val="32"/>
          <w:szCs w:val="32"/>
        </w:rPr>
      </w:pPr>
      <w:r>
        <w:rPr>
          <w:rFonts w:hint="eastAsia" w:ascii="楷体" w:hAnsi="楷体" w:eastAsia="楷体"/>
          <w:b/>
          <w:color w:val="171717" w:themeColor="background2" w:themeShade="1A"/>
          <w:sz w:val="32"/>
          <w:szCs w:val="32"/>
        </w:rPr>
        <w:t>（四）其他需说明的事项</w:t>
      </w:r>
    </w:p>
    <w:p>
      <w:pPr>
        <w:spacing w:line="560" w:lineRule="exact"/>
        <w:ind w:firstLine="560" w:firstLineChars="200"/>
        <w:jc w:val="left"/>
        <w:rPr>
          <w:color w:val="171717" w:themeColor="background2" w:themeShade="1A"/>
          <w:sz w:val="28"/>
          <w:szCs w:val="28"/>
        </w:rPr>
      </w:pPr>
      <w:r>
        <w:rPr>
          <w:rFonts w:hint="eastAsia"/>
          <w:color w:val="171717" w:themeColor="background2" w:themeShade="1A"/>
          <w:sz w:val="28"/>
          <w:szCs w:val="28"/>
        </w:rPr>
        <w:t>……</w:t>
      </w:r>
    </w:p>
    <w:p>
      <w:pPr>
        <w:pStyle w:val="2"/>
        <w:spacing w:before="312"/>
        <w:rPr>
          <w:rFonts w:ascii="黑体" w:hAnsi="黑体" w:eastAsia="黑体"/>
          <w:b w:val="0"/>
          <w:color w:val="171717" w:themeColor="background2" w:themeShade="1A"/>
          <w:szCs w:val="32"/>
        </w:rPr>
      </w:pPr>
      <w:r>
        <w:rPr>
          <w:rFonts w:hint="eastAsia" w:ascii="黑体" w:hAnsi="黑体" w:eastAsia="黑体"/>
          <w:b w:val="0"/>
          <w:color w:val="171717" w:themeColor="background2" w:themeShade="1A"/>
          <w:szCs w:val="32"/>
        </w:rPr>
        <w:t>第四部分名词解释</w:t>
      </w:r>
    </w:p>
    <w:p>
      <w:pPr>
        <w:widowControl/>
        <w:spacing w:line="300" w:lineRule="auto"/>
        <w:ind w:firstLine="640"/>
        <w:jc w:val="left"/>
        <w:rPr>
          <w:rFonts w:ascii="黑体" w:hAnsi="黑体" w:eastAsia="黑体" w:cs="宋体"/>
          <w:color w:val="171717" w:themeColor="background2" w:themeShade="1A"/>
          <w:kern w:val="0"/>
          <w:sz w:val="32"/>
          <w:szCs w:val="32"/>
        </w:rPr>
      </w:pPr>
      <w:r>
        <w:rPr>
          <w:rFonts w:hint="eastAsia" w:ascii="黑体" w:hAnsi="黑体" w:eastAsia="黑体" w:cs="宋体"/>
          <w:color w:val="171717" w:themeColor="background2" w:themeShade="1A"/>
          <w:kern w:val="0"/>
          <w:sz w:val="32"/>
          <w:szCs w:val="32"/>
        </w:rPr>
        <w:t>名词解释：</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一、财政拨款：</w:t>
      </w:r>
      <w:r>
        <w:rPr>
          <w:rFonts w:hint="eastAsia" w:asciiTheme="minorEastAsia" w:hAnsiTheme="minorEastAsia" w:eastAsiaTheme="minorEastAsia"/>
          <w:color w:val="171717" w:themeColor="background2" w:themeShade="1A"/>
          <w:sz w:val="28"/>
          <w:szCs w:val="28"/>
        </w:rPr>
        <w:t>指由一般公共预算、政府性基金预算安排的财政拨款数。</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二、一般公共预算：</w:t>
      </w:r>
      <w:r>
        <w:rPr>
          <w:rFonts w:hint="eastAsia" w:asciiTheme="minorEastAsia" w:hAnsiTheme="minorEastAsia" w:eastAsiaTheme="minorEastAsia"/>
          <w:color w:val="171717" w:themeColor="background2" w:themeShade="1A"/>
          <w:sz w:val="28"/>
          <w:szCs w:val="28"/>
        </w:rPr>
        <w:t>包括公共财政拨款（补助）资金、专项收入。</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三、非税收入：</w:t>
      </w:r>
      <w:r>
        <w:rPr>
          <w:rFonts w:hint="eastAsia" w:asciiTheme="minorEastAsia" w:hAnsiTheme="minorEastAsia" w:eastAsiaTheme="minorEastAsia"/>
          <w:color w:val="171717" w:themeColor="background2" w:themeShade="1A"/>
          <w:sz w:val="28"/>
          <w:szCs w:val="28"/>
        </w:rPr>
        <w:t>包括罚没收入、国有资源（资产）有偿使用收入、行政事业性收费收入等。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四、其他资金：</w:t>
      </w:r>
      <w:r>
        <w:rPr>
          <w:rFonts w:hint="eastAsia" w:asciiTheme="minorEastAsia" w:hAnsiTheme="minorEastAsia" w:eastAsiaTheme="minorEastAsia"/>
          <w:color w:val="171717" w:themeColor="background2" w:themeShade="1A"/>
          <w:sz w:val="28"/>
          <w:szCs w:val="28"/>
        </w:rPr>
        <w:t>包括事业收入、经营收入、其他收入等。</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五、基本支出：</w:t>
      </w:r>
      <w:r>
        <w:rPr>
          <w:rFonts w:hint="eastAsia" w:asciiTheme="minorEastAsia" w:hAnsiTheme="minorEastAsia" w:eastAsiaTheme="minorEastAsia"/>
          <w:color w:val="171717" w:themeColor="background2" w:themeShade="1A"/>
          <w:sz w:val="28"/>
          <w:szCs w:val="28"/>
        </w:rPr>
        <w:t>包括人员经费、商品和服务支出（定额）。其中，人员经费包括工资福利支出、对个人和家庭的补助。</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六、项目支出：</w:t>
      </w:r>
      <w:r>
        <w:rPr>
          <w:rFonts w:hint="eastAsia" w:asciiTheme="minorEastAsia" w:hAnsiTheme="minorEastAsia" w:eastAsiaTheme="minorEastAsia"/>
          <w:color w:val="171717" w:themeColor="background2" w:themeShade="1A"/>
          <w:sz w:val="28"/>
          <w:szCs w:val="28"/>
        </w:rPr>
        <w:t>部门支出预算的组成部分，是部门为完成其特定的行政任务或事业发展目标，在基本支出预算之外编制的年度项目支出计划。</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七、“三公”经费：</w:t>
      </w:r>
      <w:r>
        <w:rPr>
          <w:rFonts w:hint="eastAsia" w:asciiTheme="minorEastAsia" w:hAnsiTheme="minorEastAsia" w:eastAsiaTheme="minorEastAsia"/>
          <w:color w:val="171717" w:themeColor="background2" w:themeShade="1A"/>
          <w:sz w:val="28"/>
          <w:szCs w:val="28"/>
        </w:rPr>
        <w:t>指部门用一般公共预算财政拨款安排的因公出国（境）费、公务用车购置及运行费和公务接待费。其中，因公出国（境）费指单位公务出国（境）的住宿费、旅费、伙食补助费、杂费、培训费等支出；公务用车购置及运行费指单位公务用车购置费及租用费、燃料费、维修费、过路过桥费、保险费、安全奖励费用等支出；公务接待费指单位按规定开支的各类公务接待（含外宾接待）支出。</w:t>
      </w:r>
    </w:p>
    <w:p>
      <w:pPr>
        <w:spacing w:line="560" w:lineRule="exact"/>
        <w:ind w:firstLine="640" w:firstLineChars="200"/>
        <w:jc w:val="left"/>
        <w:rPr>
          <w:rFonts w:asciiTheme="minorEastAsia" w:hAnsiTheme="minorEastAsia" w:eastAsiaTheme="minorEastAsia"/>
          <w:color w:val="171717" w:themeColor="background2" w:themeShade="1A"/>
          <w:sz w:val="28"/>
          <w:szCs w:val="28"/>
        </w:rPr>
      </w:pPr>
      <w:r>
        <w:rPr>
          <w:rFonts w:hint="eastAsia" w:ascii="黑体" w:hAnsi="黑体" w:eastAsia="黑体"/>
          <w:color w:val="171717" w:themeColor="background2" w:themeShade="1A"/>
          <w:sz w:val="32"/>
          <w:szCs w:val="32"/>
        </w:rPr>
        <w:t>八、机关运行经费：</w:t>
      </w:r>
      <w:r>
        <w:rPr>
          <w:rFonts w:hint="eastAsia" w:asciiTheme="minorEastAsia" w:hAnsiTheme="minorEastAsia" w:eastAsiaTheme="minorEastAsia"/>
          <w:color w:val="171717" w:themeColor="background2" w:themeShade="1A"/>
          <w:sz w:val="28"/>
          <w:szCs w:val="28"/>
        </w:rPr>
        <w:t>指部门的公用经费，包括办公及印刷费、邮电费、差旅费、会议费、福利费、日常维修费、专用材料及一般设备购置费、办公用房水电费、办公用房取暖费、办公用房物业管理费、公务用车运行维护费及其他费用。</w:t>
      </w: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乌鲁木齐市第八十七中</w:t>
      </w:r>
    </w:p>
    <w:p>
      <w:pPr>
        <w:widowControl/>
        <w:spacing w:line="300" w:lineRule="auto"/>
        <w:jc w:val="right"/>
        <w:rPr>
          <w:rFonts w:ascii="仿宋_GB2312" w:eastAsia="仿宋_GB2312" w:cs="宋体" w:hAnsiTheme="minorEastAsia"/>
          <w:color w:val="171717" w:themeColor="background2" w:themeShade="1A"/>
          <w:kern w:val="0"/>
          <w:sz w:val="32"/>
          <w:szCs w:val="32"/>
        </w:rPr>
      </w:pPr>
      <w:r>
        <w:rPr>
          <w:rFonts w:hint="eastAsia" w:ascii="仿宋_GB2312" w:eastAsia="仿宋_GB2312" w:cs="宋体" w:hAnsiTheme="minorEastAsia"/>
          <w:color w:val="171717" w:themeColor="background2" w:themeShade="1A"/>
          <w:kern w:val="0"/>
          <w:sz w:val="32"/>
          <w:szCs w:val="32"/>
        </w:rPr>
        <w:t>201</w:t>
      </w:r>
      <w:r>
        <w:rPr>
          <w:rFonts w:hint="eastAsia" w:ascii="仿宋_GB2312" w:eastAsia="仿宋_GB2312" w:cs="宋体" w:hAnsiTheme="minorEastAsia"/>
          <w:color w:val="171717" w:themeColor="background2" w:themeShade="1A"/>
          <w:kern w:val="0"/>
          <w:sz w:val="32"/>
          <w:szCs w:val="32"/>
          <w:lang w:val="en-US" w:eastAsia="zh-CN"/>
        </w:rPr>
        <w:t>8</w:t>
      </w:r>
      <w:r>
        <w:rPr>
          <w:rFonts w:hint="eastAsia" w:ascii="仿宋_GB2312" w:eastAsia="仿宋_GB2312" w:cs="宋体" w:hAnsiTheme="minorEastAsia"/>
          <w:color w:val="171717" w:themeColor="background2" w:themeShade="1A"/>
          <w:kern w:val="0"/>
          <w:sz w:val="32"/>
          <w:szCs w:val="32"/>
        </w:rPr>
        <w:t>年</w:t>
      </w:r>
      <w:r>
        <w:rPr>
          <w:rFonts w:hint="eastAsia" w:ascii="仿宋_GB2312" w:eastAsia="仿宋_GB2312" w:cs="宋体" w:hAnsiTheme="minorEastAsia"/>
          <w:color w:val="171717" w:themeColor="background2" w:themeShade="1A"/>
          <w:kern w:val="0"/>
          <w:sz w:val="32"/>
          <w:szCs w:val="32"/>
          <w:lang w:val="en-US" w:eastAsia="zh-CN"/>
        </w:rPr>
        <w:t>1</w:t>
      </w:r>
      <w:r>
        <w:rPr>
          <w:rFonts w:hint="eastAsia" w:ascii="仿宋_GB2312" w:eastAsia="仿宋_GB2312" w:cs="宋体" w:hAnsiTheme="minorEastAsia"/>
          <w:color w:val="171717" w:themeColor="background2" w:themeShade="1A"/>
          <w:kern w:val="0"/>
          <w:sz w:val="32"/>
          <w:szCs w:val="32"/>
        </w:rPr>
        <w:t>2月</w:t>
      </w:r>
      <w:r>
        <w:rPr>
          <w:rFonts w:hint="eastAsia" w:ascii="仿宋_GB2312" w:eastAsia="仿宋_GB2312" w:cs="宋体" w:hAnsiTheme="minorEastAsia"/>
          <w:color w:val="171717" w:themeColor="background2" w:themeShade="1A"/>
          <w:kern w:val="0"/>
          <w:sz w:val="32"/>
          <w:szCs w:val="32"/>
          <w:lang w:val="en-US" w:eastAsia="zh-CN"/>
        </w:rPr>
        <w:t>16</w:t>
      </w:r>
      <w:r>
        <w:rPr>
          <w:rFonts w:hint="eastAsia" w:ascii="仿宋_GB2312" w:eastAsia="仿宋_GB2312" w:cs="宋体" w:hAnsiTheme="minorEastAsia"/>
          <w:color w:val="171717" w:themeColor="background2" w:themeShade="1A"/>
          <w:kern w:val="0"/>
          <w:sz w:val="32"/>
          <w:szCs w:val="32"/>
        </w:rPr>
        <w:t>日</w:t>
      </w:r>
    </w:p>
    <w:p>
      <w:pPr>
        <w:widowControl/>
        <w:spacing w:line="300" w:lineRule="auto"/>
        <w:jc w:val="left"/>
        <w:rPr>
          <w:rFonts w:ascii="仿宋_GB2312" w:eastAsia="仿宋_GB2312" w:hAnsiTheme="minorEastAsia"/>
          <w:sz w:val="32"/>
          <w:szCs w:val="32"/>
        </w:rPr>
      </w:pPr>
    </w:p>
    <w:p/>
    <w:p>
      <w:bookmarkStart w:id="0" w:name="_GoBack"/>
      <w:bookmarkEnd w:id="0"/>
    </w:p>
    <w:sectPr>
      <w:headerReference r:id="rId8" w:type="first"/>
      <w:footerReference r:id="rId11" w:type="first"/>
      <w:headerReference r:id="rId6" w:type="default"/>
      <w:footerReference r:id="rId9" w:type="default"/>
      <w:headerReference r:id="rId7" w:type="even"/>
      <w:footerReference r:id="rId10" w:type="even"/>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Calibri Light">
    <w:altName w:val="Calibri"/>
    <w:panose1 w:val="020F0302020204030204"/>
    <w:charset w:val="00"/>
    <w:family w:val="swiss"/>
    <w:pitch w:val="default"/>
    <w:sig w:usb0="00000000" w:usb1="00000000" w:usb2="00000000" w:usb3="00000000" w:csb0="0000019F" w:csb1="00000000"/>
  </w:font>
  <w:font w:name="Helvetica">
    <w:altName w:val="Arial"/>
    <w:panose1 w:val="020B0604020202020204"/>
    <w:charset w:val="00"/>
    <w:family w:val="swiss"/>
    <w:pitch w:val="default"/>
    <w:sig w:usb0="00000000" w:usb1="00000000" w:usb2="00000000" w:usb3="00000000" w:csb0="00000001" w:csb1="00000000"/>
  </w:font>
  <w:font w:name="仿宋_GB2312">
    <w:altName w:val="仿宋"/>
    <w:panose1 w:val="00000000000000000000"/>
    <w:charset w:val="86"/>
    <w:family w:val="modern"/>
    <w:pitch w:val="default"/>
    <w:sig w:usb0="00000000" w:usb1="00000000" w:usb2="00000010" w:usb3="00000000" w:csb0="00040000" w:csb1="00000000"/>
  </w:font>
  <w:font w:name="Arial">
    <w:panose1 w:val="020B0604020202020204"/>
    <w:charset w:val="00"/>
    <w:family w:val="swiss"/>
    <w:pitch w:val="default"/>
    <w:sig w:usb0="E0002AFF" w:usb1="C0007843" w:usb2="00000009" w:usb3="00000000" w:csb0="400001FF" w:csb1="FFFF0000"/>
  </w:font>
  <w:font w:name="楷体">
    <w:panose1 w:val="02010609060101010101"/>
    <w:charset w:val="86"/>
    <w:family w:val="modern"/>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jc w:val="right"/>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12 -</w:t>
    </w:r>
    <w:r>
      <w:rPr>
        <w:rFonts w:ascii="宋体" w:hAnsi="宋体"/>
        <w:sz w:val="28"/>
        <w:szCs w:val="28"/>
      </w:rPr>
      <w:fldChar w:fldCharType="end"/>
    </w:r>
  </w:p>
  <w:p>
    <w:pPr>
      <w:pStyle w:val="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rPr>
        <w:rFonts w:ascii="宋体" w:hAnsi="宋体"/>
        <w:sz w:val="28"/>
        <w:szCs w:val="28"/>
      </w:rPr>
    </w:pPr>
    <w:r>
      <w:rPr>
        <w:rFonts w:ascii="宋体" w:hAnsi="宋体"/>
        <w:sz w:val="28"/>
        <w:szCs w:val="28"/>
      </w:rPr>
      <w:fldChar w:fldCharType="begin"/>
    </w:r>
    <w:r>
      <w:rPr>
        <w:rFonts w:ascii="宋体" w:hAnsi="宋体"/>
        <w:sz w:val="28"/>
        <w:szCs w:val="28"/>
      </w:rPr>
      <w:instrText xml:space="preserve">PAGE   \* MERGEFORMAT</w:instrText>
    </w:r>
    <w:r>
      <w:rPr>
        <w:rFonts w:ascii="宋体" w:hAnsi="宋体"/>
        <w:sz w:val="28"/>
        <w:szCs w:val="28"/>
      </w:rPr>
      <w:fldChar w:fldCharType="separate"/>
    </w:r>
    <w:r>
      <w:rPr>
        <w:rFonts w:ascii="宋体" w:hAnsi="宋体"/>
        <w:sz w:val="28"/>
        <w:szCs w:val="28"/>
        <w:lang w:val="zh-CN"/>
      </w:rPr>
      <w:t>-</w:t>
    </w:r>
    <w:r>
      <w:rPr>
        <w:rFonts w:ascii="宋体" w:hAnsi="宋体"/>
        <w:sz w:val="28"/>
        <w:szCs w:val="28"/>
      </w:rPr>
      <w:t xml:space="preserve"> 1 -</w:t>
    </w:r>
    <w:r>
      <w:rPr>
        <w:rFonts w:ascii="宋体" w:hAnsi="宋体"/>
        <w:sz w:val="28"/>
        <w:szCs w:val="28"/>
      </w:rPr>
      <w:fldChar w:fldCharType="end"/>
    </w:r>
  </w:p>
  <w:p>
    <w:pPr>
      <w:pStyle w:val="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D7B7D"/>
    <w:rsid w:val="00005F05"/>
    <w:rsid w:val="00006529"/>
    <w:rsid w:val="00012D43"/>
    <w:rsid w:val="00015D45"/>
    <w:rsid w:val="00016C10"/>
    <w:rsid w:val="00031DEB"/>
    <w:rsid w:val="00034825"/>
    <w:rsid w:val="00035090"/>
    <w:rsid w:val="0004374F"/>
    <w:rsid w:val="000441EF"/>
    <w:rsid w:val="000460B9"/>
    <w:rsid w:val="00046CDE"/>
    <w:rsid w:val="00053005"/>
    <w:rsid w:val="00053434"/>
    <w:rsid w:val="00054145"/>
    <w:rsid w:val="00054AD7"/>
    <w:rsid w:val="00055966"/>
    <w:rsid w:val="000600E3"/>
    <w:rsid w:val="0007102E"/>
    <w:rsid w:val="00077DB9"/>
    <w:rsid w:val="00084E32"/>
    <w:rsid w:val="00090304"/>
    <w:rsid w:val="0009091C"/>
    <w:rsid w:val="00090B64"/>
    <w:rsid w:val="000A6830"/>
    <w:rsid w:val="000C09DC"/>
    <w:rsid w:val="000C331F"/>
    <w:rsid w:val="000C5E6B"/>
    <w:rsid w:val="000D0A9D"/>
    <w:rsid w:val="000D284E"/>
    <w:rsid w:val="000E045D"/>
    <w:rsid w:val="000E39E7"/>
    <w:rsid w:val="000E4BCA"/>
    <w:rsid w:val="000E502C"/>
    <w:rsid w:val="000E5FA0"/>
    <w:rsid w:val="000F0A32"/>
    <w:rsid w:val="000F1767"/>
    <w:rsid w:val="000F693C"/>
    <w:rsid w:val="00100928"/>
    <w:rsid w:val="00102B4E"/>
    <w:rsid w:val="00104101"/>
    <w:rsid w:val="00105B6B"/>
    <w:rsid w:val="0012097B"/>
    <w:rsid w:val="001214C8"/>
    <w:rsid w:val="00121BC6"/>
    <w:rsid w:val="00123829"/>
    <w:rsid w:val="00123A4B"/>
    <w:rsid w:val="00124A9D"/>
    <w:rsid w:val="00126F2B"/>
    <w:rsid w:val="0013111B"/>
    <w:rsid w:val="00152091"/>
    <w:rsid w:val="00165D0D"/>
    <w:rsid w:val="0016703C"/>
    <w:rsid w:val="00172CDA"/>
    <w:rsid w:val="00174CD5"/>
    <w:rsid w:val="00182A5F"/>
    <w:rsid w:val="00184785"/>
    <w:rsid w:val="00185A32"/>
    <w:rsid w:val="00192A59"/>
    <w:rsid w:val="0019429C"/>
    <w:rsid w:val="001A1377"/>
    <w:rsid w:val="001A365C"/>
    <w:rsid w:val="001A6E89"/>
    <w:rsid w:val="001A768B"/>
    <w:rsid w:val="001B111C"/>
    <w:rsid w:val="001B41ED"/>
    <w:rsid w:val="001C4378"/>
    <w:rsid w:val="001C50C9"/>
    <w:rsid w:val="001C65D6"/>
    <w:rsid w:val="001D57B1"/>
    <w:rsid w:val="001D6DE2"/>
    <w:rsid w:val="001E1D8E"/>
    <w:rsid w:val="001F3C2B"/>
    <w:rsid w:val="001F6839"/>
    <w:rsid w:val="0020016F"/>
    <w:rsid w:val="00200A2B"/>
    <w:rsid w:val="00205D29"/>
    <w:rsid w:val="0021187B"/>
    <w:rsid w:val="002125CC"/>
    <w:rsid w:val="0022110E"/>
    <w:rsid w:val="002219AF"/>
    <w:rsid w:val="002259B1"/>
    <w:rsid w:val="002372AF"/>
    <w:rsid w:val="00243D68"/>
    <w:rsid w:val="00251568"/>
    <w:rsid w:val="00255A94"/>
    <w:rsid w:val="0026360C"/>
    <w:rsid w:val="002660E8"/>
    <w:rsid w:val="00271982"/>
    <w:rsid w:val="002742EB"/>
    <w:rsid w:val="00280B38"/>
    <w:rsid w:val="002875BE"/>
    <w:rsid w:val="00291F9C"/>
    <w:rsid w:val="0029425D"/>
    <w:rsid w:val="00294760"/>
    <w:rsid w:val="002A288D"/>
    <w:rsid w:val="002A76C2"/>
    <w:rsid w:val="002B1713"/>
    <w:rsid w:val="002B568F"/>
    <w:rsid w:val="002B7D5F"/>
    <w:rsid w:val="002C389F"/>
    <w:rsid w:val="002C7884"/>
    <w:rsid w:val="002E0E7E"/>
    <w:rsid w:val="002E2612"/>
    <w:rsid w:val="002F0995"/>
    <w:rsid w:val="003025D5"/>
    <w:rsid w:val="003031A7"/>
    <w:rsid w:val="00303EFF"/>
    <w:rsid w:val="00305500"/>
    <w:rsid w:val="00306DD9"/>
    <w:rsid w:val="00314899"/>
    <w:rsid w:val="0031583F"/>
    <w:rsid w:val="00323570"/>
    <w:rsid w:val="003243CD"/>
    <w:rsid w:val="00327097"/>
    <w:rsid w:val="0034611E"/>
    <w:rsid w:val="00352B49"/>
    <w:rsid w:val="00355556"/>
    <w:rsid w:val="003561A3"/>
    <w:rsid w:val="003617A7"/>
    <w:rsid w:val="00365083"/>
    <w:rsid w:val="00374679"/>
    <w:rsid w:val="0038263E"/>
    <w:rsid w:val="003857FA"/>
    <w:rsid w:val="00391D5F"/>
    <w:rsid w:val="00393533"/>
    <w:rsid w:val="00393698"/>
    <w:rsid w:val="00395642"/>
    <w:rsid w:val="003A4743"/>
    <w:rsid w:val="003A57DA"/>
    <w:rsid w:val="003B05C8"/>
    <w:rsid w:val="003C504C"/>
    <w:rsid w:val="003D0341"/>
    <w:rsid w:val="003D1C9A"/>
    <w:rsid w:val="003D1D21"/>
    <w:rsid w:val="003D2EFF"/>
    <w:rsid w:val="003D36D5"/>
    <w:rsid w:val="003D7C66"/>
    <w:rsid w:val="003E1881"/>
    <w:rsid w:val="003E43B0"/>
    <w:rsid w:val="003E4BCC"/>
    <w:rsid w:val="003E6F98"/>
    <w:rsid w:val="003F5D83"/>
    <w:rsid w:val="0040056B"/>
    <w:rsid w:val="00400844"/>
    <w:rsid w:val="00400A6D"/>
    <w:rsid w:val="00401C6E"/>
    <w:rsid w:val="0040381B"/>
    <w:rsid w:val="0041210D"/>
    <w:rsid w:val="004138BA"/>
    <w:rsid w:val="00430122"/>
    <w:rsid w:val="004421B5"/>
    <w:rsid w:val="00442CAA"/>
    <w:rsid w:val="00445307"/>
    <w:rsid w:val="00447DD4"/>
    <w:rsid w:val="00455131"/>
    <w:rsid w:val="004746CD"/>
    <w:rsid w:val="004755A0"/>
    <w:rsid w:val="004772A5"/>
    <w:rsid w:val="00486B88"/>
    <w:rsid w:val="00495501"/>
    <w:rsid w:val="004A27A0"/>
    <w:rsid w:val="004B05FF"/>
    <w:rsid w:val="004B0F45"/>
    <w:rsid w:val="004B42B0"/>
    <w:rsid w:val="004B4405"/>
    <w:rsid w:val="004B6B69"/>
    <w:rsid w:val="004B6F81"/>
    <w:rsid w:val="004C7E45"/>
    <w:rsid w:val="004D0D9E"/>
    <w:rsid w:val="004D7B7D"/>
    <w:rsid w:val="004E52D3"/>
    <w:rsid w:val="004E7EC3"/>
    <w:rsid w:val="004F2591"/>
    <w:rsid w:val="00501E18"/>
    <w:rsid w:val="00503CE7"/>
    <w:rsid w:val="00517E8B"/>
    <w:rsid w:val="00535916"/>
    <w:rsid w:val="0054019F"/>
    <w:rsid w:val="0055020D"/>
    <w:rsid w:val="00555825"/>
    <w:rsid w:val="005639DF"/>
    <w:rsid w:val="005645CF"/>
    <w:rsid w:val="005719A7"/>
    <w:rsid w:val="005734F0"/>
    <w:rsid w:val="005746D4"/>
    <w:rsid w:val="005753C5"/>
    <w:rsid w:val="00576F8D"/>
    <w:rsid w:val="005864E3"/>
    <w:rsid w:val="005873AE"/>
    <w:rsid w:val="00594F91"/>
    <w:rsid w:val="005C2700"/>
    <w:rsid w:val="005C2918"/>
    <w:rsid w:val="005C2DE6"/>
    <w:rsid w:val="005C4450"/>
    <w:rsid w:val="005D13B2"/>
    <w:rsid w:val="005D1502"/>
    <w:rsid w:val="005D5C2B"/>
    <w:rsid w:val="005D5EE0"/>
    <w:rsid w:val="005F6209"/>
    <w:rsid w:val="005F652C"/>
    <w:rsid w:val="006047B1"/>
    <w:rsid w:val="00607A3B"/>
    <w:rsid w:val="00610384"/>
    <w:rsid w:val="00610661"/>
    <w:rsid w:val="0061720F"/>
    <w:rsid w:val="00620462"/>
    <w:rsid w:val="00624DB4"/>
    <w:rsid w:val="0063204A"/>
    <w:rsid w:val="00636446"/>
    <w:rsid w:val="0064510F"/>
    <w:rsid w:val="0065304C"/>
    <w:rsid w:val="006535BF"/>
    <w:rsid w:val="00653919"/>
    <w:rsid w:val="00671B82"/>
    <w:rsid w:val="00681B3B"/>
    <w:rsid w:val="006844B2"/>
    <w:rsid w:val="00692D5B"/>
    <w:rsid w:val="00694842"/>
    <w:rsid w:val="006A2150"/>
    <w:rsid w:val="006B5C95"/>
    <w:rsid w:val="006B6F2B"/>
    <w:rsid w:val="006D0415"/>
    <w:rsid w:val="006D2849"/>
    <w:rsid w:val="006E0E15"/>
    <w:rsid w:val="006E30D2"/>
    <w:rsid w:val="006E5073"/>
    <w:rsid w:val="006E6CCD"/>
    <w:rsid w:val="006E7285"/>
    <w:rsid w:val="006F17CB"/>
    <w:rsid w:val="006F1FE6"/>
    <w:rsid w:val="006F21CF"/>
    <w:rsid w:val="006F2D4E"/>
    <w:rsid w:val="006F32A2"/>
    <w:rsid w:val="006F34AB"/>
    <w:rsid w:val="00701E9B"/>
    <w:rsid w:val="00704575"/>
    <w:rsid w:val="007064D4"/>
    <w:rsid w:val="00707C59"/>
    <w:rsid w:val="007137D5"/>
    <w:rsid w:val="00720423"/>
    <w:rsid w:val="00720EAD"/>
    <w:rsid w:val="00722B5B"/>
    <w:rsid w:val="0072474F"/>
    <w:rsid w:val="00730D81"/>
    <w:rsid w:val="00733692"/>
    <w:rsid w:val="0074641A"/>
    <w:rsid w:val="00766A39"/>
    <w:rsid w:val="00784599"/>
    <w:rsid w:val="007A25E0"/>
    <w:rsid w:val="007A71D1"/>
    <w:rsid w:val="007B433B"/>
    <w:rsid w:val="007B76D3"/>
    <w:rsid w:val="007C3F6D"/>
    <w:rsid w:val="007C4CDB"/>
    <w:rsid w:val="007C763C"/>
    <w:rsid w:val="007D01C2"/>
    <w:rsid w:val="007D0924"/>
    <w:rsid w:val="007D1A45"/>
    <w:rsid w:val="007D2A77"/>
    <w:rsid w:val="007E06FE"/>
    <w:rsid w:val="007E0EF8"/>
    <w:rsid w:val="007E5393"/>
    <w:rsid w:val="007F094D"/>
    <w:rsid w:val="007F1B7D"/>
    <w:rsid w:val="007F1B8F"/>
    <w:rsid w:val="007F72B6"/>
    <w:rsid w:val="00803C4F"/>
    <w:rsid w:val="00803CE2"/>
    <w:rsid w:val="00804AB6"/>
    <w:rsid w:val="00817FA1"/>
    <w:rsid w:val="00820D3B"/>
    <w:rsid w:val="00826F18"/>
    <w:rsid w:val="008408DE"/>
    <w:rsid w:val="00840F40"/>
    <w:rsid w:val="008414BD"/>
    <w:rsid w:val="00847112"/>
    <w:rsid w:val="00857D3E"/>
    <w:rsid w:val="0086485B"/>
    <w:rsid w:val="00865552"/>
    <w:rsid w:val="00877F6A"/>
    <w:rsid w:val="008873B2"/>
    <w:rsid w:val="008A2817"/>
    <w:rsid w:val="008A2F5A"/>
    <w:rsid w:val="008A33C9"/>
    <w:rsid w:val="008A4F05"/>
    <w:rsid w:val="008A7A51"/>
    <w:rsid w:val="008B0C31"/>
    <w:rsid w:val="008C6CDE"/>
    <w:rsid w:val="008D7974"/>
    <w:rsid w:val="008E636F"/>
    <w:rsid w:val="008F220F"/>
    <w:rsid w:val="008F69FF"/>
    <w:rsid w:val="008F702C"/>
    <w:rsid w:val="009025FA"/>
    <w:rsid w:val="00911275"/>
    <w:rsid w:val="00911E4E"/>
    <w:rsid w:val="009160CD"/>
    <w:rsid w:val="00920D1C"/>
    <w:rsid w:val="00920FFF"/>
    <w:rsid w:val="00924B23"/>
    <w:rsid w:val="00925C62"/>
    <w:rsid w:val="00927C5A"/>
    <w:rsid w:val="00940831"/>
    <w:rsid w:val="0094177B"/>
    <w:rsid w:val="00943895"/>
    <w:rsid w:val="009470CB"/>
    <w:rsid w:val="00947AE7"/>
    <w:rsid w:val="009559BB"/>
    <w:rsid w:val="009627DF"/>
    <w:rsid w:val="00973679"/>
    <w:rsid w:val="0098195B"/>
    <w:rsid w:val="00984A4A"/>
    <w:rsid w:val="00991740"/>
    <w:rsid w:val="00991E9A"/>
    <w:rsid w:val="009A0E0F"/>
    <w:rsid w:val="009A2941"/>
    <w:rsid w:val="009A6C1C"/>
    <w:rsid w:val="009B011D"/>
    <w:rsid w:val="009B3377"/>
    <w:rsid w:val="009B3471"/>
    <w:rsid w:val="009B3DF5"/>
    <w:rsid w:val="009B61ED"/>
    <w:rsid w:val="009B79EF"/>
    <w:rsid w:val="009C690D"/>
    <w:rsid w:val="009D1285"/>
    <w:rsid w:val="009D56B3"/>
    <w:rsid w:val="009D59C2"/>
    <w:rsid w:val="009E1C97"/>
    <w:rsid w:val="009E5271"/>
    <w:rsid w:val="009F307E"/>
    <w:rsid w:val="009F42E7"/>
    <w:rsid w:val="00A12291"/>
    <w:rsid w:val="00A134F6"/>
    <w:rsid w:val="00A16D77"/>
    <w:rsid w:val="00A2097C"/>
    <w:rsid w:val="00A20C7E"/>
    <w:rsid w:val="00A2638E"/>
    <w:rsid w:val="00A31D8E"/>
    <w:rsid w:val="00A37171"/>
    <w:rsid w:val="00A37AAB"/>
    <w:rsid w:val="00A4472F"/>
    <w:rsid w:val="00A44C90"/>
    <w:rsid w:val="00A45A3E"/>
    <w:rsid w:val="00A57CE1"/>
    <w:rsid w:val="00A60FD0"/>
    <w:rsid w:val="00A738CA"/>
    <w:rsid w:val="00A73952"/>
    <w:rsid w:val="00A747E5"/>
    <w:rsid w:val="00A766B3"/>
    <w:rsid w:val="00A815B5"/>
    <w:rsid w:val="00A8714C"/>
    <w:rsid w:val="00A9153B"/>
    <w:rsid w:val="00AA0547"/>
    <w:rsid w:val="00AA5CDA"/>
    <w:rsid w:val="00AA717C"/>
    <w:rsid w:val="00AB03F9"/>
    <w:rsid w:val="00AB0ED6"/>
    <w:rsid w:val="00AB3CF4"/>
    <w:rsid w:val="00AB497E"/>
    <w:rsid w:val="00AC5F73"/>
    <w:rsid w:val="00AC6D30"/>
    <w:rsid w:val="00AD5940"/>
    <w:rsid w:val="00AD795E"/>
    <w:rsid w:val="00AE2C80"/>
    <w:rsid w:val="00AE5F2F"/>
    <w:rsid w:val="00AE7059"/>
    <w:rsid w:val="00AF0AC7"/>
    <w:rsid w:val="00B05180"/>
    <w:rsid w:val="00B1070E"/>
    <w:rsid w:val="00B13576"/>
    <w:rsid w:val="00B172CB"/>
    <w:rsid w:val="00B2130B"/>
    <w:rsid w:val="00B26582"/>
    <w:rsid w:val="00B27BF8"/>
    <w:rsid w:val="00B30F58"/>
    <w:rsid w:val="00B31202"/>
    <w:rsid w:val="00B32695"/>
    <w:rsid w:val="00B33AAF"/>
    <w:rsid w:val="00B46C77"/>
    <w:rsid w:val="00B5193D"/>
    <w:rsid w:val="00B52C5A"/>
    <w:rsid w:val="00B559B2"/>
    <w:rsid w:val="00B55CDB"/>
    <w:rsid w:val="00B57BCE"/>
    <w:rsid w:val="00B57C44"/>
    <w:rsid w:val="00B60D9C"/>
    <w:rsid w:val="00B63125"/>
    <w:rsid w:val="00B6631E"/>
    <w:rsid w:val="00B71BD9"/>
    <w:rsid w:val="00B74245"/>
    <w:rsid w:val="00B74854"/>
    <w:rsid w:val="00B83630"/>
    <w:rsid w:val="00B919E6"/>
    <w:rsid w:val="00B92A9E"/>
    <w:rsid w:val="00B95D2A"/>
    <w:rsid w:val="00BA0F50"/>
    <w:rsid w:val="00BA27B3"/>
    <w:rsid w:val="00BA341A"/>
    <w:rsid w:val="00BB3340"/>
    <w:rsid w:val="00BB644C"/>
    <w:rsid w:val="00BC0053"/>
    <w:rsid w:val="00BC5E24"/>
    <w:rsid w:val="00BD0B2B"/>
    <w:rsid w:val="00BE0504"/>
    <w:rsid w:val="00BE1ED7"/>
    <w:rsid w:val="00BF25CB"/>
    <w:rsid w:val="00C0057B"/>
    <w:rsid w:val="00C01007"/>
    <w:rsid w:val="00C01D36"/>
    <w:rsid w:val="00C020B2"/>
    <w:rsid w:val="00C06A05"/>
    <w:rsid w:val="00C1413E"/>
    <w:rsid w:val="00C14C32"/>
    <w:rsid w:val="00C37953"/>
    <w:rsid w:val="00C421EF"/>
    <w:rsid w:val="00C428E0"/>
    <w:rsid w:val="00C43296"/>
    <w:rsid w:val="00C43DED"/>
    <w:rsid w:val="00C5070F"/>
    <w:rsid w:val="00C534FE"/>
    <w:rsid w:val="00C60C81"/>
    <w:rsid w:val="00C61913"/>
    <w:rsid w:val="00C6249A"/>
    <w:rsid w:val="00C658D7"/>
    <w:rsid w:val="00C729D9"/>
    <w:rsid w:val="00C72A22"/>
    <w:rsid w:val="00C765E4"/>
    <w:rsid w:val="00C76C5D"/>
    <w:rsid w:val="00C8387A"/>
    <w:rsid w:val="00C848A5"/>
    <w:rsid w:val="00CA7BD6"/>
    <w:rsid w:val="00CB01E8"/>
    <w:rsid w:val="00CB0EF8"/>
    <w:rsid w:val="00CB31F9"/>
    <w:rsid w:val="00CB68AC"/>
    <w:rsid w:val="00CC30D3"/>
    <w:rsid w:val="00CD3B47"/>
    <w:rsid w:val="00CD5214"/>
    <w:rsid w:val="00CE050F"/>
    <w:rsid w:val="00CE5BFC"/>
    <w:rsid w:val="00CF1709"/>
    <w:rsid w:val="00CF5930"/>
    <w:rsid w:val="00D01352"/>
    <w:rsid w:val="00D04590"/>
    <w:rsid w:val="00D123A7"/>
    <w:rsid w:val="00D215A3"/>
    <w:rsid w:val="00D21666"/>
    <w:rsid w:val="00D23352"/>
    <w:rsid w:val="00D26C1B"/>
    <w:rsid w:val="00D31602"/>
    <w:rsid w:val="00D36D74"/>
    <w:rsid w:val="00D36FBF"/>
    <w:rsid w:val="00D406A4"/>
    <w:rsid w:val="00D60FB9"/>
    <w:rsid w:val="00D62817"/>
    <w:rsid w:val="00D63370"/>
    <w:rsid w:val="00D63CDD"/>
    <w:rsid w:val="00D70AEA"/>
    <w:rsid w:val="00D70CC5"/>
    <w:rsid w:val="00D77772"/>
    <w:rsid w:val="00D82FA4"/>
    <w:rsid w:val="00D84B0A"/>
    <w:rsid w:val="00D87A64"/>
    <w:rsid w:val="00D87A6C"/>
    <w:rsid w:val="00D918C2"/>
    <w:rsid w:val="00D946F6"/>
    <w:rsid w:val="00DA1969"/>
    <w:rsid w:val="00DA25DE"/>
    <w:rsid w:val="00DA43A7"/>
    <w:rsid w:val="00DB22CA"/>
    <w:rsid w:val="00DB42CE"/>
    <w:rsid w:val="00DC3577"/>
    <w:rsid w:val="00DC486A"/>
    <w:rsid w:val="00DD083B"/>
    <w:rsid w:val="00DE7DD0"/>
    <w:rsid w:val="00DF1A9E"/>
    <w:rsid w:val="00E0400E"/>
    <w:rsid w:val="00E0535C"/>
    <w:rsid w:val="00E05AD8"/>
    <w:rsid w:val="00E1785F"/>
    <w:rsid w:val="00E213EE"/>
    <w:rsid w:val="00E24F1C"/>
    <w:rsid w:val="00E253CA"/>
    <w:rsid w:val="00E25BD5"/>
    <w:rsid w:val="00E2719B"/>
    <w:rsid w:val="00E3090F"/>
    <w:rsid w:val="00E328BF"/>
    <w:rsid w:val="00E373EE"/>
    <w:rsid w:val="00E45295"/>
    <w:rsid w:val="00E4755B"/>
    <w:rsid w:val="00E537E3"/>
    <w:rsid w:val="00E57973"/>
    <w:rsid w:val="00E635A8"/>
    <w:rsid w:val="00E64812"/>
    <w:rsid w:val="00E71DF7"/>
    <w:rsid w:val="00E7251E"/>
    <w:rsid w:val="00E742EA"/>
    <w:rsid w:val="00E74F25"/>
    <w:rsid w:val="00E77EC3"/>
    <w:rsid w:val="00E81DAE"/>
    <w:rsid w:val="00E821E0"/>
    <w:rsid w:val="00E82D69"/>
    <w:rsid w:val="00E83CF1"/>
    <w:rsid w:val="00E8450E"/>
    <w:rsid w:val="00E852D9"/>
    <w:rsid w:val="00E85729"/>
    <w:rsid w:val="00E960E1"/>
    <w:rsid w:val="00E96209"/>
    <w:rsid w:val="00EA2814"/>
    <w:rsid w:val="00EA6740"/>
    <w:rsid w:val="00EB663E"/>
    <w:rsid w:val="00EC447D"/>
    <w:rsid w:val="00EC4CF7"/>
    <w:rsid w:val="00EC596A"/>
    <w:rsid w:val="00EC7B08"/>
    <w:rsid w:val="00ED03BE"/>
    <w:rsid w:val="00ED3EE1"/>
    <w:rsid w:val="00ED470B"/>
    <w:rsid w:val="00ED7161"/>
    <w:rsid w:val="00ED7D96"/>
    <w:rsid w:val="00EF2156"/>
    <w:rsid w:val="00EF2E19"/>
    <w:rsid w:val="00EF4A5B"/>
    <w:rsid w:val="00EF4C18"/>
    <w:rsid w:val="00F14A5A"/>
    <w:rsid w:val="00F20BD0"/>
    <w:rsid w:val="00F24623"/>
    <w:rsid w:val="00F24E2A"/>
    <w:rsid w:val="00F27C38"/>
    <w:rsid w:val="00F30F2F"/>
    <w:rsid w:val="00F32370"/>
    <w:rsid w:val="00F40459"/>
    <w:rsid w:val="00F605E3"/>
    <w:rsid w:val="00F76C2A"/>
    <w:rsid w:val="00F810DA"/>
    <w:rsid w:val="00F85CA1"/>
    <w:rsid w:val="00F9008A"/>
    <w:rsid w:val="00F9355A"/>
    <w:rsid w:val="00F94952"/>
    <w:rsid w:val="00F95981"/>
    <w:rsid w:val="00F96D3B"/>
    <w:rsid w:val="00F979D3"/>
    <w:rsid w:val="00FB25C2"/>
    <w:rsid w:val="00FB424D"/>
    <w:rsid w:val="00FB5A33"/>
    <w:rsid w:val="00FC1464"/>
    <w:rsid w:val="00FC265E"/>
    <w:rsid w:val="00FC7BE5"/>
    <w:rsid w:val="00FD07E9"/>
    <w:rsid w:val="00FD2567"/>
    <w:rsid w:val="00FE16E7"/>
    <w:rsid w:val="00FE278E"/>
    <w:rsid w:val="00FE55A4"/>
    <w:rsid w:val="00FF12C6"/>
    <w:rsid w:val="00FF29D9"/>
    <w:rsid w:val="00FF2AAD"/>
    <w:rsid w:val="00FF2C29"/>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nhideWhenUsed="0" w:uiPriority="0" w:semiHidden="0" w:name="Body Text Indent 3"/>
    <w:lsdException w:uiPriority="99" w:name="Block Text"/>
    <w:lsdException w:uiPriority="99" w:name="Hyperlink"/>
    <w:lsdException w:uiPriority="99" w:name="FollowedHyperlink"/>
    <w:lsdException w:qFormat="1" w:unhideWhenUsed="0" w:uiPriority="0" w:semiHidden="0" w:name="Strong"/>
    <w:lsdException w:qFormat="1" w:unhideWhenUsed="0" w:uiPriority="20" w:semiHidden="0" w:name="Emphasis"/>
    <w:lsdException w:uiPriority="99" w:name="Document Map"/>
    <w:lsdException w:uiPriority="99" w:name="Plain Text"/>
    <w:lsdException w:uiPriority="99" w:name="E-mail Signature"/>
    <w:lsdException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0"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17"/>
    <w:qFormat/>
    <w:uiPriority w:val="9"/>
    <w:pPr>
      <w:keepNext/>
      <w:keepLines/>
      <w:spacing w:beforeLines="100" w:line="480" w:lineRule="auto"/>
      <w:jc w:val="center"/>
      <w:outlineLvl w:val="0"/>
    </w:pPr>
    <w:rPr>
      <w:rFonts w:eastAsiaTheme="majorEastAsia"/>
      <w:b/>
      <w:bCs/>
      <w:kern w:val="44"/>
      <w:sz w:val="32"/>
      <w:szCs w:val="44"/>
    </w:rPr>
  </w:style>
  <w:style w:type="paragraph" w:styleId="3">
    <w:name w:val="heading 2"/>
    <w:basedOn w:val="1"/>
    <w:next w:val="1"/>
    <w:link w:val="18"/>
    <w:unhideWhenUsed/>
    <w:qFormat/>
    <w:uiPriority w:val="9"/>
    <w:pPr>
      <w:keepNext/>
      <w:keepLines/>
      <w:spacing w:before="120" w:line="360" w:lineRule="auto"/>
      <w:ind w:firstLine="100" w:firstLineChars="100"/>
      <w:jc w:val="left"/>
      <w:outlineLvl w:val="1"/>
    </w:pPr>
    <w:rPr>
      <w:rFonts w:asciiTheme="majorHAnsi" w:hAnsiTheme="majorHAnsi" w:eastAsiaTheme="majorEastAsia" w:cstheme="majorBidi"/>
      <w:b/>
      <w:bCs/>
      <w:sz w:val="30"/>
      <w:szCs w:val="32"/>
    </w:rPr>
  </w:style>
  <w:style w:type="paragraph" w:styleId="4">
    <w:name w:val="heading 3"/>
    <w:basedOn w:val="1"/>
    <w:next w:val="1"/>
    <w:link w:val="19"/>
    <w:unhideWhenUsed/>
    <w:qFormat/>
    <w:uiPriority w:val="9"/>
    <w:pPr>
      <w:keepNext/>
      <w:keepLines/>
      <w:spacing w:line="300" w:lineRule="auto"/>
      <w:ind w:firstLine="200" w:firstLineChars="200"/>
      <w:jc w:val="left"/>
      <w:outlineLvl w:val="2"/>
    </w:pPr>
    <w:rPr>
      <w:rFonts w:eastAsiaTheme="majorEastAsia"/>
      <w:b/>
      <w:bCs/>
      <w:sz w:val="28"/>
      <w:szCs w:val="32"/>
    </w:rPr>
  </w:style>
  <w:style w:type="character" w:default="1" w:styleId="10">
    <w:name w:val="Default Paragraph Font"/>
    <w:semiHidden/>
    <w:unhideWhenUsed/>
    <w:uiPriority w:val="1"/>
  </w:style>
  <w:style w:type="table" w:default="1" w:styleId="13">
    <w:name w:val="Normal Table"/>
    <w:semiHidden/>
    <w:unhideWhenUsed/>
    <w:qFormat/>
    <w:uiPriority w:val="99"/>
    <w:tblPr>
      <w:tblLayout w:type="fixed"/>
      <w:tblCellMar>
        <w:top w:w="0" w:type="dxa"/>
        <w:left w:w="108" w:type="dxa"/>
        <w:bottom w:w="0" w:type="dxa"/>
        <w:right w:w="108" w:type="dxa"/>
      </w:tblCellMar>
    </w:tblPr>
  </w:style>
  <w:style w:type="paragraph" w:styleId="5">
    <w:name w:val="Balloon Text"/>
    <w:basedOn w:val="1"/>
    <w:link w:val="21"/>
    <w:semiHidden/>
    <w:uiPriority w:val="0"/>
    <w:rPr>
      <w:sz w:val="18"/>
      <w:szCs w:val="18"/>
    </w:rPr>
  </w:style>
  <w:style w:type="paragraph" w:styleId="6">
    <w:name w:val="footer"/>
    <w:basedOn w:val="1"/>
    <w:link w:val="16"/>
    <w:unhideWhenUsed/>
    <w:uiPriority w:val="99"/>
    <w:pPr>
      <w:tabs>
        <w:tab w:val="center" w:pos="4153"/>
        <w:tab w:val="right" w:pos="8306"/>
      </w:tabs>
      <w:snapToGrid w:val="0"/>
      <w:jc w:val="left"/>
    </w:pPr>
    <w:rPr>
      <w:sz w:val="18"/>
      <w:szCs w:val="18"/>
    </w:rPr>
  </w:style>
  <w:style w:type="paragraph" w:styleId="7">
    <w:name w:val="header"/>
    <w:basedOn w:val="1"/>
    <w:link w:val="15"/>
    <w:unhideWhenUsed/>
    <w:uiPriority w:val="0"/>
    <w:pPr>
      <w:pBdr>
        <w:bottom w:val="single" w:color="auto" w:sz="6" w:space="1"/>
      </w:pBdr>
      <w:tabs>
        <w:tab w:val="center" w:pos="4153"/>
        <w:tab w:val="right" w:pos="8306"/>
      </w:tabs>
      <w:snapToGrid w:val="0"/>
      <w:jc w:val="center"/>
    </w:pPr>
    <w:rPr>
      <w:sz w:val="18"/>
      <w:szCs w:val="18"/>
    </w:rPr>
  </w:style>
  <w:style w:type="paragraph" w:styleId="8">
    <w:name w:val="Body Text Indent 3"/>
    <w:basedOn w:val="1"/>
    <w:link w:val="22"/>
    <w:uiPriority w:val="0"/>
    <w:pPr>
      <w:pBdr>
        <w:top w:val="single" w:color="auto" w:sz="12" w:space="1"/>
        <w:bottom w:val="single" w:color="auto" w:sz="12" w:space="1"/>
      </w:pBdr>
      <w:spacing w:line="600" w:lineRule="exact"/>
      <w:ind w:left="1280" w:hanging="1280" w:hangingChars="400"/>
    </w:pPr>
    <w:rPr>
      <w:rFonts w:eastAsia="仿宋_GB2312"/>
      <w:sz w:val="32"/>
    </w:rPr>
  </w:style>
  <w:style w:type="paragraph" w:styleId="9">
    <w:name w:val="Normal (Web)"/>
    <w:basedOn w:val="1"/>
    <w:unhideWhenUsed/>
    <w:uiPriority w:val="0"/>
    <w:pPr>
      <w:widowControl/>
      <w:spacing w:before="100" w:beforeAutospacing="1" w:after="100" w:afterAutospacing="1"/>
      <w:jc w:val="left"/>
    </w:pPr>
    <w:rPr>
      <w:rFonts w:ascii="宋体" w:hAnsi="宋体" w:cs="宋体"/>
      <w:kern w:val="0"/>
      <w:sz w:val="24"/>
    </w:rPr>
  </w:style>
  <w:style w:type="character" w:styleId="11">
    <w:name w:val="Strong"/>
    <w:qFormat/>
    <w:uiPriority w:val="0"/>
    <w:rPr>
      <w:rFonts w:cs="Times New Roman"/>
      <w:b/>
      <w:bCs/>
    </w:rPr>
  </w:style>
  <w:style w:type="character" w:styleId="12">
    <w:name w:val="page number"/>
    <w:basedOn w:val="10"/>
    <w:uiPriority w:val="0"/>
  </w:style>
  <w:style w:type="table" w:styleId="14">
    <w:name w:val="Table Grid"/>
    <w:basedOn w:val="13"/>
    <w:uiPriority w:val="0"/>
    <w:pPr>
      <w:widowControl w:val="0"/>
      <w:jc w:val="both"/>
    </w:pPr>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character" w:customStyle="1" w:styleId="15">
    <w:name w:val="页眉 Char"/>
    <w:basedOn w:val="10"/>
    <w:link w:val="7"/>
    <w:uiPriority w:val="0"/>
    <w:rPr>
      <w:sz w:val="18"/>
      <w:szCs w:val="18"/>
    </w:rPr>
  </w:style>
  <w:style w:type="character" w:customStyle="1" w:styleId="16">
    <w:name w:val="页脚 Char"/>
    <w:basedOn w:val="10"/>
    <w:link w:val="6"/>
    <w:uiPriority w:val="99"/>
    <w:rPr>
      <w:sz w:val="18"/>
      <w:szCs w:val="18"/>
    </w:rPr>
  </w:style>
  <w:style w:type="character" w:customStyle="1" w:styleId="17">
    <w:name w:val="标题 1 Char"/>
    <w:basedOn w:val="10"/>
    <w:link w:val="2"/>
    <w:uiPriority w:val="9"/>
    <w:rPr>
      <w:rFonts w:ascii="Times New Roman" w:hAnsi="Times New Roman" w:cs="Times New Roman" w:eastAsiaTheme="majorEastAsia"/>
      <w:b/>
      <w:bCs/>
      <w:kern w:val="44"/>
      <w:sz w:val="32"/>
      <w:szCs w:val="44"/>
    </w:rPr>
  </w:style>
  <w:style w:type="character" w:customStyle="1" w:styleId="18">
    <w:name w:val="标题 2 Char"/>
    <w:basedOn w:val="10"/>
    <w:link w:val="3"/>
    <w:uiPriority w:val="9"/>
    <w:rPr>
      <w:rFonts w:asciiTheme="majorHAnsi" w:hAnsiTheme="majorHAnsi" w:eastAsiaTheme="majorEastAsia" w:cstheme="majorBidi"/>
      <w:b/>
      <w:bCs/>
      <w:sz w:val="30"/>
      <w:szCs w:val="32"/>
    </w:rPr>
  </w:style>
  <w:style w:type="character" w:customStyle="1" w:styleId="19">
    <w:name w:val="标题 3 Char"/>
    <w:basedOn w:val="10"/>
    <w:link w:val="4"/>
    <w:uiPriority w:val="9"/>
    <w:rPr>
      <w:rFonts w:ascii="Times New Roman" w:hAnsi="Times New Roman" w:cs="Times New Roman" w:eastAsiaTheme="majorEastAsia"/>
      <w:b/>
      <w:bCs/>
      <w:sz w:val="28"/>
      <w:szCs w:val="32"/>
    </w:rPr>
  </w:style>
  <w:style w:type="paragraph" w:customStyle="1" w:styleId="20">
    <w:name w:val="f1"/>
    <w:basedOn w:val="1"/>
    <w:uiPriority w:val="0"/>
    <w:pPr>
      <w:widowControl/>
      <w:spacing w:before="100" w:beforeAutospacing="1" w:after="100" w:afterAutospacing="1"/>
      <w:jc w:val="center"/>
    </w:pPr>
    <w:rPr>
      <w:rFonts w:ascii="Helvetica" w:hAnsi="Helvetica" w:cs="Helvetica"/>
      <w:b/>
      <w:bCs/>
      <w:color w:val="FF8080"/>
      <w:spacing w:val="160"/>
      <w:kern w:val="0"/>
      <w:sz w:val="80"/>
      <w:szCs w:val="80"/>
    </w:rPr>
  </w:style>
  <w:style w:type="character" w:customStyle="1" w:styleId="21">
    <w:name w:val="批注框文本 Char"/>
    <w:basedOn w:val="10"/>
    <w:link w:val="5"/>
    <w:semiHidden/>
    <w:uiPriority w:val="0"/>
    <w:rPr>
      <w:rFonts w:ascii="Times New Roman" w:hAnsi="Times New Roman" w:eastAsia="宋体" w:cs="Times New Roman"/>
      <w:sz w:val="18"/>
      <w:szCs w:val="18"/>
    </w:rPr>
  </w:style>
  <w:style w:type="character" w:customStyle="1" w:styleId="22">
    <w:name w:val="正文文本缩进 3 Char"/>
    <w:basedOn w:val="10"/>
    <w:link w:val="8"/>
    <w:uiPriority w:val="0"/>
    <w:rPr>
      <w:rFonts w:ascii="Times New Roman" w:hAnsi="Times New Roman" w:eastAsia="仿宋_GB2312" w:cs="Times New Roman"/>
      <w:sz w:val="32"/>
      <w:szCs w:val="24"/>
    </w:rPr>
  </w:style>
  <w:style w:type="paragraph" w:styleId="23">
    <w:name w:val="List Paragraph"/>
    <w:basedOn w:val="1"/>
    <w:qFormat/>
    <w:uiPriority w:val="34"/>
    <w:pPr>
      <w:ind w:firstLine="420" w:firstLineChars="200"/>
    </w:pPr>
    <w:rPr>
      <w:rFonts w:ascii="Calibri" w:hAnsi="Calibri"/>
      <w:szCs w:val="22"/>
    </w:rPr>
  </w:style>
  <w:style w:type="paragraph" w:customStyle="1" w:styleId="24">
    <w:name w:val="普通(网站)1"/>
    <w:basedOn w:val="1"/>
    <w:uiPriority w:val="0"/>
    <w:rPr>
      <w:rFonts w:ascii="Calibri" w:hAnsi="Calibri" w:cs="黑体"/>
      <w:sz w:val="24"/>
    </w:rPr>
  </w:style>
  <w:style w:type="table" w:customStyle="1" w:styleId="25">
    <w:name w:val="网格型1"/>
    <w:basedOn w:val="13"/>
    <w:uiPriority w:val="59"/>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style>
  <w:style w:type="paragraph" w:customStyle="1" w:styleId="26">
    <w:name w:val="普通(网站)2"/>
    <w:basedOn w:val="1"/>
    <w:uiPriority w:val="0"/>
    <w:rPr>
      <w:rFonts w:ascii="Calibri" w:hAnsi="Calibri" w:cs="黑体"/>
      <w:sz w:val="24"/>
    </w:rPr>
  </w:style>
  <w:style w:type="paragraph" w:customStyle="1" w:styleId="27">
    <w:name w:val="普通(网站)3"/>
    <w:basedOn w:val="1"/>
    <w:qFormat/>
    <w:uiPriority w:val="0"/>
    <w:rPr>
      <w:rFonts w:ascii="Calibri" w:hAnsi="Calibri" w:cs="黑体"/>
      <w:sz w:val="24"/>
    </w:rPr>
  </w:style>
</w:styles>
</file>

<file path=word/_rels/document.xml.rels><?xml version="1.0" encoding="UTF-8" standalone="yes"?>
<Relationships xmlns="http://schemas.openxmlformats.org/package/2006/relationships"><Relationship Id="rId9" Type="http://schemas.openxmlformats.org/officeDocument/2006/relationships/footer" Target="footer3.xml"/><Relationship Id="rId8" Type="http://schemas.openxmlformats.org/officeDocument/2006/relationships/header" Target="header4.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1.xml"/><Relationship Id="rId12" Type="http://schemas.openxmlformats.org/officeDocument/2006/relationships/theme" Target="theme/theme1.xml"/><Relationship Id="rId11" Type="http://schemas.openxmlformats.org/officeDocument/2006/relationships/footer" Target="footer5.xml"/><Relationship Id="rId10" Type="http://schemas.openxmlformats.org/officeDocument/2006/relationships/footer" Target="foot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Www.SangSan.Cn</Company>
  <Pages>1</Pages>
  <Words>1228</Words>
  <Characters>7003</Characters>
  <Lines>58</Lines>
  <Paragraphs>16</Paragraphs>
  <TotalTime>64</TotalTime>
  <ScaleCrop>false</ScaleCrop>
  <LinksUpToDate>false</LinksUpToDate>
  <CharactersWithSpaces>8215</CharactersWithSpaces>
  <Application>WPS Office_10.1.0.7697_F1E327BC-269C-435d-A152-05C5408002CA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2018-03-22T10:57:00Z</dcterms:created>
  <dc:creator>桑三博客</dc:creator>
  <cp:lastModifiedBy>zx</cp:lastModifiedBy>
  <dcterms:modified xsi:type="dcterms:W3CDTF">2018-12-16T21:45:59Z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