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Theme="majorEastAsia" w:hAnsiTheme="majorEastAsia" w:eastAsiaTheme="majorEastAsia"/>
          <w:b/>
          <w:sz w:val="44"/>
          <w:szCs w:val="44"/>
        </w:rPr>
      </w:pPr>
      <w:r>
        <w:rPr>
          <w:rFonts w:hint="eastAsia" w:asciiTheme="majorEastAsia" w:hAnsiTheme="majorEastAsia" w:eastAsiaTheme="majorEastAsia"/>
          <w:b/>
          <w:sz w:val="44"/>
          <w:szCs w:val="44"/>
        </w:rPr>
        <w:t>附件：</w:t>
      </w:r>
    </w:p>
    <w:p>
      <w:pPr>
        <w:widowControl/>
        <w:spacing w:before="100" w:beforeAutospacing="1" w:after="100" w:afterAutospacing="1" w:line="300" w:lineRule="auto"/>
        <w:jc w:val="center"/>
        <w:outlineLvl w:val="1"/>
        <w:rPr>
          <w:rFonts w:asciiTheme="majorEastAsia" w:hAnsiTheme="majorEastAsia" w:eastAsiaTheme="majorEastAsia"/>
          <w:b/>
          <w:kern w:val="0"/>
          <w:sz w:val="44"/>
          <w:szCs w:val="44"/>
        </w:rPr>
      </w:pPr>
    </w:p>
    <w:p>
      <w:pPr>
        <w:widowControl/>
        <w:spacing w:before="100" w:beforeAutospacing="1" w:after="100" w:afterAutospacing="1" w:line="300" w:lineRule="auto"/>
        <w:jc w:val="center"/>
        <w:outlineLvl w:val="1"/>
        <w:rPr>
          <w:rFonts w:asciiTheme="majorEastAsia" w:hAnsiTheme="majorEastAsia" w:eastAsiaTheme="majorEastAsia"/>
          <w:b/>
          <w:kern w:val="0"/>
          <w:sz w:val="44"/>
          <w:szCs w:val="44"/>
        </w:rPr>
      </w:pPr>
    </w:p>
    <w:p>
      <w:pPr>
        <w:widowControl/>
        <w:spacing w:before="100" w:beforeAutospacing="1" w:after="100" w:afterAutospacing="1" w:line="300" w:lineRule="auto"/>
        <w:jc w:val="center"/>
        <w:outlineLvl w:val="1"/>
        <w:rPr>
          <w:rFonts w:asciiTheme="majorEastAsia" w:hAnsiTheme="majorEastAsia" w:eastAsiaTheme="majorEastAsia"/>
          <w:b/>
          <w:kern w:val="0"/>
          <w:sz w:val="44"/>
          <w:szCs w:val="44"/>
        </w:rPr>
      </w:pPr>
    </w:p>
    <w:p>
      <w:pPr>
        <w:widowControl/>
        <w:spacing w:before="100" w:beforeAutospacing="1" w:after="100" w:afterAutospacing="1" w:line="300" w:lineRule="auto"/>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乌鲁木齐市水磨沟区委员会党校2016年预算公开</w:t>
      </w:r>
    </w:p>
    <w:p>
      <w:pPr>
        <w:widowControl/>
        <w:spacing w:line="300" w:lineRule="auto"/>
        <w:ind w:firstLine="120" w:firstLineChars="50"/>
        <w:outlineLvl w:val="1"/>
        <w:rPr>
          <w:rFonts w:asciiTheme="minorEastAsia" w:hAnsiTheme="minorEastAsia" w:eastAsiaTheme="minorEastAsia"/>
          <w:b/>
          <w:kern w:val="0"/>
          <w:sz w:val="24"/>
        </w:rPr>
      </w:pPr>
    </w:p>
    <w:p>
      <w:pPr>
        <w:widowControl/>
        <w:spacing w:line="300" w:lineRule="auto"/>
        <w:ind w:firstLine="120" w:firstLineChars="50"/>
        <w:outlineLvl w:val="1"/>
        <w:rPr>
          <w:rFonts w:asciiTheme="minorEastAsia" w:hAnsiTheme="minorEastAsia" w:eastAsiaTheme="minorEastAsia"/>
          <w:b/>
          <w:kern w:val="0"/>
          <w:sz w:val="24"/>
        </w:rPr>
      </w:pPr>
    </w:p>
    <w:p>
      <w:pPr>
        <w:widowControl/>
        <w:spacing w:line="300" w:lineRule="auto"/>
        <w:ind w:firstLine="120" w:firstLineChars="50"/>
        <w:outlineLvl w:val="1"/>
        <w:rPr>
          <w:rFonts w:asciiTheme="minorEastAsia" w:hAnsiTheme="minorEastAsia" w:eastAsiaTheme="minorEastAsia"/>
          <w:b/>
          <w:kern w:val="0"/>
          <w:sz w:val="24"/>
        </w:rPr>
      </w:pPr>
    </w:p>
    <w:p>
      <w:pPr>
        <w:widowControl/>
        <w:jc w:val="left"/>
        <w:rPr>
          <w:rFonts w:asciiTheme="minorEastAsia" w:hAnsiTheme="minorEastAsia" w:eastAsiaTheme="minorEastAsia"/>
          <w:b/>
          <w:kern w:val="0"/>
          <w:sz w:val="24"/>
        </w:rPr>
      </w:pPr>
      <w:r>
        <w:rPr>
          <w:rFonts w:asciiTheme="minorEastAsia" w:hAnsiTheme="minorEastAsia" w:eastAsiaTheme="minorEastAsia"/>
          <w:b/>
          <w:kern w:val="0"/>
          <w:sz w:val="24"/>
        </w:rPr>
        <w:br w:type="page"/>
      </w:r>
    </w:p>
    <w:p>
      <w:pPr>
        <w:widowControl/>
        <w:spacing w:line="300" w:lineRule="auto"/>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目  录</w:t>
      </w:r>
    </w:p>
    <w:p>
      <w:pPr>
        <w:widowControl/>
        <w:spacing w:line="460" w:lineRule="exact"/>
        <w:outlineLvl w:val="1"/>
        <w:rPr>
          <w:rFonts w:ascii="仿宋_GB2312" w:hAnsi="仿宋" w:eastAsia="仿宋_GB2312"/>
          <w:b/>
          <w:kern w:val="0"/>
          <w:sz w:val="32"/>
          <w:szCs w:val="32"/>
        </w:rPr>
      </w:pPr>
      <w:r>
        <w:rPr>
          <w:rFonts w:hint="eastAsia" w:ascii="仿宋_GB2312" w:hAnsi="仿宋" w:eastAsia="仿宋_GB2312"/>
          <w:b/>
          <w:kern w:val="0"/>
          <w:sz w:val="32"/>
          <w:szCs w:val="32"/>
        </w:rPr>
        <w:t>第一部分  乌鲁木齐市水磨沟区委员会党校部门单位概况</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一、主要职能</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二、机构设置及人员情况</w:t>
      </w:r>
    </w:p>
    <w:p>
      <w:pPr>
        <w:widowControl/>
        <w:spacing w:line="460" w:lineRule="exact"/>
        <w:outlineLvl w:val="1"/>
        <w:rPr>
          <w:rFonts w:ascii="仿宋_GB2312" w:hAnsi="仿宋" w:eastAsia="仿宋_GB2312"/>
          <w:b/>
          <w:kern w:val="0"/>
          <w:sz w:val="32"/>
          <w:szCs w:val="32"/>
        </w:rPr>
      </w:pPr>
      <w:r>
        <w:rPr>
          <w:rFonts w:hint="eastAsia" w:ascii="仿宋_GB2312" w:hAnsi="仿宋" w:eastAsia="仿宋_GB2312"/>
          <w:b/>
          <w:kern w:val="0"/>
          <w:sz w:val="32"/>
          <w:szCs w:val="32"/>
        </w:rPr>
        <w:t>第二部分  乌鲁木齐市水磨沟区委员会党校2016年部门预算公开表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一、部门收支总体情况表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二、部门收入总体情况表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三、部门支出总体情况表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四、财政拨款收支总体情况表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五、一般公共预算支出情况表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六、一般公共预算基本支出情况表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七、项目支出情况表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八、一般公共预算“三公”经费支出情况表</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九、政府性基金预算支出情况表</w:t>
      </w:r>
    </w:p>
    <w:p>
      <w:pPr>
        <w:widowControl/>
        <w:spacing w:line="460" w:lineRule="exact"/>
        <w:outlineLvl w:val="1"/>
        <w:rPr>
          <w:rFonts w:ascii="仿宋_GB2312" w:hAnsi="仿宋" w:eastAsia="仿宋_GB2312"/>
          <w:b/>
          <w:kern w:val="0"/>
          <w:sz w:val="32"/>
          <w:szCs w:val="32"/>
        </w:rPr>
      </w:pPr>
      <w:r>
        <w:rPr>
          <w:rFonts w:hint="eastAsia" w:ascii="仿宋_GB2312" w:hAnsi="仿宋" w:eastAsia="仿宋_GB2312"/>
          <w:b/>
          <w:kern w:val="0"/>
          <w:sz w:val="32"/>
          <w:szCs w:val="32"/>
        </w:rPr>
        <w:t>第三部分  乌鲁木齐市水磨沟区委员会党校2016年部门预算情况说明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一、关于乌鲁木齐市水磨沟区委员会党校2016年收支预算情况的总体说明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二、关于乌鲁木齐市水磨沟区委员会党校2016年收入预算情况说明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三、关于乌鲁木齐市水磨沟区委员会党校2016年支出预算情况说明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四、关于乌鲁木齐市水磨沟区委员会党校2016年财政拨款收支预算情况的总体说明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五、关于乌鲁木齐市水磨沟区委员会党校2016年一般公共预算当年拨款情况说明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六、关于乌鲁木齐市水磨沟区委员会党校2016年一般公共预算基本支出情况说明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七、关于乌鲁木齐市水磨沟区委员会党校2016年项目支出情况说明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八、关于乌鲁木齐市水磨沟区委员会党校2016年一般公共预算“三公”经费预算情况说明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九、关于乌鲁木齐市水磨沟区委员会党校2016年政府性基金预算拨款情况说明</w:t>
      </w:r>
    </w:p>
    <w:p>
      <w:pPr>
        <w:widowControl/>
        <w:spacing w:line="460" w:lineRule="exact"/>
        <w:outlineLvl w:val="1"/>
        <w:rPr>
          <w:rFonts w:ascii="仿宋_GB2312" w:eastAsia="仿宋_GB2312" w:hAnsiTheme="minorEastAsia"/>
          <w:kern w:val="0"/>
          <w:sz w:val="32"/>
          <w:szCs w:val="32"/>
        </w:rPr>
      </w:pPr>
      <w:r>
        <w:rPr>
          <w:rFonts w:hint="eastAsia" w:ascii="仿宋_GB2312" w:eastAsia="仿宋_GB2312" w:hAnsiTheme="minorEastAsia"/>
          <w:kern w:val="0"/>
          <w:sz w:val="32"/>
          <w:szCs w:val="32"/>
        </w:rPr>
        <w:t>十、其他重要事项的情况说明</w:t>
      </w:r>
    </w:p>
    <w:p>
      <w:pPr>
        <w:widowControl/>
        <w:spacing w:line="460" w:lineRule="exact"/>
        <w:outlineLvl w:val="1"/>
        <w:rPr>
          <w:rFonts w:ascii="仿宋_GB2312" w:hAnsi="仿宋" w:eastAsia="仿宋_GB2312"/>
          <w:b/>
          <w:kern w:val="0"/>
          <w:sz w:val="32"/>
          <w:szCs w:val="32"/>
        </w:rPr>
      </w:pPr>
      <w:r>
        <w:rPr>
          <w:rFonts w:hint="eastAsia" w:ascii="仿宋_GB2312" w:hAnsi="仿宋" w:eastAsia="仿宋_GB2312"/>
          <w:b/>
          <w:kern w:val="0"/>
          <w:sz w:val="32"/>
          <w:szCs w:val="32"/>
        </w:rPr>
        <w:t>第四部分  名词解释</w:t>
      </w: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2"/>
        <w:spacing w:before="240"/>
      </w:pPr>
      <w:r>
        <w:rPr>
          <w:rFonts w:hint="eastAsia" w:ascii="黑体" w:hAnsi="黑体" w:eastAsia="黑体"/>
          <w:b w:val="0"/>
          <w:color w:val="181717" w:themeColor="background2" w:themeShade="1A"/>
        </w:rPr>
        <w:t>第一部分   乌鲁木齐市水磨沟区委员会党校单位概况</w:t>
      </w:r>
    </w:p>
    <w:p>
      <w:pPr>
        <w:widowControl/>
        <w:spacing w:line="300" w:lineRule="auto"/>
        <w:jc w:val="center"/>
        <w:outlineLvl w:val="1"/>
        <w:rPr>
          <w:rFonts w:asciiTheme="minorEastAsia" w:hAnsiTheme="minorEastAsia" w:eastAsiaTheme="minorEastAsia"/>
          <w:b/>
          <w:kern w:val="0"/>
          <w:sz w:val="24"/>
        </w:rPr>
      </w:pPr>
    </w:p>
    <w:p>
      <w:pPr>
        <w:pStyle w:val="3"/>
        <w:numPr>
          <w:ilvl w:val="0"/>
          <w:numId w:val="1"/>
        </w:numPr>
        <w:spacing w:line="560" w:lineRule="exact"/>
        <w:ind w:left="0" w:firstLine="99" w:firstLineChars="31"/>
        <w:rPr>
          <w:rFonts w:ascii="黑体" w:hAnsi="黑体" w:eastAsia="黑体"/>
          <w:b w:val="0"/>
          <w:sz w:val="32"/>
        </w:rPr>
      </w:pPr>
      <w:r>
        <w:rPr>
          <w:rFonts w:hint="eastAsia" w:ascii="黑体" w:hAnsi="黑体" w:eastAsia="黑体"/>
          <w:b w:val="0"/>
          <w:sz w:val="32"/>
        </w:rPr>
        <w:t>主要职能</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1.学习、研究和宣传马克思列宁主义、毛泽东思想、邓小平思想、“三个代表”重要思想、科学发展观等重大战略思想以及党和国家的路线、方针、政策、法律、法规。</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2.根据区委对干部队伍建设的要求，开展区属各级党员干部、入党积极分子、理论骨干及异地挂职干部的培训工作。</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3.在组织部的指导下，协助其他部门做好政治理论及业务培训工作。</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4.协助人事劳动和社会保障部门做好去公务员培训及轮训工作。</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5.完成上级交办的任务。</w:t>
      </w:r>
    </w:p>
    <w:p>
      <w:pPr>
        <w:pStyle w:val="3"/>
        <w:spacing w:line="560" w:lineRule="exact"/>
        <w:ind w:firstLine="99" w:firstLineChars="31"/>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二、机构设置及人员情况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根据职责，纳入新疆乌鲁木齐市水磨沟区委员会党校</w:t>
      </w:r>
      <w:r>
        <w:rPr>
          <w:rFonts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rPr>
        <w:t>6年部门决算编制范围的有厅机关内设的1个机构。</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新疆乌鲁木齐市水磨沟区委员会党校编制人数9人，其中参照公务员法管理人员编制9人。新疆乌鲁木齐市水磨沟区委员会党校实有在职人数5人，其中：参照公务员法管理人员编制5人。</w:t>
      </w: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2"/>
        <w:spacing w:before="240"/>
        <w:rPr>
          <w:rFonts w:ascii="黑体" w:hAnsi="黑体" w:eastAsia="黑体"/>
          <w:b w:val="0"/>
          <w:color w:val="181717" w:themeColor="background2" w:themeShade="1A"/>
        </w:rPr>
      </w:pPr>
      <w:r>
        <w:rPr>
          <w:rFonts w:hint="eastAsia" w:ascii="黑体" w:hAnsi="黑体" w:eastAsia="黑体"/>
          <w:b w:val="0"/>
          <w:color w:val="181717" w:themeColor="background2" w:themeShade="1A"/>
        </w:rPr>
        <w:t>第二部分  乌鲁木齐市水磨沟区委员会党校2016年部门预算公开表</w:t>
      </w:r>
    </w:p>
    <w:p>
      <w:pPr>
        <w:widowControl/>
        <w:spacing w:before="120" w:beforeLines="50" w:line="300" w:lineRule="auto"/>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表一：</w:t>
      </w:r>
    </w:p>
    <w:p>
      <w:pPr>
        <w:widowControl/>
        <w:spacing w:line="300" w:lineRule="auto"/>
        <w:jc w:val="center"/>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部门收支总体情况表</w:t>
      </w:r>
    </w:p>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编制部门：乌鲁木齐市水磨沟区委员会党校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r>
    </w:tbl>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表二：</w:t>
      </w:r>
    </w:p>
    <w:p>
      <w:pPr>
        <w:widowControl/>
        <w:spacing w:line="300" w:lineRule="auto"/>
        <w:jc w:val="center"/>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部门收入总体情况表</w:t>
      </w:r>
    </w:p>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填报部门：乌鲁木齐市水磨沟区委员会党校                           单位：万元</w:t>
      </w:r>
    </w:p>
    <w:tbl>
      <w:tblPr>
        <w:tblStyle w:val="13"/>
        <w:tblW w:w="8976" w:type="dxa"/>
        <w:tblInd w:w="93" w:type="dxa"/>
        <w:tblLayout w:type="fixed"/>
        <w:tblCellMar>
          <w:top w:w="0" w:type="dxa"/>
          <w:left w:w="108" w:type="dxa"/>
          <w:bottom w:w="0" w:type="dxa"/>
          <w:right w:w="108" w:type="dxa"/>
        </w:tblCellMar>
      </w:tblPr>
      <w:tblGrid>
        <w:gridCol w:w="546"/>
        <w:gridCol w:w="457"/>
        <w:gridCol w:w="457"/>
        <w:gridCol w:w="1564"/>
        <w:gridCol w:w="936"/>
        <w:gridCol w:w="93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功能分类科目编码</w:t>
            </w:r>
          </w:p>
        </w:tc>
        <w:tc>
          <w:tcPr>
            <w:tcW w:w="15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总  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项</w:t>
            </w:r>
          </w:p>
        </w:tc>
        <w:tc>
          <w:tcPr>
            <w:tcW w:w="1564"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eastAsia="仿宋_GB2312"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08</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02</w:t>
            </w:r>
          </w:p>
        </w:tc>
        <w:tc>
          <w:tcPr>
            <w:tcW w:w="1564"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936"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936"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156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hAnsiTheme="minorEastAsia"/>
                <w:color w:val="181717" w:themeColor="background2" w:themeShade="1A"/>
                <w:sz w:val="18"/>
                <w:szCs w:val="18"/>
              </w:rPr>
            </w:pPr>
          </w:p>
        </w:tc>
      </w:tr>
    </w:tbl>
    <w:p>
      <w:pPr>
        <w:widowControl/>
        <w:spacing w:line="300" w:lineRule="auto"/>
        <w:outlineLvl w:val="1"/>
        <w:rPr>
          <w:rFonts w:asciiTheme="minorEastAsia" w:hAnsiTheme="minorEastAsia" w:eastAsiaTheme="minorEastAsia"/>
          <w:kern w:val="0"/>
          <w:sz w:val="24"/>
        </w:rPr>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b/>
          <w:color w:val="181717" w:themeColor="background2" w:themeShade="1A"/>
          <w:kern w:val="0"/>
          <w:sz w:val="32"/>
          <w:szCs w:val="32"/>
        </w:rPr>
        <w:t>表三：</w:t>
      </w:r>
      <w:r>
        <w:rPr>
          <w:rFonts w:asciiTheme="minorEastAsia" w:hAnsiTheme="minorEastAsia" w:eastAsiaTheme="minorEastAsia"/>
          <w:kern w:val="0"/>
          <w:sz w:val="24"/>
        </w:rPr>
        <w:t xml:space="preserve"> </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部门支出总体情况表</w:t>
      </w:r>
    </w:p>
    <w:p>
      <w:pPr>
        <w:widowControl/>
        <w:spacing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4"/>
        <w:gridCol w:w="1797"/>
        <w:gridCol w:w="1798"/>
        <w:gridCol w:w="1660"/>
      </w:tblGrid>
      <w:tr>
        <w:tblPrEx>
          <w:tblLayout w:type="fixed"/>
          <w:tblCellMar>
            <w:top w:w="0" w:type="dxa"/>
            <w:left w:w="108" w:type="dxa"/>
            <w:bottom w:w="0" w:type="dxa"/>
            <w:right w:w="108" w:type="dxa"/>
          </w:tblCellMar>
        </w:tblPrEx>
        <w:trPr>
          <w:trHeight w:val="345" w:hRule="atLeast"/>
        </w:trPr>
        <w:tc>
          <w:tcPr>
            <w:tcW w:w="39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525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7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51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79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79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08</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2514"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179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111.27</w:t>
            </w: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30.22</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251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179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111.27</w:t>
            </w:r>
          </w:p>
        </w:tc>
        <w:tc>
          <w:tcPr>
            <w:tcW w:w="166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30.22</w:t>
            </w:r>
          </w:p>
        </w:tc>
      </w:tr>
    </w:tbl>
    <w:p>
      <w:pPr>
        <w:widowControl/>
        <w:spacing w:before="120" w:beforeLines="50" w:line="300" w:lineRule="auto"/>
        <w:outlineLvl w:val="1"/>
        <w:rPr>
          <w:rFonts w:asciiTheme="minorEastAsia" w:hAnsiTheme="minorEastAsia" w:eastAsiaTheme="minorEastAsia"/>
          <w:b/>
          <w:kern w:val="0"/>
          <w:sz w:val="24"/>
        </w:rPr>
      </w:pPr>
    </w:p>
    <w:p>
      <w:pPr>
        <w:widowControl/>
        <w:jc w:val="left"/>
        <w:rPr>
          <w:rFonts w:asciiTheme="minorEastAsia" w:hAnsiTheme="minorEastAsia" w:eastAsiaTheme="minorEastAsia"/>
          <w:b/>
          <w:kern w:val="0"/>
          <w:sz w:val="24"/>
        </w:rPr>
      </w:pPr>
      <w:r>
        <w:rPr>
          <w:rFonts w:asciiTheme="minorEastAsia" w:hAnsiTheme="minorEastAsia" w:eastAsiaTheme="minorEastAsia"/>
          <w:b/>
          <w:kern w:val="0"/>
          <w:sz w:val="24"/>
        </w:rPr>
        <w:br w:type="page"/>
      </w:r>
    </w:p>
    <w:p>
      <w:pPr>
        <w:widowControl/>
        <w:spacing w:before="120" w:beforeLines="50" w:line="300" w:lineRule="auto"/>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表四：</w:t>
      </w:r>
    </w:p>
    <w:p>
      <w:pPr>
        <w:widowControl/>
        <w:spacing w:before="120" w:beforeLines="50"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财政拨款收支预算总体情况表</w:t>
      </w:r>
    </w:p>
    <w:p>
      <w:pPr>
        <w:widowControl/>
        <w:spacing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编制部门：乌鲁木齐市水磨沟区委员会党校                        单位：万元</w:t>
      </w:r>
    </w:p>
    <w:tbl>
      <w:tblPr>
        <w:tblStyle w:val="13"/>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278"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141.49</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141.49</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141.49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kern w:val="0"/>
          <w:sz w:val="24"/>
        </w:rPr>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表五：</w:t>
      </w:r>
      <w:r>
        <w:rPr>
          <w:rFonts w:ascii="仿宋_GB2312" w:eastAsia="仿宋_GB2312" w:hAnsiTheme="minorEastAsia"/>
          <w:b/>
          <w:color w:val="181717" w:themeColor="background2" w:themeShade="1A"/>
          <w:kern w:val="0"/>
          <w:sz w:val="32"/>
          <w:szCs w:val="32"/>
        </w:rPr>
        <w:t xml:space="preserve"> </w:t>
      </w:r>
    </w:p>
    <w:tbl>
      <w:tblPr>
        <w:tblStyle w:val="13"/>
        <w:tblW w:w="9143" w:type="dxa"/>
        <w:tblInd w:w="93" w:type="dxa"/>
        <w:tblLayout w:type="fixed"/>
        <w:tblCellMar>
          <w:top w:w="0" w:type="dxa"/>
          <w:left w:w="108" w:type="dxa"/>
          <w:bottom w:w="0" w:type="dxa"/>
          <w:right w:w="108" w:type="dxa"/>
        </w:tblCellMar>
      </w:tblPr>
      <w:tblGrid>
        <w:gridCol w:w="531"/>
        <w:gridCol w:w="492"/>
        <w:gridCol w:w="457"/>
        <w:gridCol w:w="2436"/>
        <w:gridCol w:w="1684"/>
        <w:gridCol w:w="1842"/>
        <w:gridCol w:w="1701"/>
      </w:tblGrid>
      <w:tr>
        <w:tblPrEx>
          <w:tblLayout w:type="fixed"/>
          <w:tblCellMar>
            <w:top w:w="0" w:type="dxa"/>
            <w:left w:w="108" w:type="dxa"/>
            <w:bottom w:w="0" w:type="dxa"/>
            <w:right w:w="108" w:type="dxa"/>
          </w:tblCellMar>
        </w:tblPrEx>
        <w:trPr>
          <w:trHeight w:val="450" w:hRule="atLeast"/>
        </w:trPr>
        <w:tc>
          <w:tcPr>
            <w:tcW w:w="9143" w:type="dxa"/>
            <w:gridSpan w:val="7"/>
            <w:tcBorders>
              <w:top w:val="nil"/>
              <w:left w:val="nil"/>
              <w:bottom w:val="nil"/>
              <w:right w:val="nil"/>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r>
              <w:rPr>
                <w:rFonts w:hint="eastAsia" w:ascii="仿宋_GB2312" w:eastAsia="仿宋_GB2312" w:cs="宋体" w:hAnsiTheme="minorEastAsia"/>
                <w:b/>
                <w:bCs/>
                <w:color w:val="181717" w:themeColor="background2" w:themeShade="1A"/>
                <w:kern w:val="0"/>
                <w:sz w:val="32"/>
                <w:szCs w:val="32"/>
              </w:rPr>
              <w:t>一般公共预算支出情况表</w:t>
            </w:r>
          </w:p>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405" w:hRule="atLeast"/>
        </w:trPr>
        <w:tc>
          <w:tcPr>
            <w:tcW w:w="39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43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43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08</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243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184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w:t>
            </w:r>
            <w:r>
              <w:rPr>
                <w:rFonts w:hint="eastAsia" w:ascii="仿宋_GB2312" w:eastAsia="仿宋_GB2312" w:hAnsiTheme="minorEastAsia"/>
                <w:color w:val="181717" w:themeColor="background2" w:themeShade="1A"/>
                <w:sz w:val="18"/>
                <w:szCs w:val="18"/>
                <w:lang w:val="en-US" w:eastAsia="zh-CN"/>
              </w:rPr>
              <w:t>1</w:t>
            </w:r>
            <w:r>
              <w:rPr>
                <w:rFonts w:hint="eastAsia" w:ascii="仿宋_GB2312" w:eastAsia="仿宋_GB2312" w:hAnsiTheme="minorEastAsia"/>
                <w:color w:val="181717" w:themeColor="background2" w:themeShade="1A"/>
                <w:sz w:val="18"/>
                <w:szCs w:val="18"/>
              </w:rPr>
              <w:t>1.27</w:t>
            </w: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30.22</w:t>
            </w: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2436"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141.49</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w:t>
            </w:r>
            <w:r>
              <w:rPr>
                <w:rFonts w:hint="eastAsia" w:ascii="仿宋_GB2312" w:eastAsia="仿宋_GB2312" w:hAnsiTheme="minorEastAsia"/>
                <w:color w:val="181717" w:themeColor="background2" w:themeShade="1A"/>
                <w:sz w:val="18"/>
                <w:szCs w:val="18"/>
                <w:lang w:val="en-US" w:eastAsia="zh-CN"/>
              </w:rPr>
              <w:t>1</w:t>
            </w:r>
            <w:r>
              <w:rPr>
                <w:rFonts w:hint="eastAsia" w:ascii="仿宋_GB2312" w:eastAsia="仿宋_GB2312" w:hAnsiTheme="minorEastAsia"/>
                <w:color w:val="181717" w:themeColor="background2" w:themeShade="1A"/>
                <w:sz w:val="18"/>
                <w:szCs w:val="18"/>
              </w:rPr>
              <w:t>1.27</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30.22</w:t>
            </w:r>
          </w:p>
        </w:tc>
      </w:tr>
    </w:tbl>
    <w:p>
      <w:pPr>
        <w:widowControl/>
        <w:spacing w:line="300" w:lineRule="auto"/>
        <w:jc w:val="left"/>
        <w:outlineLvl w:val="1"/>
        <w:rPr>
          <w:rFonts w:asciiTheme="minorEastAsia" w:hAnsiTheme="minorEastAsia" w:eastAsiaTheme="minorEastAsia"/>
          <w:b/>
          <w:kern w:val="0"/>
          <w:sz w:val="24"/>
        </w:rPr>
      </w:pPr>
    </w:p>
    <w:p>
      <w:pPr>
        <w:widowControl/>
        <w:jc w:val="left"/>
        <w:rPr>
          <w:rFonts w:asciiTheme="minorEastAsia" w:hAnsiTheme="minorEastAsia" w:eastAsiaTheme="minorEastAsia"/>
          <w:b/>
          <w:kern w:val="0"/>
          <w:sz w:val="24"/>
        </w:rPr>
      </w:pPr>
      <w:r>
        <w:rPr>
          <w:rFonts w:asciiTheme="minorEastAsia" w:hAnsiTheme="minorEastAsia" w:eastAsiaTheme="minorEastAsia"/>
          <w:b/>
          <w:kern w:val="0"/>
          <w:sz w:val="24"/>
        </w:rPr>
        <w:br w:type="page"/>
      </w:r>
    </w:p>
    <w:p>
      <w:pPr>
        <w:widowControl/>
        <w:jc w:val="left"/>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表六：</w:t>
      </w:r>
      <w:r>
        <w:rPr>
          <w:rFonts w:asciiTheme="minorEastAsia" w:hAnsiTheme="minorEastAsia" w:eastAsiaTheme="minorEastAsia"/>
          <w:b/>
          <w:kern w:val="0"/>
          <w:sz w:val="24"/>
        </w:rPr>
        <w:t xml:space="preserve"> </w:t>
      </w:r>
    </w:p>
    <w:tbl>
      <w:tblPr>
        <w:tblStyle w:val="13"/>
        <w:tblW w:w="9087" w:type="dxa"/>
        <w:tblInd w:w="93" w:type="dxa"/>
        <w:tblLayout w:type="fixed"/>
        <w:tblCellMar>
          <w:top w:w="0" w:type="dxa"/>
          <w:left w:w="108" w:type="dxa"/>
          <w:bottom w:w="0" w:type="dxa"/>
          <w:right w:w="108" w:type="dxa"/>
        </w:tblCellMar>
      </w:tblPr>
      <w:tblGrid>
        <w:gridCol w:w="576"/>
        <w:gridCol w:w="577"/>
        <w:gridCol w:w="3682"/>
        <w:gridCol w:w="1417"/>
        <w:gridCol w:w="1418"/>
        <w:gridCol w:w="1417"/>
      </w:tblGrid>
      <w:tr>
        <w:tblPrEx>
          <w:tblLayout w:type="fixed"/>
          <w:tblCellMar>
            <w:top w:w="0" w:type="dxa"/>
            <w:left w:w="108" w:type="dxa"/>
            <w:bottom w:w="0" w:type="dxa"/>
            <w:right w:w="108" w:type="dxa"/>
          </w:tblCellMar>
        </w:tblPrEx>
        <w:trPr>
          <w:trHeight w:val="375" w:hRule="atLeast"/>
        </w:trPr>
        <w:tc>
          <w:tcPr>
            <w:tcW w:w="9087" w:type="dxa"/>
            <w:gridSpan w:val="6"/>
            <w:tcBorders>
              <w:top w:val="nil"/>
              <w:left w:val="nil"/>
              <w:bottom w:val="nil"/>
              <w:right w:val="nil"/>
            </w:tcBorders>
            <w:shd w:val="clear" w:color="auto" w:fill="auto"/>
            <w:vAlign w:val="center"/>
          </w:tcPr>
          <w:p>
            <w:pPr>
              <w:widowControl/>
              <w:spacing w:line="560" w:lineRule="exact"/>
              <w:jc w:val="center"/>
              <w:rPr>
                <w:rFonts w:ascii="仿宋_GB2312" w:eastAsia="仿宋_GB2312" w:cs="宋体" w:hAnsiTheme="minorEastAsia"/>
                <w:b/>
                <w:bCs/>
                <w:color w:val="181717" w:themeColor="background2" w:themeShade="1A"/>
                <w:kern w:val="0"/>
                <w:sz w:val="32"/>
                <w:szCs w:val="32"/>
              </w:rPr>
            </w:pPr>
            <w:r>
              <w:rPr>
                <w:rFonts w:hint="eastAsia" w:ascii="仿宋_GB2312" w:eastAsia="仿宋_GB2312" w:cs="宋体" w:hAnsiTheme="minorEastAsia"/>
                <w:b/>
                <w:bCs/>
                <w:color w:val="181717" w:themeColor="background2" w:themeShade="1A"/>
                <w:kern w:val="0"/>
                <w:sz w:val="32"/>
                <w:szCs w:val="32"/>
              </w:rPr>
              <w:t>一般公共预算基本支出情况表</w:t>
            </w:r>
          </w:p>
          <w:p>
            <w:pPr>
              <w:widowControl/>
              <w:spacing w:line="300" w:lineRule="auto"/>
              <w:jc w:val="center"/>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83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425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经济分类科目编码</w:t>
            </w:r>
          </w:p>
        </w:tc>
        <w:tc>
          <w:tcPr>
            <w:tcW w:w="3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经济分类科目名称</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人员经费</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368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309"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01</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基本工资</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17.78</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17.78</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02</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津贴补贴</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22.53</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ind w:right="147" w:rightChars="70"/>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22.53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03</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奖金</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1.48</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1.48</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04</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社会保障缴费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17.75</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17.75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06</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伙食补助费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0.95</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0.95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07</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绩效工资</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99</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其他工资福利支出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0.38</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0.38</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01</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办公费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0.48</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0.4</w:t>
            </w:r>
            <w:r>
              <w:rPr>
                <w:rFonts w:hint="eastAsia" w:ascii="仿宋_GB2312" w:eastAsia="仿宋_GB2312" w:cs="宋体" w:hAnsiTheme="minorEastAsia"/>
                <w:color w:val="181717" w:themeColor="background2" w:themeShade="1A"/>
                <w:kern w:val="0"/>
                <w:sz w:val="18"/>
                <w:szCs w:val="18"/>
              </w:rPr>
              <w:t>8</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05</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水费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0.10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w:t>
            </w:r>
            <w:r>
              <w:rPr>
                <w:rFonts w:hint="eastAsia" w:ascii="仿宋_GB2312" w:eastAsia="仿宋_GB2312" w:cs="宋体" w:hAnsiTheme="minorEastAsia"/>
                <w:color w:val="181717" w:themeColor="background2" w:themeShade="1A"/>
                <w:kern w:val="0"/>
                <w:sz w:val="18"/>
                <w:szCs w:val="18"/>
              </w:rPr>
              <w:t>10</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06</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电费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0.21</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w:t>
            </w:r>
            <w:r>
              <w:rPr>
                <w:rFonts w:hint="eastAsia" w:ascii="仿宋_GB2312" w:eastAsia="仿宋_GB2312" w:cs="宋体" w:hAnsiTheme="minorEastAsia"/>
                <w:color w:val="181717" w:themeColor="background2" w:themeShade="1A"/>
                <w:kern w:val="0"/>
                <w:sz w:val="18"/>
                <w:szCs w:val="18"/>
              </w:rPr>
              <w:t>21</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07</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邮电费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0.25</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0.2</w:t>
            </w:r>
            <w:r>
              <w:rPr>
                <w:rFonts w:hint="eastAsia" w:ascii="仿宋_GB2312" w:eastAsia="仿宋_GB2312" w:cs="宋体" w:hAnsiTheme="minorEastAsia"/>
                <w:color w:val="181717" w:themeColor="background2" w:themeShade="1A"/>
                <w:kern w:val="0"/>
                <w:sz w:val="18"/>
                <w:szCs w:val="18"/>
              </w:rPr>
              <w:t>5</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08</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办公取暖费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4.77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4.77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31</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公务用车运行维护费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2.47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2.47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11</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差旅费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0.60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w:t>
            </w:r>
            <w:r>
              <w:rPr>
                <w:rFonts w:hint="eastAsia" w:ascii="仿宋_GB2312" w:eastAsia="仿宋_GB2312" w:cs="宋体" w:hAnsiTheme="minorEastAsia"/>
                <w:color w:val="181717" w:themeColor="background2" w:themeShade="1A"/>
                <w:kern w:val="0"/>
                <w:sz w:val="18"/>
                <w:szCs w:val="18"/>
              </w:rPr>
              <w:t>60</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13</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维修(护)费(含其他维修)</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1.21</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w:t>
            </w:r>
            <w:r>
              <w:rPr>
                <w:rFonts w:hint="eastAsia" w:ascii="仿宋_GB2312" w:eastAsia="仿宋_GB2312" w:cs="宋体" w:hAnsiTheme="minorEastAsia"/>
                <w:color w:val="181717" w:themeColor="background2" w:themeShade="1A"/>
                <w:kern w:val="0"/>
                <w:sz w:val="18"/>
                <w:szCs w:val="18"/>
              </w:rPr>
              <w:t>21</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16</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培训费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0.3</w:t>
            </w:r>
            <w:r>
              <w:rPr>
                <w:rFonts w:hint="eastAsia" w:ascii="仿宋_GB2312" w:eastAsia="仿宋_GB2312" w:cs="宋体" w:hAnsiTheme="minorEastAsia"/>
                <w:color w:val="181717" w:themeColor="background2" w:themeShade="1A"/>
                <w:kern w:val="0"/>
                <w:sz w:val="18"/>
                <w:szCs w:val="18"/>
              </w:rPr>
              <w:t>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0.3</w:t>
            </w:r>
            <w:r>
              <w:rPr>
                <w:rFonts w:hint="eastAsia" w:ascii="仿宋_GB2312" w:eastAsia="仿宋_GB2312" w:cs="宋体" w:hAnsiTheme="minorEastAsia"/>
                <w:color w:val="181717" w:themeColor="background2" w:themeShade="1A"/>
                <w:kern w:val="0"/>
                <w:sz w:val="18"/>
                <w:szCs w:val="18"/>
              </w:rPr>
              <w:t>6</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17</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公务接待费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0.02</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0.02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28</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工会经费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0.24</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0.2</w:t>
            </w:r>
            <w:r>
              <w:rPr>
                <w:rFonts w:hint="eastAsia" w:ascii="仿宋_GB2312" w:eastAsia="仿宋_GB2312" w:cs="宋体" w:hAnsiTheme="minorEastAsia"/>
                <w:color w:val="181717" w:themeColor="background2" w:themeShade="1A"/>
                <w:kern w:val="0"/>
                <w:sz w:val="18"/>
                <w:szCs w:val="18"/>
              </w:rPr>
              <w:t>4</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29</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福利费</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1.02</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1.02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99</w:t>
            </w: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其他商品服务支出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10.17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10.17</w:t>
            </w: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303</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09</w:t>
            </w:r>
          </w:p>
        </w:tc>
        <w:tc>
          <w:tcPr>
            <w:tcW w:w="3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奖励金</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21.60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21.60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303</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11</w:t>
            </w:r>
          </w:p>
        </w:tc>
        <w:tc>
          <w:tcPr>
            <w:tcW w:w="3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住房公积金</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6.31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6.31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303</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14</w:t>
            </w:r>
          </w:p>
        </w:tc>
        <w:tc>
          <w:tcPr>
            <w:tcW w:w="3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采暖补贴</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0.55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0.55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303</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99</w:t>
            </w:r>
          </w:p>
        </w:tc>
        <w:tc>
          <w:tcPr>
            <w:tcW w:w="3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其他对个人和家庭的补助支出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0.04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0.04</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368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合计</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1</w:t>
            </w:r>
            <w:r>
              <w:rPr>
                <w:rFonts w:hint="eastAsia" w:ascii="仿宋_GB2312" w:eastAsia="仿宋_GB2312" w:cs="宋体" w:hAnsiTheme="minorEastAsia"/>
                <w:color w:val="181717" w:themeColor="background2" w:themeShade="1A"/>
                <w:kern w:val="0"/>
                <w:sz w:val="18"/>
                <w:szCs w:val="18"/>
                <w:lang w:val="en-US" w:eastAsia="zh-CN"/>
              </w:rPr>
              <w:t>1</w:t>
            </w:r>
            <w:r>
              <w:rPr>
                <w:rFonts w:hint="eastAsia" w:ascii="仿宋_GB2312" w:eastAsia="仿宋_GB2312" w:cs="宋体" w:hAnsiTheme="minorEastAsia"/>
                <w:color w:val="181717" w:themeColor="background2" w:themeShade="1A"/>
                <w:kern w:val="0"/>
                <w:sz w:val="18"/>
                <w:szCs w:val="18"/>
              </w:rPr>
              <w:t>1.27</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89.37</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21.90</w:t>
            </w:r>
          </w:p>
        </w:tc>
      </w:tr>
    </w:tbl>
    <w:p>
      <w:pPr>
        <w:widowControl/>
        <w:spacing w:line="300" w:lineRule="auto"/>
        <w:jc w:val="left"/>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表七：</w:t>
      </w:r>
      <w:r>
        <w:rPr>
          <w:rFonts w:asciiTheme="minorEastAsia" w:hAnsiTheme="minorEastAsia" w:eastAsiaTheme="minorEastAsia"/>
          <w:b/>
          <w:kern w:val="0"/>
          <w:sz w:val="24"/>
        </w:rPr>
        <w:t xml:space="preserve"> </w:t>
      </w:r>
    </w:p>
    <w:tbl>
      <w:tblPr>
        <w:tblStyle w:val="13"/>
        <w:tblW w:w="10713" w:type="dxa"/>
        <w:jc w:val="center"/>
        <w:tblInd w:w="0" w:type="dxa"/>
        <w:tblLayout w:type="fixed"/>
        <w:tblCellMar>
          <w:top w:w="0" w:type="dxa"/>
          <w:left w:w="108" w:type="dxa"/>
          <w:bottom w:w="0" w:type="dxa"/>
          <w:right w:w="108" w:type="dxa"/>
        </w:tblCellMar>
      </w:tblPr>
      <w:tblGrid>
        <w:gridCol w:w="10"/>
        <w:gridCol w:w="521"/>
        <w:gridCol w:w="457"/>
        <w:gridCol w:w="457"/>
        <w:gridCol w:w="851"/>
        <w:gridCol w:w="1456"/>
        <w:gridCol w:w="951"/>
        <w:gridCol w:w="666"/>
        <w:gridCol w:w="783"/>
        <w:gridCol w:w="709"/>
        <w:gridCol w:w="658"/>
        <w:gridCol w:w="698"/>
        <w:gridCol w:w="457"/>
        <w:gridCol w:w="698"/>
        <w:gridCol w:w="457"/>
        <w:gridCol w:w="457"/>
        <w:gridCol w:w="389"/>
        <w:gridCol w:w="38"/>
      </w:tblGrid>
      <w:tr>
        <w:tblPrEx>
          <w:tblLayout w:type="fixed"/>
          <w:tblCellMar>
            <w:top w:w="0" w:type="dxa"/>
            <w:left w:w="108" w:type="dxa"/>
            <w:bottom w:w="0" w:type="dxa"/>
            <w:right w:w="108" w:type="dxa"/>
          </w:tblCellMar>
        </w:tblPrEx>
        <w:trPr>
          <w:gridBefore w:val="1"/>
          <w:gridAfter w:val="1"/>
          <w:wBefore w:w="10" w:type="dxa"/>
          <w:wAfter w:w="38" w:type="dxa"/>
          <w:trHeight w:val="375" w:hRule="atLeast"/>
          <w:jc w:val="center"/>
        </w:trPr>
        <w:tc>
          <w:tcPr>
            <w:tcW w:w="10665"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32"/>
                <w:szCs w:val="32"/>
              </w:rPr>
            </w:pPr>
            <w:r>
              <w:rPr>
                <w:rFonts w:hint="eastAsia" w:ascii="仿宋_GB2312" w:eastAsia="仿宋_GB2312" w:cs="宋体" w:hAnsiTheme="minorEastAsia"/>
                <w:b/>
                <w:bCs/>
                <w:color w:val="181717" w:themeColor="background2" w:themeShade="1A"/>
                <w:kern w:val="0"/>
                <w:sz w:val="32"/>
                <w:szCs w:val="32"/>
              </w:rPr>
              <w:t>一般公共预算项目支出情况表</w:t>
            </w:r>
          </w:p>
          <w:p>
            <w:pPr>
              <w:widowControl/>
              <w:spacing w:before="120" w:beforeLines="50"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45" w:type="dxa"/>
            <w:gridSpan w:val="4"/>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科 目 编 码</w:t>
            </w:r>
          </w:p>
        </w:tc>
        <w:tc>
          <w:tcPr>
            <w:tcW w:w="851"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科目</w:t>
            </w:r>
          </w:p>
        </w:tc>
        <w:tc>
          <w:tcPr>
            <w:tcW w:w="1456"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项目名称</w:t>
            </w:r>
          </w:p>
        </w:tc>
        <w:tc>
          <w:tcPr>
            <w:tcW w:w="951"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项目支出合计</w:t>
            </w:r>
          </w:p>
        </w:tc>
        <w:tc>
          <w:tcPr>
            <w:tcW w:w="666"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工资福利支出</w:t>
            </w:r>
          </w:p>
        </w:tc>
        <w:tc>
          <w:tcPr>
            <w:tcW w:w="783"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商品和服务支出</w:t>
            </w:r>
          </w:p>
        </w:tc>
        <w:tc>
          <w:tcPr>
            <w:tcW w:w="709"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对个人和家庭的补助</w:t>
            </w:r>
          </w:p>
        </w:tc>
        <w:tc>
          <w:tcPr>
            <w:tcW w:w="658"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债务利息及费用支出</w:t>
            </w:r>
          </w:p>
        </w:tc>
        <w:tc>
          <w:tcPr>
            <w:tcW w:w="698"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资本性支出（基本建设）</w:t>
            </w:r>
          </w:p>
        </w:tc>
        <w:tc>
          <w:tcPr>
            <w:tcW w:w="457"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资本性支出</w:t>
            </w:r>
          </w:p>
        </w:tc>
        <w:tc>
          <w:tcPr>
            <w:tcW w:w="698"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对企业补助（基本建设）</w:t>
            </w:r>
          </w:p>
        </w:tc>
        <w:tc>
          <w:tcPr>
            <w:tcW w:w="457"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对企业补助</w:t>
            </w:r>
          </w:p>
        </w:tc>
        <w:tc>
          <w:tcPr>
            <w:tcW w:w="457" w:type="dxa"/>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对社会保障基金补助</w:t>
            </w:r>
          </w:p>
        </w:tc>
        <w:tc>
          <w:tcPr>
            <w:tcW w:w="427" w:type="dxa"/>
            <w:gridSpan w:val="2"/>
            <w:vMerge w:val="restart"/>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31" w:type="dxa"/>
            <w:gridSpan w:val="2"/>
            <w:tcBorders>
              <w:bottom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类</w:t>
            </w:r>
          </w:p>
        </w:tc>
        <w:tc>
          <w:tcPr>
            <w:tcW w:w="457" w:type="dxa"/>
            <w:tcBorders>
              <w:bottom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款</w:t>
            </w:r>
          </w:p>
        </w:tc>
        <w:tc>
          <w:tcPr>
            <w:tcW w:w="457" w:type="dxa"/>
            <w:tcBorders>
              <w:bottom w:val="single" w:color="auto" w:sz="4" w:space="0"/>
            </w:tcBorders>
            <w:shd w:val="clear" w:color="auto" w:fill="auto"/>
            <w:vAlign w:val="center"/>
          </w:tcPr>
          <w:p>
            <w:pPr>
              <w:spacing w:line="300" w:lineRule="auto"/>
              <w:jc w:val="center"/>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Theme="minorEastAsia" w:hAnsiTheme="minorEastAsia" w:eastAsiaTheme="minorEastAsia"/>
                <w:b/>
                <w:kern w:val="0"/>
                <w:sz w:val="24"/>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951"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666"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783"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709"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658"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c>
          <w:tcPr>
            <w:tcW w:w="427" w:type="dxa"/>
            <w:gridSpan w:val="2"/>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31" w:type="dxa"/>
            <w:gridSpan w:val="2"/>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20</w:t>
            </w:r>
            <w:r>
              <w:rPr>
                <w:rFonts w:hint="eastAsia" w:ascii="仿宋_GB2312" w:eastAsia="仿宋_GB2312" w:hAnsiTheme="minorEastAsia"/>
                <w:color w:val="181717" w:themeColor="background2" w:themeShade="1A"/>
                <w:sz w:val="18"/>
                <w:szCs w:val="18"/>
              </w:rPr>
              <w:t>5</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0</w:t>
            </w:r>
            <w:r>
              <w:rPr>
                <w:rFonts w:hint="eastAsia" w:ascii="仿宋_GB2312" w:eastAsia="仿宋_GB2312" w:hAnsiTheme="minorEastAsia"/>
                <w:color w:val="181717" w:themeColor="background2" w:themeShade="1A"/>
                <w:sz w:val="18"/>
                <w:szCs w:val="18"/>
              </w:rPr>
              <w:t>8</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851"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1456"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党校培训经费</w:t>
            </w:r>
          </w:p>
        </w:tc>
        <w:tc>
          <w:tcPr>
            <w:tcW w:w="951"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10</w:t>
            </w:r>
          </w:p>
        </w:tc>
        <w:tc>
          <w:tcPr>
            <w:tcW w:w="666"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783"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10</w:t>
            </w:r>
          </w:p>
        </w:tc>
        <w:tc>
          <w:tcPr>
            <w:tcW w:w="709"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65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69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69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27" w:type="dxa"/>
            <w:gridSpan w:val="2"/>
            <w:shd w:val="clear" w:color="auto" w:fill="auto"/>
          </w:tcPr>
          <w:p>
            <w:pPr>
              <w:jc w:val="right"/>
              <w:rPr>
                <w:rFonts w:ascii="仿宋_GB2312" w:eastAsia="仿宋_GB2312" w:hAnsiTheme="minorEastAsia"/>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31" w:type="dxa"/>
            <w:gridSpan w:val="2"/>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20</w:t>
            </w:r>
            <w:r>
              <w:rPr>
                <w:rFonts w:hint="eastAsia" w:ascii="仿宋_GB2312" w:eastAsia="仿宋_GB2312" w:hAnsiTheme="minorEastAsia"/>
                <w:color w:val="181717" w:themeColor="background2" w:themeShade="1A"/>
                <w:sz w:val="18"/>
                <w:szCs w:val="18"/>
              </w:rPr>
              <w:t>5</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0</w:t>
            </w:r>
            <w:r>
              <w:rPr>
                <w:rFonts w:hint="eastAsia" w:ascii="仿宋_GB2312" w:eastAsia="仿宋_GB2312" w:hAnsiTheme="minorEastAsia"/>
                <w:color w:val="181717" w:themeColor="background2" w:themeShade="1A"/>
                <w:sz w:val="18"/>
                <w:szCs w:val="18"/>
              </w:rPr>
              <w:t>8</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851"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1456"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临时聘用司机、安保等人员维稳补助</w:t>
            </w:r>
          </w:p>
        </w:tc>
        <w:tc>
          <w:tcPr>
            <w:tcW w:w="951"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1.2</w:t>
            </w:r>
            <w:r>
              <w:rPr>
                <w:rFonts w:hint="eastAsia" w:ascii="仿宋_GB2312" w:eastAsia="仿宋_GB2312" w:hAnsiTheme="minorEastAsia"/>
                <w:color w:val="181717" w:themeColor="background2" w:themeShade="1A"/>
                <w:sz w:val="18"/>
                <w:szCs w:val="18"/>
              </w:rPr>
              <w:t>0</w:t>
            </w:r>
          </w:p>
        </w:tc>
        <w:tc>
          <w:tcPr>
            <w:tcW w:w="666"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783"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709"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1.2</w:t>
            </w:r>
            <w:r>
              <w:rPr>
                <w:rFonts w:hint="eastAsia" w:ascii="仿宋_GB2312" w:eastAsia="仿宋_GB2312" w:hAnsiTheme="minorEastAsia"/>
                <w:color w:val="181717" w:themeColor="background2" w:themeShade="1A"/>
                <w:sz w:val="18"/>
                <w:szCs w:val="18"/>
              </w:rPr>
              <w:t>0</w:t>
            </w:r>
          </w:p>
        </w:tc>
        <w:tc>
          <w:tcPr>
            <w:tcW w:w="65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69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698"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p>
        </w:tc>
        <w:tc>
          <w:tcPr>
            <w:tcW w:w="427" w:type="dxa"/>
            <w:gridSpan w:val="2"/>
            <w:shd w:val="clear" w:color="auto" w:fill="auto"/>
          </w:tcPr>
          <w:p>
            <w:pPr>
              <w:jc w:val="right"/>
              <w:rPr>
                <w:rFonts w:ascii="仿宋_GB2312" w:eastAsia="仿宋_GB2312" w:hAnsiTheme="minorEastAsia"/>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31" w:type="dxa"/>
            <w:gridSpan w:val="2"/>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20</w:t>
            </w:r>
            <w:r>
              <w:rPr>
                <w:rFonts w:hint="eastAsia" w:ascii="仿宋_GB2312" w:eastAsia="仿宋_GB2312" w:hAnsiTheme="minorEastAsia"/>
                <w:color w:val="181717" w:themeColor="background2" w:themeShade="1A"/>
                <w:sz w:val="18"/>
                <w:szCs w:val="18"/>
              </w:rPr>
              <w:t>5</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0</w:t>
            </w:r>
            <w:r>
              <w:rPr>
                <w:rFonts w:hint="eastAsia" w:ascii="仿宋_GB2312" w:eastAsia="仿宋_GB2312" w:hAnsiTheme="minorEastAsia"/>
                <w:color w:val="181717" w:themeColor="background2" w:themeShade="1A"/>
                <w:sz w:val="18"/>
                <w:szCs w:val="18"/>
              </w:rPr>
              <w:t>8</w:t>
            </w:r>
          </w:p>
        </w:tc>
        <w:tc>
          <w:tcPr>
            <w:tcW w:w="457"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851"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干部教育</w:t>
            </w:r>
          </w:p>
        </w:tc>
        <w:tc>
          <w:tcPr>
            <w:tcW w:w="1456" w:type="dxa"/>
            <w:shd w:val="clear" w:color="auto" w:fill="auto"/>
            <w:vAlign w:val="center"/>
          </w:tcPr>
          <w:p>
            <w:pPr>
              <w:jc w:val="lef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2016年临时聘用人员经费</w:t>
            </w:r>
          </w:p>
        </w:tc>
        <w:tc>
          <w:tcPr>
            <w:tcW w:w="951"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19.0</w:t>
            </w:r>
            <w:r>
              <w:rPr>
                <w:rFonts w:hint="eastAsia" w:ascii="仿宋_GB2312" w:eastAsia="仿宋_GB2312" w:hAnsiTheme="minorEastAsia"/>
                <w:color w:val="181717" w:themeColor="background2" w:themeShade="1A"/>
                <w:sz w:val="18"/>
                <w:szCs w:val="18"/>
              </w:rPr>
              <w:t>2</w:t>
            </w:r>
          </w:p>
        </w:tc>
        <w:tc>
          <w:tcPr>
            <w:tcW w:w="666"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19.0</w:t>
            </w:r>
            <w:r>
              <w:rPr>
                <w:rFonts w:hint="eastAsia" w:ascii="仿宋_GB2312" w:eastAsia="仿宋_GB2312" w:hAnsiTheme="minorEastAsia"/>
                <w:color w:val="181717" w:themeColor="background2" w:themeShade="1A"/>
                <w:sz w:val="18"/>
                <w:szCs w:val="18"/>
              </w:rPr>
              <w:t>2</w:t>
            </w:r>
          </w:p>
        </w:tc>
        <w:tc>
          <w:tcPr>
            <w:tcW w:w="783"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709"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658"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81717" w:themeColor="background2" w:themeShade="1A"/>
                <w:sz w:val="18"/>
                <w:szCs w:val="18"/>
              </w:rPr>
            </w:pPr>
          </w:p>
        </w:tc>
        <w:tc>
          <w:tcPr>
            <w:tcW w:w="427" w:type="dxa"/>
            <w:gridSpan w:val="2"/>
            <w:shd w:val="clear" w:color="auto" w:fill="auto"/>
          </w:tcPr>
          <w:p>
            <w:pPr>
              <w:widowControl/>
              <w:spacing w:line="300" w:lineRule="auto"/>
              <w:jc w:val="right"/>
              <w:outlineLvl w:val="1"/>
              <w:rPr>
                <w:rFonts w:ascii="仿宋_GB2312" w:eastAsia="仿宋_GB2312" w:hAnsiTheme="minorEastAsia"/>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31" w:type="dxa"/>
            <w:gridSpan w:val="2"/>
            <w:shd w:val="clear" w:color="auto" w:fill="auto"/>
          </w:tcPr>
          <w:p>
            <w:pPr>
              <w:jc w:val="right"/>
              <w:rPr>
                <w:rFonts w:ascii="仿宋_GB2312" w:eastAsia="仿宋_GB2312" w:hAnsiTheme="minorEastAsia"/>
                <w:color w:val="181717" w:themeColor="background2" w:themeShade="1A"/>
                <w:sz w:val="18"/>
                <w:szCs w:val="18"/>
              </w:rPr>
            </w:pPr>
          </w:p>
        </w:tc>
        <w:tc>
          <w:tcPr>
            <w:tcW w:w="457" w:type="dxa"/>
            <w:shd w:val="clear" w:color="auto" w:fill="auto"/>
          </w:tcPr>
          <w:p>
            <w:pPr>
              <w:jc w:val="right"/>
              <w:rPr>
                <w:rFonts w:ascii="仿宋_GB2312" w:eastAsia="仿宋_GB2312" w:hAnsiTheme="minorEastAsia"/>
                <w:color w:val="181717" w:themeColor="background2" w:themeShade="1A"/>
                <w:sz w:val="18"/>
                <w:szCs w:val="18"/>
              </w:rPr>
            </w:pPr>
          </w:p>
        </w:tc>
        <w:tc>
          <w:tcPr>
            <w:tcW w:w="457" w:type="dxa"/>
            <w:shd w:val="clear" w:color="auto" w:fill="auto"/>
          </w:tcPr>
          <w:p>
            <w:pPr>
              <w:jc w:val="right"/>
              <w:rPr>
                <w:rFonts w:ascii="仿宋_GB2312" w:eastAsia="仿宋_GB2312" w:hAnsiTheme="minorEastAsia"/>
                <w:color w:val="181717" w:themeColor="background2" w:themeShade="1A"/>
                <w:sz w:val="18"/>
                <w:szCs w:val="18"/>
              </w:rPr>
            </w:pPr>
          </w:p>
        </w:tc>
        <w:tc>
          <w:tcPr>
            <w:tcW w:w="851" w:type="dxa"/>
            <w:shd w:val="clear" w:color="auto" w:fill="auto"/>
          </w:tcPr>
          <w:p>
            <w:pPr>
              <w:jc w:val="right"/>
              <w:rPr>
                <w:rFonts w:ascii="仿宋_GB2312" w:eastAsia="仿宋_GB2312" w:hAnsiTheme="minorEastAsia"/>
                <w:color w:val="181717" w:themeColor="background2" w:themeShade="1A"/>
                <w:sz w:val="18"/>
                <w:szCs w:val="18"/>
              </w:rPr>
            </w:pPr>
          </w:p>
        </w:tc>
        <w:tc>
          <w:tcPr>
            <w:tcW w:w="1456" w:type="dxa"/>
            <w:shd w:val="clear" w:color="auto" w:fill="auto"/>
            <w:vAlign w:val="center"/>
          </w:tcPr>
          <w:p>
            <w:pPr>
              <w:jc w:val="center"/>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951"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30.22</w:t>
            </w:r>
          </w:p>
        </w:tc>
        <w:tc>
          <w:tcPr>
            <w:tcW w:w="666"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19.02</w:t>
            </w:r>
          </w:p>
        </w:tc>
        <w:tc>
          <w:tcPr>
            <w:tcW w:w="783"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10</w:t>
            </w:r>
          </w:p>
        </w:tc>
        <w:tc>
          <w:tcPr>
            <w:tcW w:w="709" w:type="dxa"/>
            <w:shd w:val="clear" w:color="auto" w:fill="auto"/>
            <w:vAlign w:val="center"/>
          </w:tcPr>
          <w:p>
            <w:pPr>
              <w:jc w:val="right"/>
              <w:rPr>
                <w:rFonts w:ascii="仿宋_GB2312" w:eastAsia="仿宋_GB2312" w:hAnsiTheme="minorEastAsia"/>
                <w:color w:val="181717" w:themeColor="background2" w:themeShade="1A"/>
                <w:sz w:val="18"/>
                <w:szCs w:val="18"/>
              </w:rPr>
            </w:pPr>
            <w:r>
              <w:rPr>
                <w:rFonts w:ascii="仿宋_GB2312" w:eastAsia="仿宋_GB2312" w:hAnsiTheme="minorEastAsia"/>
                <w:color w:val="181717" w:themeColor="background2" w:themeShade="1A"/>
                <w:sz w:val="18"/>
                <w:szCs w:val="18"/>
              </w:rPr>
              <w:t>1.2</w:t>
            </w:r>
            <w:r>
              <w:rPr>
                <w:rFonts w:hint="eastAsia" w:ascii="仿宋_GB2312" w:eastAsia="仿宋_GB2312" w:hAnsiTheme="minorEastAsia"/>
                <w:color w:val="181717" w:themeColor="background2" w:themeShade="1A"/>
                <w:sz w:val="18"/>
                <w:szCs w:val="18"/>
              </w:rPr>
              <w:t>0</w:t>
            </w:r>
          </w:p>
        </w:tc>
        <w:tc>
          <w:tcPr>
            <w:tcW w:w="658" w:type="dxa"/>
            <w:shd w:val="clear" w:color="auto" w:fill="auto"/>
          </w:tcPr>
          <w:p>
            <w:pPr>
              <w:jc w:val="right"/>
              <w:rPr>
                <w:rFonts w:ascii="仿宋_GB2312" w:eastAsia="仿宋_GB2312" w:hAnsiTheme="minorEastAsia"/>
                <w:color w:val="181717" w:themeColor="background2" w:themeShade="1A"/>
                <w:sz w:val="18"/>
                <w:szCs w:val="18"/>
              </w:rPr>
            </w:pPr>
          </w:p>
        </w:tc>
        <w:tc>
          <w:tcPr>
            <w:tcW w:w="698" w:type="dxa"/>
            <w:shd w:val="clear" w:color="auto" w:fill="auto"/>
          </w:tcPr>
          <w:p>
            <w:pPr>
              <w:jc w:val="right"/>
              <w:rPr>
                <w:rFonts w:ascii="仿宋_GB2312" w:eastAsia="仿宋_GB2312" w:hAnsiTheme="minorEastAsia"/>
                <w:color w:val="181717" w:themeColor="background2" w:themeShade="1A"/>
                <w:sz w:val="18"/>
                <w:szCs w:val="18"/>
              </w:rPr>
            </w:pPr>
          </w:p>
        </w:tc>
        <w:tc>
          <w:tcPr>
            <w:tcW w:w="457" w:type="dxa"/>
            <w:shd w:val="clear" w:color="auto" w:fill="auto"/>
          </w:tcPr>
          <w:p>
            <w:pPr>
              <w:jc w:val="right"/>
              <w:rPr>
                <w:rFonts w:ascii="仿宋_GB2312" w:eastAsia="仿宋_GB2312" w:hAnsiTheme="minorEastAsia"/>
                <w:color w:val="181717" w:themeColor="background2" w:themeShade="1A"/>
                <w:sz w:val="18"/>
                <w:szCs w:val="18"/>
              </w:rPr>
            </w:pPr>
          </w:p>
        </w:tc>
        <w:tc>
          <w:tcPr>
            <w:tcW w:w="698" w:type="dxa"/>
            <w:shd w:val="clear" w:color="auto" w:fill="auto"/>
          </w:tcPr>
          <w:p>
            <w:pPr>
              <w:jc w:val="right"/>
              <w:rPr>
                <w:rFonts w:ascii="仿宋_GB2312" w:eastAsia="仿宋_GB2312" w:hAnsiTheme="minorEastAsia"/>
                <w:color w:val="181717" w:themeColor="background2" w:themeShade="1A"/>
                <w:sz w:val="18"/>
                <w:szCs w:val="18"/>
              </w:rPr>
            </w:pPr>
          </w:p>
        </w:tc>
        <w:tc>
          <w:tcPr>
            <w:tcW w:w="457" w:type="dxa"/>
            <w:shd w:val="clear" w:color="auto" w:fill="auto"/>
          </w:tcPr>
          <w:p>
            <w:pPr>
              <w:jc w:val="right"/>
              <w:rPr>
                <w:rFonts w:ascii="仿宋_GB2312" w:eastAsia="仿宋_GB2312" w:hAnsiTheme="minorEastAsia"/>
                <w:color w:val="181717" w:themeColor="background2" w:themeShade="1A"/>
                <w:sz w:val="18"/>
                <w:szCs w:val="18"/>
              </w:rPr>
            </w:pPr>
          </w:p>
        </w:tc>
        <w:tc>
          <w:tcPr>
            <w:tcW w:w="457" w:type="dxa"/>
            <w:shd w:val="clear" w:color="auto" w:fill="auto"/>
          </w:tcPr>
          <w:p>
            <w:pPr>
              <w:jc w:val="right"/>
              <w:rPr>
                <w:rFonts w:ascii="仿宋_GB2312" w:eastAsia="仿宋_GB2312" w:hAnsiTheme="minorEastAsia"/>
                <w:color w:val="181717" w:themeColor="background2" w:themeShade="1A"/>
                <w:sz w:val="18"/>
                <w:szCs w:val="18"/>
              </w:rPr>
            </w:pPr>
          </w:p>
        </w:tc>
        <w:tc>
          <w:tcPr>
            <w:tcW w:w="427" w:type="dxa"/>
            <w:gridSpan w:val="2"/>
            <w:shd w:val="clear" w:color="auto" w:fill="auto"/>
          </w:tcPr>
          <w:p>
            <w:pPr>
              <w:jc w:val="right"/>
              <w:rPr>
                <w:rFonts w:ascii="仿宋_GB2312" w:eastAsia="仿宋_GB2312" w:hAnsiTheme="minorEastAsia"/>
                <w:color w:val="181717" w:themeColor="background2" w:themeShade="1A"/>
                <w:sz w:val="18"/>
                <w:szCs w:val="18"/>
              </w:rPr>
            </w:pPr>
          </w:p>
        </w:tc>
      </w:tr>
    </w:tbl>
    <w:p>
      <w:pPr>
        <w:widowControl/>
        <w:spacing w:line="300" w:lineRule="auto"/>
        <w:jc w:val="left"/>
        <w:outlineLvl w:val="1"/>
        <w:rPr>
          <w:rFonts w:asciiTheme="minorEastAsia" w:hAnsiTheme="minorEastAsia" w:eastAsiaTheme="minorEastAsia"/>
          <w:kern w:val="0"/>
          <w:sz w:val="24"/>
        </w:rPr>
      </w:pPr>
    </w:p>
    <w:p>
      <w:pPr>
        <w:widowControl/>
        <w:jc w:val="left"/>
        <w:rPr>
          <w:rFonts w:asciiTheme="minorEastAsia" w:hAnsiTheme="minorEastAsia" w:eastAsiaTheme="minorEastAsia"/>
          <w:b/>
          <w:kern w:val="0"/>
          <w:sz w:val="24"/>
        </w:rPr>
      </w:pPr>
      <w:r>
        <w:rPr>
          <w:rFonts w:asciiTheme="minorEastAsia" w:hAnsiTheme="minorEastAsia" w:eastAsiaTheme="minorEastAsia"/>
          <w:b/>
          <w:kern w:val="0"/>
          <w:sz w:val="24"/>
        </w:rPr>
        <w:br w:type="page"/>
      </w:r>
    </w:p>
    <w:p>
      <w:pPr>
        <w:widowControl/>
        <w:spacing w:line="300" w:lineRule="auto"/>
        <w:jc w:val="left"/>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表八：</w:t>
      </w:r>
      <w:r>
        <w:rPr>
          <w:rFonts w:asciiTheme="minorEastAsia" w:hAnsiTheme="minorEastAsia" w:eastAsiaTheme="minorEastAsia"/>
          <w:b/>
          <w:kern w:val="0"/>
          <w:sz w:val="24"/>
        </w:rPr>
        <w:t xml:space="preserve"> </w:t>
      </w:r>
    </w:p>
    <w:p>
      <w:pPr>
        <w:widowControl/>
        <w:spacing w:line="300" w:lineRule="auto"/>
        <w:jc w:val="center"/>
        <w:outlineLvl w:val="1"/>
        <w:rPr>
          <w:rFonts w:asciiTheme="minorEastAsia" w:hAnsiTheme="minorEastAsia" w:eastAsiaTheme="minorEastAsia"/>
          <w:b/>
          <w:kern w:val="0"/>
          <w:sz w:val="24"/>
        </w:rPr>
      </w:pPr>
      <w:r>
        <w:rPr>
          <w:rFonts w:hint="eastAsia" w:ascii="仿宋_GB2312" w:eastAsia="仿宋_GB2312" w:hAnsiTheme="minorEastAsia"/>
          <w:b/>
          <w:color w:val="18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2.47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2.47</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ascii="仿宋_GB2312" w:eastAsia="仿宋_GB2312" w:cs="宋体" w:hAnsiTheme="minorEastAsia"/>
                <w:color w:val="181717" w:themeColor="background2" w:themeShade="1A"/>
                <w:kern w:val="0"/>
                <w:sz w:val="18"/>
                <w:szCs w:val="18"/>
              </w:rPr>
              <w:t>0.02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Cs w:val="21"/>
              </w:rPr>
            </w:pPr>
          </w:p>
        </w:tc>
      </w:tr>
    </w:tbl>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widowControl/>
        <w:spacing w:line="300" w:lineRule="auto"/>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政府性基金预算支出情况表</w:t>
      </w:r>
    </w:p>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24"/>
        </w:rPr>
        <w:t xml:space="preserve">编制部门：乌鲁木齐市水磨沟区委员会党校    </w:t>
      </w:r>
      <w:r>
        <w:rPr>
          <w:rFonts w:ascii="仿宋_GB2312" w:eastAsia="仿宋_GB2312" w:hAnsiTheme="minorEastAsia"/>
          <w:color w:val="181717" w:themeColor="background2" w:themeShade="1A"/>
          <w:kern w:val="0"/>
          <w:sz w:val="24"/>
        </w:rPr>
        <w:t xml:space="preserve">      </w:t>
      </w:r>
      <w:r>
        <w:rPr>
          <w:rFonts w:hint="eastAsia" w:ascii="仿宋_GB2312" w:eastAsia="仿宋_GB2312" w:hAnsiTheme="minorEastAsia"/>
          <w:color w:val="181717" w:themeColor="background2" w:themeShade="1A"/>
          <w:kern w:val="0"/>
          <w:sz w:val="24"/>
        </w:rPr>
        <w:t xml:space="preserve">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kern w:val="0"/>
                <w:sz w:val="24"/>
              </w:rPr>
            </w:pPr>
            <w:r>
              <w:rPr>
                <w:rFonts w:hint="eastAsia" w:ascii="仿宋_GB2312" w:eastAsia="仿宋_GB2312" w:cs="宋体" w:hAnsiTheme="minorEastAsia"/>
                <w:color w:val="18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000000"/>
                <w:kern w:val="0"/>
                <w:sz w:val="24"/>
              </w:rPr>
            </w:pPr>
          </w:p>
        </w:tc>
      </w:tr>
    </w:tbl>
    <w:p>
      <w:pPr>
        <w:widowControl/>
        <w:spacing w:line="300" w:lineRule="auto"/>
        <w:outlineLvl w:val="1"/>
        <w:rPr>
          <w:rFonts w:asciiTheme="minorEastAsia" w:hAnsiTheme="minorEastAsia" w:eastAsiaTheme="minorEastAsia"/>
          <w:kern w:val="0"/>
          <w:sz w:val="24"/>
        </w:rPr>
      </w:pPr>
      <w:r>
        <w:rPr>
          <w:rFonts w:hint="eastAsia" w:ascii="仿宋_GB2312" w:eastAsia="仿宋_GB2312" w:hAnsiTheme="minorEastAsia"/>
          <w:color w:val="181717" w:themeColor="background2" w:themeShade="1A"/>
          <w:kern w:val="0"/>
          <w:sz w:val="32"/>
          <w:szCs w:val="32"/>
        </w:rPr>
        <w:t>备注：无内容应公开空表并说明情况</w:t>
      </w:r>
      <w:r>
        <w:rPr>
          <w:rFonts w:hint="eastAsia" w:asciiTheme="minorEastAsia" w:hAnsiTheme="minorEastAsia" w:eastAsiaTheme="minorEastAsia"/>
          <w:kern w:val="0"/>
          <w:sz w:val="24"/>
        </w:rPr>
        <w:t>。</w:t>
      </w:r>
    </w:p>
    <w:p>
      <w:pPr>
        <w:widowControl/>
        <w:spacing w:line="300" w:lineRule="auto"/>
        <w:jc w:val="left"/>
        <w:outlineLvl w:val="1"/>
        <w:rPr>
          <w:rFonts w:asciiTheme="minorEastAsia" w:hAnsiTheme="minorEastAsia" w:eastAsiaTheme="minorEastAsi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81717" w:themeColor="background2" w:themeShade="1A"/>
          <w:szCs w:val="32"/>
        </w:rPr>
      </w:pPr>
      <w:r>
        <w:rPr>
          <w:rFonts w:hint="eastAsia" w:ascii="黑体" w:hAnsi="黑体" w:eastAsia="黑体"/>
          <w:b w:val="0"/>
          <w:color w:val="181717" w:themeColor="background2" w:themeShade="1A"/>
          <w:szCs w:val="32"/>
        </w:rPr>
        <w:t>第三部分  乌鲁木齐市水磨沟区委员会党校部门2016年部门预算情况说明</w:t>
      </w:r>
    </w:p>
    <w:p>
      <w:pPr>
        <w:widowControl/>
        <w:spacing w:line="300" w:lineRule="auto"/>
        <w:jc w:val="center"/>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rPr>
        <w:t>2016年部门预算情况说明</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一、关于乌鲁木齐市水磨沟区委员会党校部门2016年收支预算情况的总体说明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按照全口径预算的原则，乌鲁木齐市水磨沟区委员会党校部门2018年所有收入和支出均纳入部门预算管理。收支总预算</w:t>
      </w:r>
      <w:r>
        <w:rPr>
          <w:rFonts w:hint="eastAsia" w:cs="宋体" w:asciiTheme="minorEastAsia" w:hAnsiTheme="minorEastAsia" w:eastAsiaTheme="minorEastAsia"/>
          <w:color w:val="181717" w:themeColor="background2" w:themeShade="1A"/>
          <w:kern w:val="0"/>
          <w:sz w:val="28"/>
          <w:szCs w:val="28"/>
          <w:lang w:val="en-US" w:eastAsia="zh-CN"/>
        </w:rPr>
        <w:t>141.49</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收入预算包括：一般公共预算。</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支出预算包括：教育支出。</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二、关于乌鲁木齐市水磨沟区委员会党校201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年收入预算情况说明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乌鲁木齐市水磨沟区委员会党校部门收入预算</w:t>
      </w:r>
      <w:r>
        <w:rPr>
          <w:rFonts w:hint="eastAsia" w:cs="宋体" w:asciiTheme="minorEastAsia" w:hAnsiTheme="minorEastAsia" w:eastAsiaTheme="minorEastAsia"/>
          <w:color w:val="181717" w:themeColor="background2" w:themeShade="1A"/>
          <w:kern w:val="0"/>
          <w:sz w:val="28"/>
          <w:szCs w:val="28"/>
          <w:lang w:val="en-US" w:eastAsia="zh-CN"/>
        </w:rPr>
        <w:t>141.49</w:t>
      </w:r>
      <w:r>
        <w:rPr>
          <w:rFonts w:hint="eastAsia" w:cs="宋体" w:asciiTheme="minorEastAsia" w:hAnsiTheme="minorEastAsia" w:eastAsiaTheme="minorEastAsia"/>
          <w:color w:val="181717" w:themeColor="background2" w:themeShade="1A"/>
          <w:kern w:val="0"/>
          <w:sz w:val="28"/>
          <w:szCs w:val="28"/>
        </w:rPr>
        <w:t>元，其中：</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一般公共预算</w:t>
      </w:r>
      <w:r>
        <w:rPr>
          <w:rFonts w:hint="eastAsia" w:cs="宋体" w:asciiTheme="minorEastAsia" w:hAnsiTheme="minorEastAsia" w:eastAsiaTheme="minorEastAsia"/>
          <w:color w:val="181717" w:themeColor="background2" w:themeShade="1A"/>
          <w:kern w:val="0"/>
          <w:sz w:val="28"/>
          <w:szCs w:val="28"/>
          <w:lang w:val="en-US" w:eastAsia="zh-CN"/>
        </w:rPr>
        <w:t>141.49</w:t>
      </w:r>
      <w:r>
        <w:rPr>
          <w:rFonts w:hint="eastAsia" w:cs="宋体" w:asciiTheme="minorEastAsia" w:hAnsiTheme="minorEastAsia" w:eastAsiaTheme="minorEastAsia"/>
          <w:color w:val="181717" w:themeColor="background2" w:themeShade="1A"/>
          <w:kern w:val="0"/>
          <w:sz w:val="28"/>
          <w:szCs w:val="28"/>
        </w:rPr>
        <w:t>万元，比上年增加</w:t>
      </w:r>
      <w:r>
        <w:rPr>
          <w:rFonts w:hint="eastAsia" w:cs="宋体" w:asciiTheme="minorEastAsia" w:hAnsiTheme="minorEastAsia" w:eastAsiaTheme="minorEastAsia"/>
          <w:color w:val="181717" w:themeColor="background2" w:themeShade="1A"/>
          <w:kern w:val="0"/>
          <w:sz w:val="28"/>
          <w:szCs w:val="28"/>
          <w:lang w:val="en-US" w:eastAsia="zh-CN"/>
        </w:rPr>
        <w:t>17.18</w:t>
      </w:r>
      <w:r>
        <w:rPr>
          <w:rFonts w:hint="eastAsia" w:cs="宋体" w:asciiTheme="minorEastAsia" w:hAnsiTheme="minorEastAsia" w:eastAsiaTheme="minorEastAsia"/>
          <w:color w:val="181717" w:themeColor="background2" w:themeShade="1A"/>
          <w:kern w:val="0"/>
          <w:sz w:val="28"/>
          <w:szCs w:val="28"/>
        </w:rPr>
        <w:t>万元；</w:t>
      </w:r>
      <w:r>
        <w:rPr>
          <w:rFonts w:hint="eastAsia" w:cs="宋体" w:asciiTheme="minorEastAsia" w:hAnsiTheme="minorEastAsia" w:eastAsiaTheme="minorEastAsia"/>
          <w:color w:val="181717" w:themeColor="background2" w:themeShade="1A"/>
          <w:kern w:val="0"/>
          <w:sz w:val="28"/>
          <w:szCs w:val="28"/>
          <w:lang w:val="en-US" w:eastAsia="zh-CN"/>
        </w:rPr>
        <w:t>其中基本支出比上年增加24.13万元，主要原因是调整基本工资，津补贴增加，新增职业年金、机关养老保险，基本工资比上年预算增加9.03万元，津贴补贴比上年预算增加0.21万元，奖金比上年预算增加0.75万元，社会保障缴费比上年预算增加11.29万元，住房公积金比上年预算增加1.2万元，培训费比上年预算增加0.14万元，工会经费比上年预算增加0.1万元，奖励金比上年增加0.9万元，其他商品经费中光线接入费和广电有限收视费比上年预算增加1万元，福利费比上年预算减少0.32万元，其他对个人和家庭的补助支出比上年预算减少0.17万元；项目支出比上年减少6.95万元，原因是党校培训经费项目比上年预算减少10万元，临聘人员经费项目比上年增加2.85万元，临聘人员维稳补助项目预算比上年增加0.2万元。</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基金预算拨款未安排。</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三、关于乌鲁木齐市水磨沟区委员会党校部门单位201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年支出预算情况说明</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乌鲁木齐市水磨沟区委员会党校部门单位201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年支出预算</w:t>
      </w:r>
      <w:r>
        <w:rPr>
          <w:rFonts w:hint="eastAsia" w:cs="宋体" w:asciiTheme="minorEastAsia" w:hAnsiTheme="minorEastAsia" w:eastAsiaTheme="minorEastAsia"/>
          <w:color w:val="181717" w:themeColor="background2" w:themeShade="1A"/>
          <w:kern w:val="0"/>
          <w:sz w:val="28"/>
          <w:szCs w:val="28"/>
          <w:lang w:val="en-US" w:eastAsia="zh-CN"/>
        </w:rPr>
        <w:t>141.49</w:t>
      </w:r>
      <w:r>
        <w:rPr>
          <w:rFonts w:hint="eastAsia" w:cs="宋体" w:asciiTheme="minorEastAsia" w:hAnsiTheme="minorEastAsia" w:eastAsiaTheme="minorEastAsia"/>
          <w:color w:val="181717" w:themeColor="background2" w:themeShade="1A"/>
          <w:kern w:val="0"/>
          <w:sz w:val="28"/>
          <w:szCs w:val="28"/>
        </w:rPr>
        <w:t>元，其中：</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lang w:val="en-US" w:eastAsia="zh-CN"/>
        </w:rPr>
        <w:t>基本支出111.27万元，比上年增加24.13万元。人员经费增加原因主要是调整基本工资，津补贴增加，新增职业年金、机关养老保险；基本工资比上年预算增加9.03万元，</w:t>
      </w:r>
      <w:bookmarkStart w:id="0" w:name="_GoBack"/>
      <w:bookmarkEnd w:id="0"/>
      <w:r>
        <w:rPr>
          <w:rFonts w:hint="eastAsia" w:cs="宋体" w:asciiTheme="minorEastAsia" w:hAnsiTheme="minorEastAsia" w:eastAsiaTheme="minorEastAsia"/>
          <w:color w:val="181717" w:themeColor="background2" w:themeShade="1A"/>
          <w:kern w:val="0"/>
          <w:sz w:val="28"/>
          <w:szCs w:val="28"/>
          <w:lang w:val="en-US" w:eastAsia="zh-CN"/>
        </w:rPr>
        <w:t>津贴补贴比上年预算增加0.21万元，奖金比上年预算增加0.75万元，社会保障缴费比上年预算增加11.29万元，住房公积金比上年预算增加1.2万元，培训费比上年预算增加0.14万元，工会经费比上年预算增加0.1万元，奖励金比上年增加0.9万元，其他商品经费中光线接入费和广电有限收视费比上年预算增加1万元，福利费比上年预算减少0.32万元，其他对个人和家庭的补助支出比上年预算减少0.17万元。</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lang w:val="en-US" w:eastAsia="zh-CN"/>
        </w:rPr>
        <w:t>项目支出30.22万元，比上年减少了6.95万元。党校培训经费项目比上年预算减少10万元，临聘人员经费项目比上年增加2.85万元，临聘人员维稳补助项目预算比上年增加0.2万元。</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四、关于乌鲁木齐市水磨沟区委员会党校部门201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年财政拨款收支预算情况的总体说明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财政拨款收支总预算</w:t>
      </w:r>
      <w:r>
        <w:rPr>
          <w:rFonts w:hint="eastAsia" w:cs="宋体" w:asciiTheme="minorEastAsia" w:hAnsiTheme="minorEastAsia" w:eastAsiaTheme="minorEastAsia"/>
          <w:color w:val="181717" w:themeColor="background2" w:themeShade="1A"/>
          <w:kern w:val="0"/>
          <w:sz w:val="28"/>
          <w:szCs w:val="28"/>
          <w:lang w:val="en-US" w:eastAsia="zh-CN"/>
        </w:rPr>
        <w:t>141.49</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收入全部为一般公共预算拨款，无政府性基金预算拨款。</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五、关于乌鲁木齐市水磨沟区委员会党校部门201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年一般公共预算基本支出情况说明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乌鲁木齐市水磨沟区委员会党校部门201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年一般公共预算基本支出</w:t>
      </w:r>
      <w:r>
        <w:rPr>
          <w:rFonts w:hint="eastAsia" w:cs="宋体" w:asciiTheme="minorEastAsia" w:hAnsiTheme="minorEastAsia" w:eastAsiaTheme="minorEastAsia"/>
          <w:color w:val="181717" w:themeColor="background2" w:themeShade="1A"/>
          <w:kern w:val="0"/>
          <w:sz w:val="28"/>
          <w:szCs w:val="28"/>
          <w:lang w:val="en-US" w:eastAsia="zh-CN"/>
        </w:rPr>
        <w:t>111.27</w:t>
      </w:r>
      <w:r>
        <w:rPr>
          <w:rFonts w:hint="eastAsia" w:cs="宋体" w:asciiTheme="minorEastAsia" w:hAnsiTheme="minorEastAsia" w:eastAsiaTheme="minorEastAsia"/>
          <w:color w:val="181717" w:themeColor="background2" w:themeShade="1A"/>
          <w:kern w:val="0"/>
          <w:sz w:val="28"/>
          <w:szCs w:val="28"/>
        </w:rPr>
        <w:t>万元，其中：</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人员经费</w:t>
      </w:r>
      <w:r>
        <w:rPr>
          <w:rFonts w:hint="eastAsia" w:cs="宋体" w:asciiTheme="minorEastAsia" w:hAnsiTheme="minorEastAsia" w:eastAsiaTheme="minorEastAsia"/>
          <w:color w:val="181717" w:themeColor="background2" w:themeShade="1A"/>
          <w:kern w:val="0"/>
          <w:sz w:val="28"/>
          <w:szCs w:val="28"/>
          <w:lang w:val="en-US" w:eastAsia="zh-CN"/>
        </w:rPr>
        <w:t>89.37</w:t>
      </w:r>
      <w:r>
        <w:rPr>
          <w:rFonts w:hint="eastAsia" w:cs="宋体" w:asciiTheme="minorEastAsia" w:hAnsiTheme="minorEastAsia" w:eastAsiaTheme="minorEastAsia"/>
          <w:color w:val="181717" w:themeColor="background2" w:themeShade="1A"/>
          <w:kern w:val="0"/>
          <w:sz w:val="28"/>
          <w:szCs w:val="28"/>
        </w:rPr>
        <w:t>万元，主要包括：基本工资、津贴补贴、奖金、</w:t>
      </w:r>
      <w:r>
        <w:rPr>
          <w:rFonts w:hint="eastAsia" w:cs="宋体" w:asciiTheme="minorEastAsia" w:hAnsiTheme="minorEastAsia" w:eastAsiaTheme="minorEastAsia"/>
          <w:color w:val="181717" w:themeColor="background2" w:themeShade="1A"/>
          <w:kern w:val="0"/>
          <w:sz w:val="28"/>
          <w:szCs w:val="28"/>
          <w:lang w:val="en-US" w:eastAsia="zh-CN"/>
        </w:rPr>
        <w:t>社会保障缴费</w:t>
      </w:r>
      <w:r>
        <w:rPr>
          <w:rFonts w:hint="eastAsia" w:cs="宋体" w:asciiTheme="minorEastAsia" w:hAnsiTheme="minorEastAsia" w:eastAsiaTheme="minorEastAsia"/>
          <w:color w:val="181717" w:themeColor="background2" w:themeShade="1A"/>
          <w:kern w:val="0"/>
          <w:sz w:val="28"/>
          <w:szCs w:val="28"/>
        </w:rPr>
        <w:t>、伙食补助费、</w:t>
      </w:r>
      <w:r>
        <w:rPr>
          <w:rFonts w:hint="eastAsia" w:cs="宋体" w:asciiTheme="minorEastAsia" w:hAnsiTheme="minorEastAsia" w:eastAsiaTheme="minorEastAsia"/>
          <w:color w:val="181717" w:themeColor="background2" w:themeShade="1A"/>
          <w:kern w:val="0"/>
          <w:sz w:val="28"/>
          <w:szCs w:val="28"/>
          <w:lang w:val="en-US" w:eastAsia="zh-CN"/>
        </w:rPr>
        <w:t>绩效工资</w:t>
      </w:r>
      <w:r>
        <w:rPr>
          <w:rFonts w:hint="eastAsia" w:cs="宋体" w:asciiTheme="minorEastAsia" w:hAnsiTheme="minorEastAsia" w:eastAsiaTheme="minorEastAsia"/>
          <w:color w:val="181717" w:themeColor="background2" w:themeShade="1A"/>
          <w:kern w:val="0"/>
          <w:sz w:val="28"/>
          <w:szCs w:val="28"/>
        </w:rPr>
        <w:t>、其他</w:t>
      </w:r>
      <w:r>
        <w:rPr>
          <w:rFonts w:hint="eastAsia" w:cs="宋体" w:asciiTheme="minorEastAsia" w:hAnsiTheme="minorEastAsia" w:eastAsiaTheme="minorEastAsia"/>
          <w:color w:val="181717" w:themeColor="background2" w:themeShade="1A"/>
          <w:kern w:val="0"/>
          <w:sz w:val="28"/>
          <w:szCs w:val="28"/>
          <w:lang w:val="en-US" w:eastAsia="zh-CN"/>
        </w:rPr>
        <w:t>工资福利支出</w:t>
      </w:r>
      <w:r>
        <w:rPr>
          <w:rFonts w:hint="eastAsia" w:cs="宋体" w:asciiTheme="minorEastAsia" w:hAnsiTheme="minorEastAsia" w:eastAsiaTheme="minorEastAsia"/>
          <w:color w:val="181717" w:themeColor="background2" w:themeShade="1A"/>
          <w:kern w:val="0"/>
          <w:sz w:val="28"/>
          <w:szCs w:val="28"/>
        </w:rPr>
        <w:t>、住房公积金、</w:t>
      </w:r>
      <w:r>
        <w:rPr>
          <w:rFonts w:hint="eastAsia" w:cs="宋体" w:asciiTheme="minorEastAsia" w:hAnsiTheme="minorEastAsia" w:eastAsiaTheme="minorEastAsia"/>
          <w:color w:val="181717" w:themeColor="background2" w:themeShade="1A"/>
          <w:kern w:val="0"/>
          <w:sz w:val="28"/>
          <w:szCs w:val="28"/>
          <w:lang w:val="en-US" w:eastAsia="zh-CN"/>
        </w:rPr>
        <w:t>采暖补贴</w:t>
      </w:r>
      <w:r>
        <w:rPr>
          <w:rFonts w:hint="eastAsia" w:cs="宋体" w:asciiTheme="minorEastAsia" w:hAnsiTheme="minorEastAsia" w:eastAsiaTheme="minorEastAsia"/>
          <w:color w:val="181717" w:themeColor="background2" w:themeShade="1A"/>
          <w:kern w:val="0"/>
          <w:sz w:val="28"/>
          <w:szCs w:val="28"/>
        </w:rPr>
        <w:t>、奖励金、其他对个人和家庭的补助</w:t>
      </w:r>
      <w:r>
        <w:rPr>
          <w:rFonts w:hint="eastAsia" w:cs="宋体" w:asciiTheme="minorEastAsia" w:hAnsiTheme="minorEastAsia" w:eastAsiaTheme="minorEastAsia"/>
          <w:color w:val="181717" w:themeColor="background2" w:themeShade="1A"/>
          <w:kern w:val="0"/>
          <w:sz w:val="28"/>
          <w:szCs w:val="28"/>
          <w:lang w:val="en-US" w:eastAsia="zh-CN"/>
        </w:rPr>
        <w:t>支出</w:t>
      </w:r>
      <w:r>
        <w:rPr>
          <w:rFonts w:hint="eastAsia" w:cs="宋体" w:asciiTheme="minorEastAsia" w:hAnsiTheme="minorEastAsia" w:eastAsiaTheme="minorEastAsia"/>
          <w:color w:val="181717" w:themeColor="background2" w:themeShade="1A"/>
          <w:kern w:val="0"/>
          <w:sz w:val="28"/>
          <w:szCs w:val="28"/>
        </w:rPr>
        <w:t>等。</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公用经费</w:t>
      </w:r>
      <w:r>
        <w:rPr>
          <w:rFonts w:hint="eastAsia" w:cs="宋体" w:asciiTheme="minorEastAsia" w:hAnsiTheme="minorEastAsia" w:eastAsiaTheme="minorEastAsia"/>
          <w:color w:val="181717" w:themeColor="background2" w:themeShade="1A"/>
          <w:kern w:val="0"/>
          <w:sz w:val="28"/>
          <w:szCs w:val="28"/>
          <w:lang w:val="en-US" w:eastAsia="zh-CN"/>
        </w:rPr>
        <w:t>21.90</w:t>
      </w:r>
      <w:r>
        <w:rPr>
          <w:rFonts w:hint="eastAsia" w:cs="宋体" w:asciiTheme="minorEastAsia" w:hAnsiTheme="minorEastAsia" w:eastAsiaTheme="minorEastAsia"/>
          <w:color w:val="181717" w:themeColor="background2" w:themeShade="1A"/>
          <w:kern w:val="0"/>
          <w:sz w:val="28"/>
          <w:szCs w:val="28"/>
        </w:rPr>
        <w:t>万元，主要包括：办公费、水费、电费、邮电费、</w:t>
      </w:r>
      <w:r>
        <w:rPr>
          <w:rFonts w:hint="eastAsia" w:cs="宋体" w:asciiTheme="minorEastAsia" w:hAnsiTheme="minorEastAsia" w:eastAsiaTheme="minorEastAsia"/>
          <w:color w:val="181717" w:themeColor="background2" w:themeShade="1A"/>
          <w:kern w:val="0"/>
          <w:sz w:val="28"/>
          <w:szCs w:val="28"/>
          <w:lang w:val="en-US" w:eastAsia="zh-CN"/>
        </w:rPr>
        <w:t>办公</w:t>
      </w:r>
      <w:r>
        <w:rPr>
          <w:rFonts w:hint="eastAsia" w:cs="宋体" w:asciiTheme="minorEastAsia" w:hAnsiTheme="minorEastAsia" w:eastAsiaTheme="minorEastAsia"/>
          <w:color w:val="181717" w:themeColor="background2" w:themeShade="1A"/>
          <w:kern w:val="0"/>
          <w:sz w:val="28"/>
          <w:szCs w:val="28"/>
        </w:rPr>
        <w:t>取暖费、差旅费、维修（护）费、培训费、公务接待费、工会经费、福利费、公务用车运行维护费、其他商品服务支出等。</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六、关于乌鲁木齐市水磨沟区委员会党校部门201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年一般公共预算项目支出情况说明</w:t>
      </w:r>
    </w:p>
    <w:p>
      <w:pPr>
        <w:widowControl/>
        <w:spacing w:line="560" w:lineRule="exact"/>
        <w:ind w:firstLine="562" w:firstLineChars="200"/>
        <w:jc w:val="left"/>
        <w:rPr>
          <w:rFonts w:asciiTheme="minorEastAsia" w:hAnsiTheme="minorEastAsia" w:eastAsiaTheme="minorEastAsia"/>
          <w:b/>
          <w:color w:val="181717" w:themeColor="background2" w:themeShade="1A"/>
          <w:sz w:val="28"/>
          <w:szCs w:val="28"/>
        </w:rPr>
      </w:pPr>
      <w:r>
        <w:rPr>
          <w:rFonts w:hint="eastAsia" w:asciiTheme="minorEastAsia" w:hAnsiTheme="minorEastAsia" w:eastAsiaTheme="minorEastAsia"/>
          <w:b/>
          <w:color w:val="181717" w:themeColor="background2" w:themeShade="1A"/>
          <w:sz w:val="28"/>
          <w:szCs w:val="28"/>
        </w:rPr>
        <w:t>情况一：（项目支出、专项业务费按下列内容说明）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1.项目名称：党校培训经费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设立的政策依据：进行</w:t>
      </w:r>
      <w:r>
        <w:rPr>
          <w:rFonts w:cs="宋体" w:asciiTheme="minorEastAsia" w:hAnsiTheme="minorEastAsia" w:eastAsiaTheme="minorEastAsia"/>
          <w:color w:val="181717" w:themeColor="background2" w:themeShade="1A"/>
          <w:kern w:val="0"/>
          <w:sz w:val="28"/>
          <w:szCs w:val="28"/>
        </w:rPr>
        <w:t>干部培训</w:t>
      </w:r>
      <w:r>
        <w:rPr>
          <w:rFonts w:hint="eastAsia" w:cs="宋体" w:asciiTheme="minorEastAsia" w:hAnsiTheme="minorEastAsia" w:eastAsiaTheme="minorEastAsia"/>
          <w:color w:val="181717" w:themeColor="background2" w:themeShade="1A"/>
          <w:kern w:val="0"/>
          <w:sz w:val="28"/>
          <w:szCs w:val="28"/>
        </w:rPr>
        <w:t>，持续开展党的理论教育，宣传解读党委重大决策部署，是党校的职责功能，进行党性教育是培养年轻干部、造就能担当重任、合格的领导人才的必要途径，为做好党校培训，需购置或印制培训材料，聘请专业教授为学员授课，机房设备和打印设备需及时维护升级，日常培训用品需准备完善。</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预算安排规模：</w:t>
      </w:r>
      <w:r>
        <w:rPr>
          <w:rFonts w:hint="eastAsia" w:cs="宋体" w:asciiTheme="minorEastAsia" w:hAnsiTheme="minorEastAsia" w:eastAsiaTheme="minorEastAsia"/>
          <w:color w:val="181717" w:themeColor="background2" w:themeShade="1A"/>
          <w:kern w:val="0"/>
          <w:sz w:val="28"/>
          <w:szCs w:val="28"/>
          <w:lang w:val="en-US" w:eastAsia="zh-CN"/>
        </w:rPr>
        <w:t>10</w:t>
      </w:r>
      <w:r>
        <w:rPr>
          <w:rFonts w:hint="eastAsia" w:cs="宋体" w:asciiTheme="minorEastAsia" w:hAnsiTheme="minorEastAsia" w:eastAsiaTheme="minorEastAsia"/>
          <w:color w:val="181717" w:themeColor="background2" w:themeShade="1A"/>
          <w:kern w:val="0"/>
          <w:sz w:val="28"/>
          <w:szCs w:val="28"/>
        </w:rPr>
        <w:t>万</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项目承担单位：水磨沟区委党校</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资金分配情况：党校培训经费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资金执行时间：201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 xml:space="preserve">年度 </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2.项目承担单位：水磨沟区委党校</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资金分配情况：需购买学员培训书籍、复印培训材料、聘请教师、维护保养培训用打印设施及机房设施、购置日常培训所需保温桶纸杯茶叶等，经费共计</w:t>
      </w:r>
      <w:r>
        <w:rPr>
          <w:rFonts w:hint="eastAsia" w:cs="宋体" w:asciiTheme="minorEastAsia" w:hAnsiTheme="minorEastAsia" w:eastAsiaTheme="minorEastAsia"/>
          <w:color w:val="181717" w:themeColor="background2" w:themeShade="1A"/>
          <w:kern w:val="0"/>
          <w:sz w:val="28"/>
          <w:szCs w:val="28"/>
          <w:lang w:val="en-US" w:eastAsia="zh-CN"/>
        </w:rPr>
        <w:t>10万</w:t>
      </w:r>
      <w:r>
        <w:rPr>
          <w:rFonts w:hint="eastAsia" w:cs="宋体" w:asciiTheme="minorEastAsia" w:hAnsiTheme="minorEastAsia" w:eastAsiaTheme="minorEastAsia"/>
          <w:color w:val="181717" w:themeColor="background2" w:themeShade="1A"/>
          <w:kern w:val="0"/>
          <w:sz w:val="28"/>
          <w:szCs w:val="28"/>
        </w:rPr>
        <w:t>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资金执行时间：201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年度</w:t>
      </w:r>
    </w:p>
    <w:p>
      <w:pPr>
        <w:widowControl/>
        <w:spacing w:line="560" w:lineRule="exact"/>
        <w:ind w:firstLine="562" w:firstLineChars="200"/>
        <w:jc w:val="left"/>
        <w:rPr>
          <w:rFonts w:cs="宋体" w:asciiTheme="minorEastAsia" w:hAnsiTheme="minorEastAsia" w:eastAsiaTheme="minorEastAsia"/>
          <w:color w:val="181717" w:themeColor="background2" w:themeShade="1A"/>
          <w:kern w:val="0"/>
          <w:sz w:val="28"/>
          <w:szCs w:val="28"/>
        </w:rPr>
      </w:pPr>
      <w:r>
        <w:rPr>
          <w:rFonts w:hint="eastAsia" w:asciiTheme="minorEastAsia" w:hAnsiTheme="minorEastAsia" w:eastAsiaTheme="minorEastAsia"/>
          <w:b/>
          <w:color w:val="181717" w:themeColor="background2" w:themeShade="1A"/>
          <w:sz w:val="28"/>
          <w:szCs w:val="28"/>
        </w:rPr>
        <w:t>情况二：（</w:t>
      </w:r>
      <w:r>
        <w:rPr>
          <w:rFonts w:asciiTheme="minorEastAsia" w:hAnsiTheme="minorEastAsia" w:eastAsiaTheme="minorEastAsia"/>
          <w:b/>
          <w:color w:val="181717" w:themeColor="background2" w:themeShade="1A"/>
          <w:sz w:val="28"/>
          <w:szCs w:val="28"/>
        </w:rPr>
        <w:t>属于对个人补贴的项目支出</w:t>
      </w:r>
      <w:r>
        <w:rPr>
          <w:rFonts w:hint="eastAsia" w:asciiTheme="minorEastAsia" w:hAnsiTheme="minorEastAsia" w:eastAsiaTheme="minorEastAsia"/>
          <w:b/>
          <w:color w:val="181717" w:themeColor="background2" w:themeShade="1A"/>
          <w:sz w:val="28"/>
          <w:szCs w:val="28"/>
        </w:rPr>
        <w:t>按下列内容说明）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val="en-US" w:eastAsia="zh-CN"/>
        </w:rPr>
        <w:t>1</w:t>
      </w:r>
      <w:r>
        <w:rPr>
          <w:rFonts w:hint="eastAsia" w:cs="宋体" w:asciiTheme="minorEastAsia" w:hAnsiTheme="minorEastAsia" w:eastAsiaTheme="minorEastAsia"/>
          <w:color w:val="181717" w:themeColor="background2" w:themeShade="1A"/>
          <w:kern w:val="0"/>
          <w:sz w:val="28"/>
          <w:szCs w:val="28"/>
        </w:rPr>
        <w:t>.项目名称：临时聘用司机、安保等人员维稳补助经费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 xml:space="preserve">设立的政策依据：临时聘用司机参与维稳工作 </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预算安排规模：12000元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项目承担单位：水磨沟区委党校</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资金分配情况：我部门1名临聘司机</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资金执行时间：201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年度1月-12月</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资金来源：区财政全额预算拨款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补贴人数：1人</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补贴标准：每月1000元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补贴范围：维稳费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补贴方式：工资卡发放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发放程序：按每月考勤审核并公示—上报人社局审核—待审核通过后通知发放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受益人群和社会效益：临聘司机</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val="en-US" w:eastAsia="zh-CN"/>
        </w:rPr>
        <w:t>2</w:t>
      </w:r>
      <w:r>
        <w:rPr>
          <w:rFonts w:hint="eastAsia" w:cs="宋体" w:asciiTheme="minorEastAsia" w:hAnsiTheme="minorEastAsia" w:eastAsiaTheme="minorEastAsia"/>
          <w:color w:val="181717" w:themeColor="background2" w:themeShade="1A"/>
          <w:kern w:val="0"/>
          <w:sz w:val="28"/>
          <w:szCs w:val="28"/>
        </w:rPr>
        <w:t>.项目</w:t>
      </w:r>
      <w:r>
        <w:rPr>
          <w:rFonts w:cs="宋体" w:asciiTheme="minorEastAsia" w:hAnsiTheme="minorEastAsia" w:eastAsiaTheme="minorEastAsia"/>
          <w:color w:val="181717" w:themeColor="background2" w:themeShade="1A"/>
          <w:kern w:val="0"/>
          <w:sz w:val="28"/>
          <w:szCs w:val="28"/>
        </w:rPr>
        <w:t>名称</w:t>
      </w: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年临聘人员经费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设立的政策依据</w:t>
      </w:r>
      <w:r>
        <w:rPr>
          <w:rFonts w:hint="eastAsia" w:cs="宋体" w:asciiTheme="minorEastAsia" w:hAnsiTheme="minorEastAsia" w:eastAsiaTheme="minorEastAsia"/>
          <w:color w:val="181717" w:themeColor="background2" w:themeShade="1A"/>
          <w:kern w:val="0"/>
          <w:sz w:val="28"/>
          <w:szCs w:val="28"/>
        </w:rPr>
        <w:t>：临聘人员工资及管理费、社保。</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预算安排规模</w:t>
      </w:r>
      <w:r>
        <w:rPr>
          <w:rFonts w:hint="eastAsia" w:cs="宋体" w:asciiTheme="minorEastAsia" w:hAnsiTheme="minorEastAsia" w:eastAsiaTheme="minorEastAsia"/>
          <w:color w:val="181717" w:themeColor="background2" w:themeShade="1A"/>
          <w:kern w:val="0"/>
          <w:sz w:val="28"/>
          <w:szCs w:val="28"/>
        </w:rPr>
        <w:t>：19.0</w:t>
      </w:r>
      <w:r>
        <w:rPr>
          <w:rFonts w:hint="eastAsia" w:cs="宋体" w:asciiTheme="minorEastAsia" w:hAnsiTheme="minorEastAsia" w:eastAsiaTheme="minorEastAsia"/>
          <w:color w:val="181717" w:themeColor="background2" w:themeShade="1A"/>
          <w:kern w:val="0"/>
          <w:sz w:val="28"/>
          <w:szCs w:val="28"/>
          <w:lang w:val="en-US" w:eastAsia="zh-CN"/>
        </w:rPr>
        <w:t>2</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项目承担单位</w:t>
      </w:r>
      <w:r>
        <w:rPr>
          <w:rFonts w:hint="eastAsia" w:cs="宋体" w:asciiTheme="minorEastAsia" w:hAnsiTheme="minorEastAsia" w:eastAsiaTheme="minorEastAsia"/>
          <w:color w:val="181717" w:themeColor="background2" w:themeShade="1A"/>
          <w:kern w:val="0"/>
          <w:sz w:val="28"/>
          <w:szCs w:val="28"/>
        </w:rPr>
        <w:t>：水磨沟区委党校</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资金分配情况</w:t>
      </w:r>
      <w:r>
        <w:rPr>
          <w:rFonts w:hint="eastAsia" w:cs="宋体" w:asciiTheme="minorEastAsia" w:hAnsiTheme="minorEastAsia" w:eastAsiaTheme="minorEastAsia"/>
          <w:color w:val="181717" w:themeColor="background2" w:themeShade="1A"/>
          <w:kern w:val="0"/>
          <w:sz w:val="28"/>
          <w:szCs w:val="28"/>
        </w:rPr>
        <w:t>：我单位</w:t>
      </w:r>
      <w:r>
        <w:rPr>
          <w:rFonts w:hint="eastAsia" w:cs="宋体" w:asciiTheme="minorEastAsia" w:hAnsiTheme="minorEastAsia" w:eastAsiaTheme="minorEastAsia"/>
          <w:color w:val="181717" w:themeColor="background2" w:themeShade="1A"/>
          <w:kern w:val="0"/>
          <w:sz w:val="28"/>
          <w:szCs w:val="28"/>
          <w:lang w:val="en-US" w:eastAsia="zh-CN"/>
        </w:rPr>
        <w:t>5</w:t>
      </w:r>
      <w:r>
        <w:rPr>
          <w:rFonts w:hint="eastAsia" w:cs="宋体" w:asciiTheme="minorEastAsia" w:hAnsiTheme="minorEastAsia" w:eastAsiaTheme="minorEastAsia"/>
          <w:color w:val="181717" w:themeColor="background2" w:themeShade="1A"/>
          <w:kern w:val="0"/>
          <w:sz w:val="28"/>
          <w:szCs w:val="28"/>
        </w:rPr>
        <w:t>临聘人员201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年1-12月工资及管理费、社保</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资金执行时间</w:t>
      </w: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年度1月-12月</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资金来源</w:t>
      </w:r>
      <w:r>
        <w:rPr>
          <w:rFonts w:hint="eastAsia" w:cs="宋体" w:asciiTheme="minorEastAsia" w:hAnsiTheme="minorEastAsia" w:eastAsiaTheme="minorEastAsia"/>
          <w:color w:val="181717" w:themeColor="background2" w:themeShade="1A"/>
          <w:kern w:val="0"/>
          <w:sz w:val="28"/>
          <w:szCs w:val="28"/>
        </w:rPr>
        <w:t>：区财政全额预算拨款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补贴人数</w:t>
      </w:r>
      <w:r>
        <w:rPr>
          <w:rFonts w:hint="eastAsia" w:cs="宋体" w:asciiTheme="minorEastAsia" w:hAnsiTheme="minorEastAsia" w:eastAsiaTheme="minorEastAsia"/>
          <w:color w:val="181717" w:themeColor="background2" w:themeShade="1A"/>
          <w:kern w:val="0"/>
          <w:sz w:val="28"/>
          <w:szCs w:val="28"/>
        </w:rPr>
        <w:t>：</w:t>
      </w:r>
      <w:r>
        <w:rPr>
          <w:rFonts w:hint="eastAsia" w:cs="宋体" w:asciiTheme="minorEastAsia" w:hAnsiTheme="minorEastAsia" w:eastAsiaTheme="minorEastAsia"/>
          <w:color w:val="181717" w:themeColor="background2" w:themeShade="1A"/>
          <w:kern w:val="0"/>
          <w:sz w:val="28"/>
          <w:szCs w:val="28"/>
          <w:lang w:val="en-US" w:eastAsia="zh-CN"/>
        </w:rPr>
        <w:t>5</w:t>
      </w:r>
      <w:r>
        <w:rPr>
          <w:rFonts w:hint="eastAsia" w:cs="宋体" w:asciiTheme="minorEastAsia" w:hAnsiTheme="minorEastAsia" w:eastAsiaTheme="minorEastAsia"/>
          <w:color w:val="181717" w:themeColor="background2" w:themeShade="1A"/>
          <w:kern w:val="0"/>
          <w:sz w:val="28"/>
          <w:szCs w:val="28"/>
        </w:rPr>
        <w:t>人</w:t>
      </w:r>
    </w:p>
    <w:p>
      <w:pPr>
        <w:spacing w:line="560" w:lineRule="exact"/>
        <w:ind w:firstLine="560" w:firstLineChars="2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补贴标准</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val="en-US" w:eastAsia="zh-CN"/>
        </w:rPr>
        <w:t>基本工资1320元</w:t>
      </w:r>
      <w:r>
        <w:rPr>
          <w:rFonts w:hint="eastAsia" w:cs="宋体" w:asciiTheme="minorEastAsia" w:hAnsiTheme="minorEastAsia" w:eastAsiaTheme="minorEastAsia"/>
          <w:kern w:val="0"/>
          <w:sz w:val="28"/>
          <w:szCs w:val="28"/>
        </w:rPr>
        <w:t>/人/月，及</w:t>
      </w:r>
      <w:r>
        <w:rPr>
          <w:rFonts w:hint="eastAsia" w:cs="宋体" w:asciiTheme="minorEastAsia" w:hAnsiTheme="minorEastAsia" w:eastAsiaTheme="minorEastAsia"/>
          <w:kern w:val="0"/>
          <w:sz w:val="28"/>
          <w:szCs w:val="28"/>
          <w:lang w:val="en-US" w:eastAsia="zh-CN"/>
        </w:rPr>
        <w:t>5人全年</w:t>
      </w:r>
      <w:r>
        <w:rPr>
          <w:rFonts w:hint="eastAsia" w:cs="宋体" w:asciiTheme="minorEastAsia" w:hAnsiTheme="minorEastAsia" w:eastAsiaTheme="minorEastAsia"/>
          <w:kern w:val="0"/>
          <w:sz w:val="28"/>
          <w:szCs w:val="28"/>
        </w:rPr>
        <w:t>社保和管理费。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补贴范围</w:t>
      </w:r>
      <w:r>
        <w:rPr>
          <w:rFonts w:hint="eastAsia" w:cs="宋体" w:asciiTheme="minorEastAsia" w:hAnsiTheme="minorEastAsia" w:eastAsiaTheme="minorEastAsia"/>
          <w:color w:val="181717" w:themeColor="background2" w:themeShade="1A"/>
          <w:kern w:val="0"/>
          <w:sz w:val="28"/>
          <w:szCs w:val="28"/>
        </w:rPr>
        <w:t>：工资社保及管理费。</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补贴方式</w:t>
      </w:r>
      <w:r>
        <w:rPr>
          <w:rFonts w:hint="eastAsia" w:cs="宋体" w:asciiTheme="minorEastAsia" w:hAnsiTheme="minorEastAsia" w:eastAsiaTheme="minorEastAsia"/>
          <w:color w:val="181717" w:themeColor="background2" w:themeShade="1A"/>
          <w:kern w:val="0"/>
          <w:sz w:val="28"/>
          <w:szCs w:val="28"/>
        </w:rPr>
        <w:t>：工资卡发放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发放程序：按每月考勤审核并公示—上报人社局审核—待审核通过后通知发放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受益人群和社会效益</w:t>
      </w:r>
      <w:r>
        <w:rPr>
          <w:rFonts w:hint="eastAsia" w:cs="宋体" w:asciiTheme="minorEastAsia" w:hAnsiTheme="minorEastAsia" w:eastAsiaTheme="minorEastAsia"/>
          <w:color w:val="181717" w:themeColor="background2" w:themeShade="1A"/>
          <w:kern w:val="0"/>
          <w:sz w:val="28"/>
          <w:szCs w:val="28"/>
        </w:rPr>
        <w:t>：临聘人员经费</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七、关于乌鲁木齐市水磨沟区委员会党校201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年一般公共预算“三公”经费预算情况说明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乌鲁木齐市水磨沟区委员会党校201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年“三公”经费财政拨款预算数为</w:t>
      </w:r>
      <w:r>
        <w:rPr>
          <w:rFonts w:cs="宋体" w:asciiTheme="minorEastAsia" w:hAnsiTheme="minorEastAsia" w:eastAsiaTheme="minorEastAsia"/>
          <w:color w:val="181717" w:themeColor="background2" w:themeShade="1A"/>
          <w:kern w:val="0"/>
          <w:sz w:val="28"/>
          <w:szCs w:val="28"/>
        </w:rPr>
        <w:t>2.49</w:t>
      </w:r>
      <w:r>
        <w:rPr>
          <w:rFonts w:hint="eastAsia" w:cs="宋体" w:asciiTheme="minorEastAsia" w:hAnsiTheme="minorEastAsia" w:eastAsiaTheme="minorEastAsia"/>
          <w:color w:val="181717" w:themeColor="background2" w:themeShade="1A"/>
          <w:kern w:val="0"/>
          <w:sz w:val="28"/>
          <w:szCs w:val="28"/>
        </w:rPr>
        <w:t>万元，其中：因公出国（境）费</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万元，公务用车购置</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万元，公务用车运行费</w:t>
      </w:r>
      <w:r>
        <w:rPr>
          <w:rFonts w:cs="宋体" w:asciiTheme="minorEastAsia" w:hAnsiTheme="minorEastAsia" w:eastAsiaTheme="minorEastAsia"/>
          <w:color w:val="181717" w:themeColor="background2" w:themeShade="1A"/>
          <w:kern w:val="0"/>
          <w:sz w:val="28"/>
          <w:szCs w:val="28"/>
        </w:rPr>
        <w:t>2.47</w:t>
      </w:r>
      <w:r>
        <w:rPr>
          <w:rFonts w:hint="eastAsia" w:cs="宋体" w:asciiTheme="minorEastAsia" w:hAnsiTheme="minorEastAsia" w:eastAsiaTheme="minorEastAsia"/>
          <w:color w:val="181717" w:themeColor="background2" w:themeShade="1A"/>
          <w:kern w:val="0"/>
          <w:sz w:val="28"/>
          <w:szCs w:val="28"/>
        </w:rPr>
        <w:t>万元，公务接待费</w:t>
      </w:r>
      <w:r>
        <w:rPr>
          <w:rFonts w:cs="宋体" w:asciiTheme="minorEastAsia" w:hAnsiTheme="minorEastAsia" w:eastAsiaTheme="minorEastAsia"/>
          <w:color w:val="181717" w:themeColor="background2" w:themeShade="1A"/>
          <w:kern w:val="0"/>
          <w:sz w:val="28"/>
          <w:szCs w:val="28"/>
        </w:rPr>
        <w:t>0.02</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hint="eastAsia" w:cs="宋体" w:asciiTheme="minorEastAsia" w:hAnsiTheme="minorEastAsia" w:eastAsiaTheme="minorEastAsia"/>
          <w:color w:val="0000FF"/>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年“三公”经费财政拨款预算</w:t>
      </w:r>
      <w:r>
        <w:rPr>
          <w:rFonts w:hint="eastAsia" w:cs="宋体" w:asciiTheme="minorEastAsia" w:hAnsiTheme="minorEastAsia" w:eastAsiaTheme="minorEastAsia"/>
          <w:color w:val="181717" w:themeColor="background2" w:themeShade="1A"/>
          <w:kern w:val="0"/>
          <w:sz w:val="28"/>
          <w:szCs w:val="28"/>
          <w:lang w:val="en-US" w:eastAsia="zh-CN"/>
        </w:rPr>
        <w:t>较上年增加0万元</w:t>
      </w:r>
      <w:r>
        <w:rPr>
          <w:rFonts w:hint="eastAsia" w:cs="宋体" w:asciiTheme="minorEastAsia" w:hAnsiTheme="minorEastAsia" w:eastAsiaTheme="minorEastAsia"/>
          <w:color w:val="181717" w:themeColor="background2" w:themeShade="1A"/>
          <w:kern w:val="0"/>
          <w:sz w:val="28"/>
          <w:szCs w:val="28"/>
        </w:rPr>
        <w:t>，其中：因公出国（境）费0万元；公务用车购置费为0，未安排预算。[或公务用车购置费0万元</w:t>
      </w:r>
      <w:r>
        <w:rPr>
          <w:rFonts w:hint="eastAsia" w:cs="宋体" w:asciiTheme="minorEastAsia" w:hAnsiTheme="minorEastAsia" w:eastAsiaTheme="minorEastAsia"/>
          <w:color w:val="181717" w:themeColor="background2" w:themeShade="1A"/>
          <w:kern w:val="0"/>
          <w:sz w:val="28"/>
          <w:szCs w:val="28"/>
          <w:highlight w:val="none"/>
        </w:rPr>
        <w:t>]；</w:t>
      </w:r>
      <w:r>
        <w:rPr>
          <w:rFonts w:hint="eastAsia" w:cs="宋体" w:asciiTheme="minorEastAsia" w:hAnsiTheme="minorEastAsia" w:eastAsiaTheme="minorEastAsia"/>
          <w:color w:val="181717" w:themeColor="background2" w:themeShade="1A"/>
          <w:kern w:val="0"/>
          <w:sz w:val="28"/>
          <w:szCs w:val="28"/>
        </w:rPr>
        <w:t>公务用车运行费</w:t>
      </w:r>
      <w:r>
        <w:rPr>
          <w:rFonts w:hint="eastAsia" w:cs="宋体" w:asciiTheme="minorEastAsia" w:hAnsiTheme="minorEastAsia" w:eastAsiaTheme="minorEastAsia"/>
          <w:color w:val="181717" w:themeColor="background2" w:themeShade="1A"/>
          <w:kern w:val="0"/>
          <w:sz w:val="28"/>
          <w:szCs w:val="28"/>
          <w:lang w:val="en-US" w:eastAsia="zh-CN"/>
        </w:rPr>
        <w:t>较</w:t>
      </w:r>
      <w:r>
        <w:rPr>
          <w:rFonts w:hint="eastAsia" w:cs="宋体" w:asciiTheme="minorEastAsia" w:hAnsiTheme="minorEastAsia" w:eastAsiaTheme="minorEastAsia"/>
          <w:color w:val="181717" w:themeColor="background2" w:themeShade="1A"/>
          <w:kern w:val="0"/>
          <w:sz w:val="28"/>
          <w:szCs w:val="28"/>
        </w:rPr>
        <w:t>上年</w:t>
      </w:r>
      <w:r>
        <w:rPr>
          <w:rFonts w:hint="eastAsia" w:cs="宋体" w:asciiTheme="minorEastAsia" w:hAnsiTheme="minorEastAsia" w:eastAsiaTheme="minorEastAsia"/>
          <w:color w:val="181717" w:themeColor="background2" w:themeShade="1A"/>
          <w:kern w:val="0"/>
          <w:sz w:val="28"/>
          <w:szCs w:val="28"/>
          <w:lang w:val="en-US" w:eastAsia="zh-CN"/>
        </w:rPr>
        <w:t>无变化。</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八、关于乌鲁木齐市水磨沟区委员会党校201</w:t>
      </w:r>
      <w:r>
        <w:rPr>
          <w:rFonts w:hint="eastAsia" w:ascii="黑体" w:hAnsi="黑体" w:eastAsia="黑体"/>
          <w:b w:val="0"/>
          <w:color w:val="181717" w:themeColor="background2" w:themeShade="1A"/>
          <w:sz w:val="32"/>
          <w:lang w:val="en-US" w:eastAsia="zh-CN"/>
        </w:rPr>
        <w:t>6</w:t>
      </w:r>
      <w:r>
        <w:rPr>
          <w:rFonts w:hint="eastAsia" w:ascii="黑体" w:hAnsi="黑体" w:eastAsia="黑体"/>
          <w:b w:val="0"/>
          <w:color w:val="181717" w:themeColor="background2" w:themeShade="1A"/>
          <w:sz w:val="32"/>
        </w:rPr>
        <w:t>年政府性基金预算拨款情况说明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乌鲁木齐市水磨沟区委员会党校部门201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年没有使用政府性基金预算拨款安排的支出，政府性基金预算支出情况表为空表。</w:t>
      </w:r>
    </w:p>
    <w:p>
      <w:pPr>
        <w:pStyle w:val="3"/>
        <w:spacing w:line="560" w:lineRule="exact"/>
        <w:ind w:firstLine="640" w:firstLineChars="20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九、其他重要事项的情况说明</w:t>
      </w:r>
    </w:p>
    <w:p>
      <w:pPr>
        <w:pStyle w:val="4"/>
        <w:spacing w:line="560" w:lineRule="exact"/>
        <w:ind w:firstLine="640"/>
        <w:rPr>
          <w:rFonts w:ascii="楷体" w:hAnsi="楷体" w:eastAsia="楷体"/>
          <w:color w:val="181717" w:themeColor="background2" w:themeShade="1A"/>
          <w:sz w:val="32"/>
        </w:rPr>
      </w:pPr>
      <w:r>
        <w:rPr>
          <w:rFonts w:hint="eastAsia" w:ascii="楷体" w:hAnsi="楷体" w:eastAsia="楷体"/>
          <w:color w:val="181717" w:themeColor="background2" w:themeShade="1A"/>
          <w:sz w:val="32"/>
        </w:rPr>
        <w:t>（一）政府采购情况</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年，部门及下属单位政府采购预算0万元，其中：政府采购货物预算0万元，政府采购工程预算0万元，政府采购服务预算0万元。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年度本部门面向中小企业预留政府采购项目预算金额0万元，其中：面向小微企业预留政府采购项目预算金额0万元。</w:t>
      </w:r>
    </w:p>
    <w:p>
      <w:pPr>
        <w:pStyle w:val="4"/>
        <w:spacing w:line="560" w:lineRule="exact"/>
        <w:ind w:firstLine="640"/>
        <w:rPr>
          <w:rFonts w:ascii="楷体" w:hAnsi="楷体" w:eastAsia="楷体"/>
          <w:color w:val="181717" w:themeColor="background2" w:themeShade="1A"/>
          <w:sz w:val="32"/>
        </w:rPr>
      </w:pPr>
      <w:r>
        <w:rPr>
          <w:rFonts w:hint="eastAsia" w:ascii="楷体" w:hAnsi="楷体" w:eastAsia="楷体"/>
          <w:color w:val="181717" w:themeColor="background2" w:themeShade="1A"/>
          <w:sz w:val="32"/>
        </w:rPr>
        <w:t>（二）国有资产占用使用情况</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截至201</w:t>
      </w:r>
      <w:r>
        <w:rPr>
          <w:rFonts w:hint="eastAsia" w:cs="宋体" w:asciiTheme="minorEastAsia" w:hAnsiTheme="minorEastAsia" w:eastAsiaTheme="minorEastAsia"/>
          <w:color w:val="181717" w:themeColor="background2" w:themeShade="1A"/>
          <w:kern w:val="0"/>
          <w:sz w:val="28"/>
          <w:szCs w:val="28"/>
          <w:lang w:val="en-US" w:eastAsia="zh-CN"/>
        </w:rPr>
        <w:t>5</w:t>
      </w:r>
      <w:r>
        <w:rPr>
          <w:rFonts w:hint="eastAsia" w:cs="宋体" w:asciiTheme="minorEastAsia" w:hAnsiTheme="minorEastAsia" w:eastAsiaTheme="minorEastAsia"/>
          <w:color w:val="181717" w:themeColor="background2" w:themeShade="1A"/>
          <w:kern w:val="0"/>
          <w:sz w:val="28"/>
          <w:szCs w:val="28"/>
        </w:rPr>
        <w:t>年底，乌鲁木齐市水磨沟区委员会党校及下属各预算单位占用使用国有资产总体情况为</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1.房屋</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平方米，价值</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2.车辆</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辆，价值</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万元；其中：一般公务用车</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辆，价值</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万元；执法执勤用车</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辆，价值</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万元；其他车辆</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辆，价值</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3.其他资产价值（含办公家具）</w:t>
      </w:r>
      <w:r>
        <w:rPr>
          <w:rFonts w:hint="eastAsia" w:cs="宋体" w:asciiTheme="minorEastAsia" w:hAnsiTheme="minorEastAsia" w:eastAsiaTheme="minorEastAsia"/>
          <w:color w:val="181717" w:themeColor="background2" w:themeShade="1A"/>
          <w:kern w:val="0"/>
          <w:sz w:val="28"/>
          <w:szCs w:val="28"/>
          <w:lang w:val="en-US" w:eastAsia="zh-CN"/>
        </w:rPr>
        <w:t>117.72</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单位价值50万元以上大型设备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台（套），单位价值100万元以上大型设备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年部门预算未安排购置车辆经费（或安排购置车辆经费</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万元），安排购置50万元以上大型设备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台（套），单位价值100万元以上大型设备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w:t>
      </w:r>
    </w:p>
    <w:p>
      <w:pPr>
        <w:pStyle w:val="4"/>
        <w:spacing w:line="560" w:lineRule="exact"/>
        <w:ind w:firstLine="640"/>
        <w:rPr>
          <w:rFonts w:ascii="楷体" w:hAnsi="楷体" w:eastAsia="楷体"/>
          <w:color w:val="181717" w:themeColor="background2" w:themeShade="1A"/>
          <w:sz w:val="32"/>
        </w:rPr>
      </w:pPr>
      <w:r>
        <w:rPr>
          <w:rFonts w:hint="eastAsia" w:ascii="楷体" w:hAnsi="楷体" w:eastAsia="楷体"/>
          <w:color w:val="181717" w:themeColor="background2" w:themeShade="1A"/>
          <w:sz w:val="32"/>
        </w:rPr>
        <w:t>（三）预算绩效情况</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lang w:val="en-US" w:eastAsia="zh-CN"/>
        </w:rPr>
        <w:t>6</w:t>
      </w:r>
      <w:r>
        <w:rPr>
          <w:rFonts w:hint="eastAsia" w:cs="宋体" w:asciiTheme="minorEastAsia" w:hAnsiTheme="minorEastAsia" w:eastAsiaTheme="minorEastAsia"/>
          <w:color w:val="181717" w:themeColor="background2" w:themeShade="1A"/>
          <w:kern w:val="0"/>
          <w:sz w:val="28"/>
          <w:szCs w:val="28"/>
        </w:rPr>
        <w:t>年度，本年度实行绩效管理的项目</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个，涉及预算金额</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万元。具体情况见下表（按项目分别填报）：</w:t>
      </w:r>
      <w:r>
        <w:rPr>
          <w:rFonts w:cs="宋体" w:asciiTheme="minorEastAsia" w:hAnsiTheme="minorEastAsia" w:eastAsiaTheme="minorEastAsia"/>
          <w:color w:val="181717" w:themeColor="background2" w:themeShade="1A"/>
          <w:kern w:val="0"/>
          <w:sz w:val="28"/>
          <w:szCs w:val="28"/>
        </w:rPr>
        <w:t xml:space="preserve"> </w:t>
      </w:r>
    </w:p>
    <w:p>
      <w:pPr>
        <w:widowControl/>
        <w:jc w:val="left"/>
        <w:rPr>
          <w:rFonts w:cs="宋体" w:asciiTheme="minorEastAsia" w:hAnsiTheme="minorEastAsia" w:eastAsiaTheme="minorEastAsia"/>
          <w:b/>
          <w:color w:val="FF0000"/>
          <w:kern w:val="0"/>
          <w:sz w:val="24"/>
        </w:rPr>
      </w:pPr>
      <w:r>
        <w:rPr>
          <w:rFonts w:cs="宋体" w:asciiTheme="minorEastAsia" w:hAnsiTheme="minorEastAsia" w:eastAsiaTheme="minorEastAsia"/>
          <w:b/>
          <w:color w:val="FF0000"/>
          <w:kern w:val="0"/>
          <w:sz w:val="24"/>
        </w:rPr>
        <w:br w:type="page"/>
      </w:r>
    </w:p>
    <w:p>
      <w:pPr>
        <w:spacing w:line="300" w:lineRule="auto"/>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ascii="仿宋_GB2312" w:eastAsia="仿宋_GB2312" w:cs="宋体" w:hAnsiTheme="minorEastAsia"/>
          <w:b/>
          <w:color w:val="18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81717" w:themeColor="background2" w:themeShade="1A"/>
          <w:kern w:val="0"/>
          <w:sz w:val="36"/>
          <w:szCs w:val="36"/>
        </w:rPr>
      </w:pPr>
      <w:r>
        <w:rPr>
          <w:rFonts w:hint="eastAsia" w:ascii="仿宋_GB2312" w:eastAsia="仿宋_GB2312" w:cs="宋体" w:hAnsiTheme="minorEastAsia"/>
          <w:color w:val="181717" w:themeColor="background2" w:themeShade="1A"/>
          <w:kern w:val="0"/>
          <w:sz w:val="36"/>
          <w:szCs w:val="36"/>
        </w:rPr>
        <w:t>（   年度）</w:t>
      </w:r>
    </w:p>
    <w:p>
      <w:pPr>
        <w:spacing w:line="300" w:lineRule="auto"/>
        <w:rPr>
          <w:rFonts w:ascii="仿宋_GB2312" w:eastAsia="仿宋_GB2312" w:cs="宋体" w:hAnsiTheme="minorEastAsia"/>
          <w:color w:val="181717" w:themeColor="background2" w:themeShade="1A"/>
          <w:kern w:val="0"/>
          <w:sz w:val="32"/>
          <w:szCs w:val="32"/>
        </w:rPr>
      </w:pPr>
      <w:r>
        <w:rPr>
          <w:rFonts w:hint="eastAsia" w:ascii="仿宋_GB2312" w:eastAsia="仿宋_GB2312" w:cs="宋体" w:hAnsiTheme="minorEastAsia"/>
          <w:color w:val="18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V</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项目属性</w:t>
            </w:r>
          </w:p>
        </w:tc>
        <w:tc>
          <w:tcPr>
            <w:tcW w:w="324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主管部门</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项目实施单位</w:t>
            </w:r>
          </w:p>
        </w:tc>
        <w:tc>
          <w:tcPr>
            <w:tcW w:w="324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项目起止时间</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项目负责人</w:t>
            </w:r>
          </w:p>
        </w:tc>
        <w:tc>
          <w:tcPr>
            <w:tcW w:w="6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联系电话</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项目资金（万元）</w:t>
            </w: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其他</w:t>
            </w:r>
          </w:p>
        </w:tc>
      </w:tr>
      <w:tr>
        <w:tblPrEx>
          <w:tblLayout w:type="fixed"/>
          <w:tblCellMar>
            <w:top w:w="0" w:type="dxa"/>
            <w:left w:w="108" w:type="dxa"/>
            <w:bottom w:w="0" w:type="dxa"/>
            <w:right w:w="108" w:type="dxa"/>
          </w:tblCellMar>
        </w:tblPrEx>
        <w:trPr>
          <w:trHeight w:val="632"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单位职能阐述</w:t>
            </w: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spacing w:line="300" w:lineRule="auto"/>
              <w:rPr>
                <w:rFonts w:cs="宋体" w:asciiTheme="minorEastAsia" w:hAnsiTheme="minorEastAsia" w:eastAsiaTheme="minorEastAsia"/>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14"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项目概况</w:t>
            </w:r>
          </w:p>
        </w:tc>
        <w:tc>
          <w:tcPr>
            <w:tcW w:w="726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项目立项情况</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项目立项的依据</w:t>
            </w:r>
          </w:p>
        </w:tc>
        <w:tc>
          <w:tcPr>
            <w:tcW w:w="502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项目申报的可行性</w:t>
            </w:r>
          </w:p>
        </w:tc>
        <w:tc>
          <w:tcPr>
            <w:tcW w:w="502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项目申报的必要性</w:t>
            </w:r>
          </w:p>
        </w:tc>
        <w:tc>
          <w:tcPr>
            <w:tcW w:w="502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项目实施进度计划</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项目实施内容</w:t>
            </w: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开始时间</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000000" w:themeColor="text1"/>
                <w:kern w:val="0"/>
                <w:sz w:val="24"/>
                <w14:textFill>
                  <w14:solidFill>
                    <w14:schemeClr w14:val="tx1"/>
                  </w14:solidFill>
                </w14:textFill>
              </w:rPr>
            </w:pPr>
          </w:p>
        </w:tc>
      </w:tr>
    </w:tbl>
    <w:p>
      <w:pPr>
        <w:pStyle w:val="4"/>
        <w:ind w:firstLine="562"/>
      </w:pPr>
      <w:r>
        <w:rPr>
          <w:rFonts w:hint="eastAsia"/>
        </w:rPr>
        <w:t>（四）其他需说明的事项</w:t>
      </w:r>
    </w:p>
    <w:p>
      <w:r>
        <w:rPr>
          <w:rFonts w:hint="eastAsia"/>
        </w:rPr>
        <w:t>……</w:t>
      </w:r>
    </w:p>
    <w:p>
      <w:pPr>
        <w:pStyle w:val="2"/>
        <w:spacing w:before="435"/>
        <w:rPr>
          <w:rFonts w:ascii="黑体" w:hAnsi="黑体" w:eastAsia="黑体"/>
          <w:b w:val="0"/>
          <w:color w:val="181717" w:themeColor="background2" w:themeShade="1A"/>
        </w:rPr>
      </w:pPr>
      <w:r>
        <w:rPr>
          <w:rFonts w:hint="eastAsia" w:ascii="黑体" w:hAnsi="黑体" w:eastAsia="黑体"/>
          <w:b w:val="0"/>
          <w:color w:val="181717" w:themeColor="background2" w:themeShade="1A"/>
        </w:rPr>
        <w:t>第四部分  名词解释</w:t>
      </w:r>
    </w:p>
    <w:p>
      <w:pPr>
        <w:widowControl/>
        <w:spacing w:line="300" w:lineRule="auto"/>
        <w:ind w:firstLine="640"/>
        <w:jc w:val="left"/>
        <w:rPr>
          <w:rFonts w:ascii="黑体" w:hAnsi="黑体" w:eastAsia="黑体" w:cs="宋体"/>
          <w:color w:val="181717" w:themeColor="background2" w:themeShade="1A"/>
          <w:kern w:val="0"/>
          <w:sz w:val="32"/>
          <w:szCs w:val="32"/>
        </w:rPr>
      </w:pPr>
      <w:r>
        <w:rPr>
          <w:rFonts w:hint="eastAsia" w:ascii="黑体" w:hAnsi="黑体" w:eastAsia="黑体" w:cs="宋体"/>
          <w:color w:val="181717" w:themeColor="background2" w:themeShade="1A"/>
          <w:kern w:val="0"/>
          <w:sz w:val="32"/>
          <w:szCs w:val="32"/>
        </w:rPr>
        <w:t>名词解释：</w:t>
      </w:r>
    </w:p>
    <w:p>
      <w:pPr>
        <w:spacing w:line="300" w:lineRule="auto"/>
        <w:ind w:firstLine="642"/>
        <w:rPr>
          <w:rFonts w:asciiTheme="minorEastAsia" w:hAnsiTheme="minorEastAsia" w:eastAsiaTheme="minorEastAsia"/>
          <w:color w:val="181717" w:themeColor="background2" w:themeShade="1A"/>
          <w:sz w:val="24"/>
        </w:rPr>
      </w:pPr>
      <w:r>
        <w:rPr>
          <w:rFonts w:hint="eastAsia" w:ascii="黑体" w:hAnsi="黑体" w:eastAsia="黑体"/>
          <w:color w:val="181717" w:themeColor="background2" w:themeShade="1A"/>
          <w:sz w:val="32"/>
          <w:szCs w:val="32"/>
        </w:rPr>
        <w:t>一、财政拨款：</w:t>
      </w:r>
      <w:r>
        <w:rPr>
          <w:rFonts w:hint="eastAsia" w:asciiTheme="minorEastAsia" w:hAnsiTheme="minorEastAsia" w:eastAsiaTheme="minorEastAsia"/>
          <w:color w:val="181717" w:themeColor="background2" w:themeShade="1A"/>
          <w:sz w:val="28"/>
          <w:szCs w:val="28"/>
        </w:rPr>
        <w:t>指由一般公共预算、政府性基金预算安排的财政拨款数。</w:t>
      </w:r>
    </w:p>
    <w:p>
      <w:pPr>
        <w:spacing w:line="300" w:lineRule="auto"/>
        <w:ind w:firstLine="642"/>
        <w:rPr>
          <w:rFonts w:asciiTheme="minorEastAsia" w:hAnsiTheme="minorEastAsia" w:eastAsiaTheme="minorEastAsia"/>
          <w:color w:val="181717" w:themeColor="background2" w:themeShade="1A"/>
          <w:sz w:val="24"/>
        </w:rPr>
      </w:pPr>
      <w:r>
        <w:rPr>
          <w:rFonts w:hint="eastAsia" w:ascii="黑体" w:hAnsi="黑体" w:eastAsia="黑体"/>
          <w:color w:val="181717" w:themeColor="background2" w:themeShade="1A"/>
          <w:sz w:val="32"/>
          <w:szCs w:val="32"/>
        </w:rPr>
        <w:t>二、一般公共预算：</w:t>
      </w:r>
      <w:r>
        <w:rPr>
          <w:rFonts w:hint="eastAsia" w:asciiTheme="minorEastAsia" w:hAnsiTheme="minorEastAsia" w:eastAsiaTheme="minorEastAsia"/>
          <w:color w:val="181717" w:themeColor="background2" w:themeShade="1A"/>
          <w:sz w:val="28"/>
          <w:szCs w:val="28"/>
        </w:rPr>
        <w:t>包括公共财政拨款（补助）资金、专项收入。</w:t>
      </w:r>
    </w:p>
    <w:p>
      <w:pPr>
        <w:spacing w:line="300" w:lineRule="auto"/>
        <w:ind w:firstLine="642"/>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三、非税收入：</w:t>
      </w:r>
      <w:r>
        <w:rPr>
          <w:rFonts w:hint="eastAsia" w:asciiTheme="minorEastAsia" w:hAnsiTheme="minorEastAsia" w:eastAsiaTheme="minorEastAsia"/>
          <w:color w:val="181717" w:themeColor="background2" w:themeShade="1A"/>
          <w:sz w:val="28"/>
          <w:szCs w:val="28"/>
        </w:rPr>
        <w:t>包括罚没收入、国有资源（资产）有偿使用收入、行政事业性收费收入等。</w:t>
      </w:r>
    </w:p>
    <w:p>
      <w:pPr>
        <w:spacing w:line="300" w:lineRule="auto"/>
        <w:ind w:firstLine="642"/>
        <w:rPr>
          <w:rFonts w:asciiTheme="minorEastAsia" w:hAnsiTheme="minorEastAsia" w:eastAsiaTheme="minorEastAsia"/>
          <w:color w:val="181717" w:themeColor="background2" w:themeShade="1A"/>
          <w:sz w:val="24"/>
        </w:rPr>
      </w:pPr>
      <w:r>
        <w:rPr>
          <w:rFonts w:hint="eastAsia" w:ascii="黑体" w:hAnsi="黑体" w:eastAsia="黑体"/>
          <w:color w:val="181717" w:themeColor="background2" w:themeShade="1A"/>
          <w:sz w:val="32"/>
          <w:szCs w:val="32"/>
        </w:rPr>
        <w:t>四、其他资金：</w:t>
      </w:r>
      <w:r>
        <w:rPr>
          <w:rFonts w:hint="eastAsia" w:asciiTheme="minorEastAsia" w:hAnsiTheme="minorEastAsia" w:eastAsiaTheme="minorEastAsia"/>
          <w:color w:val="181717" w:themeColor="background2" w:themeShade="1A"/>
          <w:sz w:val="28"/>
          <w:szCs w:val="28"/>
        </w:rPr>
        <w:t>包括事业收入、经营收入、其他收入等。</w:t>
      </w:r>
    </w:p>
    <w:p>
      <w:pPr>
        <w:spacing w:line="300" w:lineRule="auto"/>
        <w:ind w:firstLine="642"/>
        <w:rPr>
          <w:rFonts w:asciiTheme="minorEastAsia" w:hAnsiTheme="minorEastAsia" w:eastAsiaTheme="minorEastAsia"/>
          <w:color w:val="181717" w:themeColor="background2" w:themeShade="1A"/>
          <w:sz w:val="24"/>
        </w:rPr>
      </w:pPr>
      <w:r>
        <w:rPr>
          <w:rFonts w:hint="eastAsia" w:ascii="黑体" w:hAnsi="黑体" w:eastAsia="黑体"/>
          <w:color w:val="181717" w:themeColor="background2" w:themeShade="1A"/>
          <w:sz w:val="32"/>
          <w:szCs w:val="32"/>
        </w:rPr>
        <w:t>五、基本支出：</w:t>
      </w:r>
      <w:r>
        <w:rPr>
          <w:rFonts w:hint="eastAsia" w:asciiTheme="minorEastAsia" w:hAnsiTheme="minorEastAsia" w:eastAsiaTheme="minorEastAsia"/>
          <w:color w:val="181717" w:themeColor="background2" w:themeShade="1A"/>
          <w:sz w:val="28"/>
          <w:szCs w:val="28"/>
        </w:rPr>
        <w:t>包括人员经费、商品和服务支出（定额）。其中，人员经费包括工资福利支出、对个人和家庭的补助。</w:t>
      </w:r>
    </w:p>
    <w:p>
      <w:pPr>
        <w:spacing w:line="300" w:lineRule="auto"/>
        <w:ind w:firstLine="642"/>
        <w:rPr>
          <w:rFonts w:asciiTheme="minorEastAsia" w:hAnsiTheme="minorEastAsia" w:eastAsiaTheme="minorEastAsia"/>
          <w:color w:val="181717" w:themeColor="background2" w:themeShade="1A"/>
          <w:sz w:val="24"/>
        </w:rPr>
      </w:pPr>
      <w:r>
        <w:rPr>
          <w:rFonts w:hint="eastAsia" w:ascii="黑体" w:hAnsi="黑体" w:eastAsia="黑体"/>
          <w:color w:val="181717" w:themeColor="background2" w:themeShade="1A"/>
          <w:sz w:val="32"/>
          <w:szCs w:val="32"/>
        </w:rPr>
        <w:t>六、项目支出：</w:t>
      </w:r>
      <w:r>
        <w:rPr>
          <w:rFonts w:hint="eastAsia" w:asciiTheme="minorEastAsia" w:hAnsiTheme="minorEastAsia" w:eastAsiaTheme="minorEastAsia"/>
          <w:color w:val="181717" w:themeColor="background2" w:themeShade="1A"/>
          <w:sz w:val="28"/>
          <w:szCs w:val="28"/>
        </w:rPr>
        <w:t>部门支出预算的组成部分，是本级部门为完成其特定的行政任务或事业发展目标，在基本支出预算之外编制的年度项目支出计划。</w:t>
      </w:r>
    </w:p>
    <w:p>
      <w:pPr>
        <w:spacing w:line="300" w:lineRule="auto"/>
        <w:ind w:firstLine="642"/>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七、“三公”经费：</w:t>
      </w:r>
      <w:r>
        <w:rPr>
          <w:rFonts w:hint="eastAsia" w:asciiTheme="minorEastAsia" w:hAnsiTheme="minorEastAsia" w:eastAsiaTheme="minorEastAsia"/>
          <w:color w:val="18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300" w:lineRule="auto"/>
        <w:ind w:firstLine="642"/>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八、机关运行经费：</w:t>
      </w:r>
      <w:r>
        <w:rPr>
          <w:rFonts w:hint="eastAsia" w:asciiTheme="minorEastAsia" w:hAnsiTheme="minorEastAsia" w:eastAsiaTheme="minorEastAsia"/>
          <w:color w:val="18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ind w:right="420"/>
        <w:jc w:val="righ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乌鲁木齐市水磨沟区委员会党校</w:t>
      </w:r>
    </w:p>
    <w:p>
      <w:pPr>
        <w:widowControl/>
        <w:wordWrap w:val="0"/>
        <w:spacing w:line="300" w:lineRule="auto"/>
        <w:ind w:right="720"/>
        <w:jc w:val="righ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201</w:t>
      </w:r>
      <w:r>
        <w:rPr>
          <w:rFonts w:hint="eastAsia" w:asciiTheme="minorEastAsia" w:hAnsiTheme="minorEastAsia" w:eastAsiaTheme="minorEastAsia"/>
          <w:color w:val="181717" w:themeColor="background2" w:themeShade="1A"/>
          <w:sz w:val="28"/>
          <w:szCs w:val="28"/>
          <w:lang w:val="en-US" w:eastAsia="zh-CN"/>
        </w:rPr>
        <w:t>6</w:t>
      </w:r>
      <w:r>
        <w:rPr>
          <w:rFonts w:asciiTheme="minorEastAsia" w:hAnsiTheme="minorEastAsia" w:eastAsiaTheme="minorEastAsia"/>
          <w:color w:val="181717" w:themeColor="background2" w:themeShade="1A"/>
          <w:sz w:val="28"/>
          <w:szCs w:val="28"/>
        </w:rPr>
        <w:t>年</w:t>
      </w:r>
      <w:r>
        <w:rPr>
          <w:rFonts w:hint="eastAsia" w:asciiTheme="minorEastAsia" w:hAnsiTheme="minorEastAsia" w:eastAsiaTheme="minorEastAsia"/>
          <w:color w:val="181717" w:themeColor="background2" w:themeShade="1A"/>
          <w:sz w:val="28"/>
          <w:szCs w:val="28"/>
        </w:rPr>
        <w:t>2</w:t>
      </w:r>
      <w:r>
        <w:rPr>
          <w:rFonts w:asciiTheme="minorEastAsia" w:hAnsiTheme="minorEastAsia" w:eastAsiaTheme="minorEastAsia"/>
          <w:color w:val="181717" w:themeColor="background2" w:themeShade="1A"/>
          <w:sz w:val="28"/>
          <w:szCs w:val="28"/>
        </w:rPr>
        <w:t>月</w:t>
      </w:r>
      <w:r>
        <w:rPr>
          <w:rFonts w:hint="eastAsia" w:asciiTheme="minorEastAsia" w:hAnsiTheme="minorEastAsia" w:eastAsiaTheme="minorEastAsia"/>
          <w:color w:val="181717" w:themeColor="background2" w:themeShade="1A"/>
          <w:sz w:val="28"/>
          <w:szCs w:val="28"/>
        </w:rPr>
        <w:t>22</w:t>
      </w:r>
      <w:r>
        <w:rPr>
          <w:rFonts w:asciiTheme="minorEastAsia" w:hAnsiTheme="minorEastAsia" w:eastAsiaTheme="minorEastAsia"/>
          <w:color w:val="181717" w:themeColor="background2" w:themeShade="1A"/>
          <w:sz w:val="28"/>
          <w:szCs w:val="28"/>
        </w:rPr>
        <w:t>日</w:t>
      </w:r>
    </w:p>
    <w:p>
      <w:pPr>
        <w:widowControl/>
        <w:spacing w:line="300" w:lineRule="auto"/>
        <w:jc w:val="left"/>
        <w:rPr>
          <w:rFonts w:asciiTheme="minorEastAsia" w:hAnsiTheme="minorEastAsia" w:eastAsiaTheme="minorEastAsia"/>
          <w:color w:val="181717" w:themeColor="background2" w:themeShade="1A"/>
          <w:sz w:val="28"/>
          <w:szCs w:val="28"/>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0134F"/>
    <w:multiLevelType w:val="multilevel"/>
    <w:tmpl w:val="4580134F"/>
    <w:lvl w:ilvl="0" w:tentative="0">
      <w:start w:val="1"/>
      <w:numFmt w:val="japaneseCounting"/>
      <w:lvlText w:val="%1、"/>
      <w:lvlJc w:val="left"/>
      <w:pPr>
        <w:ind w:left="931" w:hanging="630"/>
      </w:pPr>
      <w:rPr>
        <w:rFonts w:hint="default"/>
      </w:rPr>
    </w:lvl>
    <w:lvl w:ilvl="1" w:tentative="0">
      <w:start w:val="1"/>
      <w:numFmt w:val="lowerLetter"/>
      <w:lvlText w:val="%2)"/>
      <w:lvlJc w:val="left"/>
      <w:pPr>
        <w:ind w:left="1141" w:hanging="420"/>
      </w:pPr>
    </w:lvl>
    <w:lvl w:ilvl="2" w:tentative="0">
      <w:start w:val="1"/>
      <w:numFmt w:val="lowerRoman"/>
      <w:lvlText w:val="%3."/>
      <w:lvlJc w:val="right"/>
      <w:pPr>
        <w:ind w:left="1561" w:hanging="420"/>
      </w:pPr>
    </w:lvl>
    <w:lvl w:ilvl="3" w:tentative="0">
      <w:start w:val="1"/>
      <w:numFmt w:val="decimal"/>
      <w:lvlText w:val="%4."/>
      <w:lvlJc w:val="left"/>
      <w:pPr>
        <w:ind w:left="1981" w:hanging="420"/>
      </w:pPr>
    </w:lvl>
    <w:lvl w:ilvl="4" w:tentative="0">
      <w:start w:val="1"/>
      <w:numFmt w:val="lowerLetter"/>
      <w:lvlText w:val="%5)"/>
      <w:lvlJc w:val="left"/>
      <w:pPr>
        <w:ind w:left="2401" w:hanging="420"/>
      </w:pPr>
    </w:lvl>
    <w:lvl w:ilvl="5" w:tentative="0">
      <w:start w:val="1"/>
      <w:numFmt w:val="lowerRoman"/>
      <w:lvlText w:val="%6."/>
      <w:lvlJc w:val="right"/>
      <w:pPr>
        <w:ind w:left="2821" w:hanging="420"/>
      </w:pPr>
    </w:lvl>
    <w:lvl w:ilvl="6" w:tentative="0">
      <w:start w:val="1"/>
      <w:numFmt w:val="decimal"/>
      <w:lvlText w:val="%7."/>
      <w:lvlJc w:val="left"/>
      <w:pPr>
        <w:ind w:left="3241" w:hanging="420"/>
      </w:pPr>
    </w:lvl>
    <w:lvl w:ilvl="7" w:tentative="0">
      <w:start w:val="1"/>
      <w:numFmt w:val="lowerLetter"/>
      <w:lvlText w:val="%8)"/>
      <w:lvlJc w:val="left"/>
      <w:pPr>
        <w:ind w:left="3661" w:hanging="420"/>
      </w:pPr>
    </w:lvl>
    <w:lvl w:ilvl="8" w:tentative="0">
      <w:start w:val="1"/>
      <w:numFmt w:val="lowerRoman"/>
      <w:lvlText w:val="%9."/>
      <w:lvlJc w:val="right"/>
      <w:pPr>
        <w:ind w:left="40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15A9E"/>
    <w:rsid w:val="00070134"/>
    <w:rsid w:val="000C70FD"/>
    <w:rsid w:val="001130B6"/>
    <w:rsid w:val="00120B04"/>
    <w:rsid w:val="001C5446"/>
    <w:rsid w:val="00236A83"/>
    <w:rsid w:val="002E727D"/>
    <w:rsid w:val="00330438"/>
    <w:rsid w:val="00344271"/>
    <w:rsid w:val="003931FA"/>
    <w:rsid w:val="003F6C48"/>
    <w:rsid w:val="0041577F"/>
    <w:rsid w:val="00442B23"/>
    <w:rsid w:val="00472D3C"/>
    <w:rsid w:val="00476A18"/>
    <w:rsid w:val="004A51A5"/>
    <w:rsid w:val="004E3FA5"/>
    <w:rsid w:val="00530C66"/>
    <w:rsid w:val="00536A7E"/>
    <w:rsid w:val="00570E41"/>
    <w:rsid w:val="005F5673"/>
    <w:rsid w:val="006F3F53"/>
    <w:rsid w:val="0076661B"/>
    <w:rsid w:val="0089173C"/>
    <w:rsid w:val="008A6CEB"/>
    <w:rsid w:val="008A7A6D"/>
    <w:rsid w:val="008B0F4D"/>
    <w:rsid w:val="009372D3"/>
    <w:rsid w:val="00961F1F"/>
    <w:rsid w:val="009B7914"/>
    <w:rsid w:val="00A34ADB"/>
    <w:rsid w:val="00A51867"/>
    <w:rsid w:val="00AC7203"/>
    <w:rsid w:val="00AD736C"/>
    <w:rsid w:val="00AE1FBF"/>
    <w:rsid w:val="00B425AA"/>
    <w:rsid w:val="00B62719"/>
    <w:rsid w:val="00B75CCA"/>
    <w:rsid w:val="00B85E1D"/>
    <w:rsid w:val="00B90143"/>
    <w:rsid w:val="00BA7C92"/>
    <w:rsid w:val="00BD5383"/>
    <w:rsid w:val="00BF793F"/>
    <w:rsid w:val="00C00BF0"/>
    <w:rsid w:val="00C232C2"/>
    <w:rsid w:val="00C55365"/>
    <w:rsid w:val="00C82B8D"/>
    <w:rsid w:val="00CA5281"/>
    <w:rsid w:val="00CF5619"/>
    <w:rsid w:val="00D1582D"/>
    <w:rsid w:val="00D36AB2"/>
    <w:rsid w:val="00DA2544"/>
    <w:rsid w:val="00E4165B"/>
    <w:rsid w:val="00E50607"/>
    <w:rsid w:val="00E87A9A"/>
    <w:rsid w:val="00F12AF8"/>
    <w:rsid w:val="00F3084F"/>
    <w:rsid w:val="00F61E37"/>
    <w:rsid w:val="01FB267C"/>
    <w:rsid w:val="04235D41"/>
    <w:rsid w:val="04463FC8"/>
    <w:rsid w:val="04F74FC2"/>
    <w:rsid w:val="062B540A"/>
    <w:rsid w:val="06A62BE6"/>
    <w:rsid w:val="07AF1836"/>
    <w:rsid w:val="09FF7A15"/>
    <w:rsid w:val="0A724C3F"/>
    <w:rsid w:val="0E8F2CA9"/>
    <w:rsid w:val="0EFE2F1F"/>
    <w:rsid w:val="10241379"/>
    <w:rsid w:val="108016C2"/>
    <w:rsid w:val="12F40B14"/>
    <w:rsid w:val="13457F26"/>
    <w:rsid w:val="13F3273F"/>
    <w:rsid w:val="1527420C"/>
    <w:rsid w:val="15B94748"/>
    <w:rsid w:val="15C7130F"/>
    <w:rsid w:val="16B82A7A"/>
    <w:rsid w:val="17345B33"/>
    <w:rsid w:val="17520CC6"/>
    <w:rsid w:val="1A0859D4"/>
    <w:rsid w:val="1AFF4B67"/>
    <w:rsid w:val="1B5E694C"/>
    <w:rsid w:val="1B9704F1"/>
    <w:rsid w:val="1D3029B0"/>
    <w:rsid w:val="1DD828B8"/>
    <w:rsid w:val="1E9A3CDF"/>
    <w:rsid w:val="1F5C76F7"/>
    <w:rsid w:val="1F7A0F88"/>
    <w:rsid w:val="20067082"/>
    <w:rsid w:val="202F34AD"/>
    <w:rsid w:val="205C6506"/>
    <w:rsid w:val="20B10359"/>
    <w:rsid w:val="21430D02"/>
    <w:rsid w:val="21922A70"/>
    <w:rsid w:val="239628F0"/>
    <w:rsid w:val="24BD1537"/>
    <w:rsid w:val="24D422CB"/>
    <w:rsid w:val="25591FB5"/>
    <w:rsid w:val="2624024F"/>
    <w:rsid w:val="2681774F"/>
    <w:rsid w:val="27F24963"/>
    <w:rsid w:val="291C00C9"/>
    <w:rsid w:val="2AA546EE"/>
    <w:rsid w:val="2CF73AFB"/>
    <w:rsid w:val="2DD4598F"/>
    <w:rsid w:val="2E0B731A"/>
    <w:rsid w:val="2E4F4283"/>
    <w:rsid w:val="2EC74162"/>
    <w:rsid w:val="2F5C6F46"/>
    <w:rsid w:val="30DA4753"/>
    <w:rsid w:val="30EC56E4"/>
    <w:rsid w:val="32316D8B"/>
    <w:rsid w:val="325426D0"/>
    <w:rsid w:val="32740FA4"/>
    <w:rsid w:val="32A27B11"/>
    <w:rsid w:val="3441139D"/>
    <w:rsid w:val="34564590"/>
    <w:rsid w:val="35757231"/>
    <w:rsid w:val="370D18FA"/>
    <w:rsid w:val="370F59EA"/>
    <w:rsid w:val="38E405EB"/>
    <w:rsid w:val="38EA1C02"/>
    <w:rsid w:val="394F7C50"/>
    <w:rsid w:val="3B3E6F6E"/>
    <w:rsid w:val="3C4B57ED"/>
    <w:rsid w:val="3D3B7042"/>
    <w:rsid w:val="3EBB25B2"/>
    <w:rsid w:val="3F7F7164"/>
    <w:rsid w:val="4406137C"/>
    <w:rsid w:val="451F1198"/>
    <w:rsid w:val="453A45FE"/>
    <w:rsid w:val="454B6973"/>
    <w:rsid w:val="46CD56FC"/>
    <w:rsid w:val="485976C2"/>
    <w:rsid w:val="491A21EC"/>
    <w:rsid w:val="4989080C"/>
    <w:rsid w:val="49CB5650"/>
    <w:rsid w:val="4B23419E"/>
    <w:rsid w:val="4B294512"/>
    <w:rsid w:val="4C340E26"/>
    <w:rsid w:val="4D404FE0"/>
    <w:rsid w:val="4E43782C"/>
    <w:rsid w:val="4EDF242B"/>
    <w:rsid w:val="4F4522D4"/>
    <w:rsid w:val="51751583"/>
    <w:rsid w:val="51AE1077"/>
    <w:rsid w:val="52331CAF"/>
    <w:rsid w:val="52603D86"/>
    <w:rsid w:val="541176CF"/>
    <w:rsid w:val="542A0562"/>
    <w:rsid w:val="54CB3AD1"/>
    <w:rsid w:val="564A26E0"/>
    <w:rsid w:val="57237AA9"/>
    <w:rsid w:val="57B120AC"/>
    <w:rsid w:val="58791708"/>
    <w:rsid w:val="58B8796A"/>
    <w:rsid w:val="59884E62"/>
    <w:rsid w:val="5A983BC7"/>
    <w:rsid w:val="5BD20A89"/>
    <w:rsid w:val="5D677DF7"/>
    <w:rsid w:val="5D6B4F09"/>
    <w:rsid w:val="5D7E504D"/>
    <w:rsid w:val="5DAE38E8"/>
    <w:rsid w:val="61427D94"/>
    <w:rsid w:val="62DB796E"/>
    <w:rsid w:val="63863823"/>
    <w:rsid w:val="63913953"/>
    <w:rsid w:val="64EB4CFD"/>
    <w:rsid w:val="666B7F91"/>
    <w:rsid w:val="694F44DD"/>
    <w:rsid w:val="69932765"/>
    <w:rsid w:val="6AB45B0F"/>
    <w:rsid w:val="6C2859D6"/>
    <w:rsid w:val="6C4608B5"/>
    <w:rsid w:val="71AA0288"/>
    <w:rsid w:val="721609D4"/>
    <w:rsid w:val="740F3E30"/>
    <w:rsid w:val="747A2EB4"/>
    <w:rsid w:val="75EA3FD5"/>
    <w:rsid w:val="768458A1"/>
    <w:rsid w:val="76896966"/>
    <w:rsid w:val="776E2EB9"/>
    <w:rsid w:val="7A5A5D09"/>
    <w:rsid w:val="7CCF5CEA"/>
    <w:rsid w:val="7EC50C4D"/>
    <w:rsid w:val="7ECC307E"/>
    <w:rsid w:val="7F99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100"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9EF0C-3628-4BF0-8EAA-59533D8D11FD}">
  <ds:schemaRefs/>
</ds:datastoreItem>
</file>

<file path=docProps/app.xml><?xml version="1.0" encoding="utf-8"?>
<Properties xmlns="http://schemas.openxmlformats.org/officeDocument/2006/extended-properties" xmlns:vt="http://schemas.openxmlformats.org/officeDocument/2006/docPropsVTypes">
  <Template>Normal</Template>
  <Company>水磨沟政府</Company>
  <Pages>23</Pages>
  <Words>1242</Words>
  <Characters>7080</Characters>
  <Lines>59</Lines>
  <Paragraphs>16</Paragraphs>
  <TotalTime>2</TotalTime>
  <ScaleCrop>false</ScaleCrop>
  <LinksUpToDate>false</LinksUpToDate>
  <CharactersWithSpaces>8306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2018-02-11T09:40:00Z</dcterms:created>
  <dc:creator>Administrator</dc:creator>
  <cp:lastModifiedBy>甜甜的苹果1420738821</cp:lastModifiedBy>
  <dcterms:modified xsi:type="dcterms:W3CDTF">2018-12-16T15:56:23Z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