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F2" w:rsidRDefault="00E92140">
      <w:pPr>
        <w:spacing w:line="300" w:lineRule="auto"/>
        <w:rPr>
          <w:rFonts w:asciiTheme="majorEastAsia" w:eastAsiaTheme="majorEastAsia" w:hAnsiTheme="majorEastAsia"/>
          <w:b/>
          <w:color w:val="171717" w:themeColor="background2" w:themeShade="1A"/>
          <w:sz w:val="44"/>
          <w:szCs w:val="44"/>
        </w:rPr>
      </w:pPr>
      <w:r>
        <w:rPr>
          <w:rFonts w:asciiTheme="majorEastAsia" w:eastAsiaTheme="majorEastAsia" w:hAnsiTheme="majorEastAsia" w:hint="eastAsia"/>
          <w:b/>
          <w:color w:val="171717" w:themeColor="background2" w:themeShade="1A"/>
          <w:sz w:val="44"/>
          <w:szCs w:val="44"/>
        </w:rPr>
        <w:t>附件：</w:t>
      </w:r>
    </w:p>
    <w:p w:rsidR="00D10BF2" w:rsidRDefault="00D10BF2">
      <w:pPr>
        <w:widowControl/>
        <w:spacing w:before="100" w:beforeAutospacing="1" w:after="100" w:afterAutospacing="1" w:line="300" w:lineRule="auto"/>
        <w:jc w:val="center"/>
        <w:outlineLvl w:val="1"/>
        <w:rPr>
          <w:rFonts w:asciiTheme="majorEastAsia" w:eastAsiaTheme="majorEastAsia" w:hAnsiTheme="majorEastAsia"/>
          <w:b/>
          <w:color w:val="171717" w:themeColor="background2" w:themeShade="1A"/>
          <w:kern w:val="0"/>
          <w:sz w:val="44"/>
          <w:szCs w:val="44"/>
        </w:rPr>
      </w:pPr>
    </w:p>
    <w:p w:rsidR="00D10BF2" w:rsidRDefault="00D10BF2">
      <w:pPr>
        <w:widowControl/>
        <w:spacing w:before="100" w:beforeAutospacing="1" w:after="100" w:afterAutospacing="1" w:line="300" w:lineRule="auto"/>
        <w:jc w:val="center"/>
        <w:outlineLvl w:val="1"/>
        <w:rPr>
          <w:rFonts w:asciiTheme="majorEastAsia" w:eastAsiaTheme="majorEastAsia" w:hAnsiTheme="majorEastAsia"/>
          <w:b/>
          <w:color w:val="171717" w:themeColor="background2" w:themeShade="1A"/>
          <w:kern w:val="0"/>
          <w:sz w:val="44"/>
          <w:szCs w:val="44"/>
        </w:rPr>
      </w:pPr>
    </w:p>
    <w:p w:rsidR="00D10BF2" w:rsidRDefault="00D10BF2">
      <w:pPr>
        <w:widowControl/>
        <w:spacing w:before="100" w:beforeAutospacing="1" w:after="100" w:afterAutospacing="1" w:line="300" w:lineRule="auto"/>
        <w:jc w:val="center"/>
        <w:outlineLvl w:val="1"/>
        <w:rPr>
          <w:rFonts w:asciiTheme="majorEastAsia" w:eastAsiaTheme="majorEastAsia" w:hAnsiTheme="majorEastAsia"/>
          <w:b/>
          <w:color w:val="171717" w:themeColor="background2" w:themeShade="1A"/>
          <w:kern w:val="0"/>
          <w:sz w:val="44"/>
          <w:szCs w:val="44"/>
        </w:rPr>
      </w:pPr>
    </w:p>
    <w:p w:rsidR="00D10BF2" w:rsidRDefault="00E92140">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乌鲁木齐市水磨沟区卫生监督所2016年预算公开</w:t>
      </w: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pPr>
        <w:widowControl/>
        <w:spacing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lastRenderedPageBreak/>
        <w:t>目录</w:t>
      </w:r>
    </w:p>
    <w:p w:rsidR="00D10BF2" w:rsidRDefault="00D10BF2">
      <w:pPr>
        <w:widowControl/>
        <w:spacing w:line="300" w:lineRule="auto"/>
        <w:jc w:val="center"/>
        <w:outlineLvl w:val="1"/>
        <w:rPr>
          <w:rFonts w:ascii="黑体" w:eastAsia="黑体" w:hAnsi="黑体"/>
          <w:color w:val="171717" w:themeColor="background2" w:themeShade="1A"/>
          <w:kern w:val="0"/>
          <w:sz w:val="44"/>
          <w:szCs w:val="44"/>
        </w:rPr>
      </w:pPr>
    </w:p>
    <w:p w:rsidR="00D10BF2" w:rsidRDefault="00E92140">
      <w:pPr>
        <w:widowControl/>
        <w:spacing w:line="460" w:lineRule="exact"/>
        <w:outlineLvl w:val="1"/>
        <w:rPr>
          <w:rFonts w:ascii="仿宋_GB2312" w:eastAsia="仿宋_GB2312" w:hAnsi="仿宋"/>
          <w:b/>
          <w:color w:val="171717" w:themeColor="background2" w:themeShade="1A"/>
          <w:kern w:val="0"/>
          <w:sz w:val="32"/>
          <w:szCs w:val="32"/>
        </w:rPr>
      </w:pPr>
      <w:r>
        <w:rPr>
          <w:rFonts w:ascii="仿宋_GB2312" w:eastAsia="仿宋_GB2312" w:hAnsi="仿宋" w:hint="eastAsia"/>
          <w:b/>
          <w:color w:val="171717" w:themeColor="background2" w:themeShade="1A"/>
          <w:kern w:val="0"/>
          <w:sz w:val="32"/>
          <w:szCs w:val="32"/>
        </w:rPr>
        <w:t>第一部分  乌鲁木齐市水磨沟区卫生监督</w:t>
      </w:r>
      <w:proofErr w:type="gramStart"/>
      <w:r>
        <w:rPr>
          <w:rFonts w:ascii="仿宋_GB2312" w:eastAsia="仿宋_GB2312" w:hAnsi="仿宋" w:hint="eastAsia"/>
          <w:b/>
          <w:color w:val="171717" w:themeColor="background2" w:themeShade="1A"/>
          <w:kern w:val="0"/>
          <w:sz w:val="32"/>
          <w:szCs w:val="32"/>
        </w:rPr>
        <w:t>所单位</w:t>
      </w:r>
      <w:proofErr w:type="gramEnd"/>
      <w:r>
        <w:rPr>
          <w:rFonts w:ascii="仿宋_GB2312" w:eastAsia="仿宋_GB2312" w:hAnsi="仿宋" w:hint="eastAsia"/>
          <w:b/>
          <w:color w:val="171717" w:themeColor="background2" w:themeShade="1A"/>
          <w:kern w:val="0"/>
          <w:sz w:val="32"/>
          <w:szCs w:val="32"/>
        </w:rPr>
        <w:t>概况</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一、主要职能</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二、机构设置及人员情况</w:t>
      </w:r>
    </w:p>
    <w:p w:rsidR="00D10BF2" w:rsidRDefault="00E92140">
      <w:pPr>
        <w:widowControl/>
        <w:spacing w:line="460" w:lineRule="exac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第二部分 乌鲁木齐市水磨沟区卫生监督所2016年部门预算公开表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一、部门收支总体情况表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二、部门收入总体情况表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三、部门支出总体情况表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四、财政拨款收支总体情况表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五、一般公共预算支出情况表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六、一般公共预算基本支出情况表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七、项目支出情况表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八、一般公共预算“三公”经费支出情况表</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九、政府性基金预算支出情况表</w:t>
      </w:r>
    </w:p>
    <w:p w:rsidR="00D10BF2" w:rsidRDefault="00E92140">
      <w:pPr>
        <w:widowControl/>
        <w:spacing w:line="460" w:lineRule="exac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第三部分  乌鲁木齐市水磨沟区卫生监督所2016年部门预算情况说明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一、关于乌鲁木齐市水磨沟区卫生监督所2016年收支预算情况的总体说明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二、关于乌鲁木齐市水磨沟区卫生监督所2016年收入预算情况说明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三、关于乌鲁木齐市水磨沟区卫生监督所2016年支出预算情况说明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四、关于乌鲁木齐市水磨沟区卫生监督所2016年财政拨款收支预算情况的总体说明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lastRenderedPageBreak/>
        <w:t>五、关于乌鲁木齐市水磨沟区卫生监督所2016年一般公共预算当年拨款情况说明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六、关于乌鲁木齐市水磨沟区卫生监督所2016年一般公共预算基本支出情况说明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七、关于乌鲁木齐市水磨沟区卫生监督所2016年项目支出情况说明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八、关于乌鲁木齐市水磨沟区卫生监督所2016年一般公共预算“三公”经费预算情况说明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九、关于乌鲁木齐市水磨沟区卫生监督所2016年政府性基金预算拨款情况说明</w:t>
      </w:r>
    </w:p>
    <w:p w:rsidR="00D10BF2" w:rsidRDefault="00E92140">
      <w:pPr>
        <w:widowControl/>
        <w:spacing w:line="460" w:lineRule="exact"/>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十、其他重要事项的情况说明</w:t>
      </w:r>
    </w:p>
    <w:p w:rsidR="00D10BF2" w:rsidRDefault="00E92140">
      <w:pPr>
        <w:widowControl/>
        <w:spacing w:line="460" w:lineRule="exac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第四部分  名词解释</w:t>
      </w: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pPr>
        <w:pStyle w:val="1"/>
        <w:spacing w:before="240"/>
        <w:rPr>
          <w:rFonts w:ascii="黑体" w:eastAsia="黑体" w:hAnsi="黑体"/>
          <w:b w:val="0"/>
          <w:color w:val="171717" w:themeColor="background2" w:themeShade="1A"/>
        </w:rPr>
      </w:pPr>
      <w:r>
        <w:rPr>
          <w:rFonts w:ascii="黑体" w:eastAsia="黑体" w:hAnsi="黑体" w:hint="eastAsia"/>
          <w:b w:val="0"/>
          <w:color w:val="171717" w:themeColor="background2" w:themeShade="1A"/>
        </w:rPr>
        <w:lastRenderedPageBreak/>
        <w:t>第一部分   乌鲁木齐市水磨沟区卫生监督</w:t>
      </w:r>
      <w:proofErr w:type="gramStart"/>
      <w:r>
        <w:rPr>
          <w:rFonts w:ascii="黑体" w:eastAsia="黑体" w:hAnsi="黑体" w:hint="eastAsia"/>
          <w:b w:val="0"/>
          <w:color w:val="171717" w:themeColor="background2" w:themeShade="1A"/>
        </w:rPr>
        <w:t>所单位</w:t>
      </w:r>
      <w:proofErr w:type="gramEnd"/>
      <w:r>
        <w:rPr>
          <w:rFonts w:ascii="黑体" w:eastAsia="黑体" w:hAnsi="黑体" w:hint="eastAsia"/>
          <w:b w:val="0"/>
          <w:color w:val="171717" w:themeColor="background2" w:themeShade="1A"/>
        </w:rPr>
        <w:t>概况</w:t>
      </w:r>
    </w:p>
    <w:p w:rsidR="00D10BF2" w:rsidRDefault="00D10BF2">
      <w:pPr>
        <w:widowControl/>
        <w:spacing w:line="300" w:lineRule="auto"/>
        <w:jc w:val="center"/>
        <w:outlineLvl w:val="1"/>
        <w:rPr>
          <w:rFonts w:asciiTheme="minorEastAsia" w:eastAsiaTheme="minorEastAsia" w:hAnsiTheme="minorEastAsia"/>
          <w:b/>
          <w:color w:val="171717" w:themeColor="background2" w:themeShade="1A"/>
          <w:kern w:val="0"/>
          <w:sz w:val="24"/>
        </w:rPr>
      </w:pPr>
    </w:p>
    <w:p w:rsidR="00D10BF2" w:rsidRDefault="00E92140">
      <w:pPr>
        <w:pStyle w:val="2"/>
        <w:spacing w:line="560" w:lineRule="exact"/>
        <w:ind w:firstLineChars="31" w:firstLine="99"/>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一、主要职能</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proofErr w:type="gramStart"/>
      <w:r>
        <w:rPr>
          <w:rFonts w:asciiTheme="minorEastAsia" w:eastAsiaTheme="minorEastAsia" w:hAnsiTheme="minorEastAsia" w:cs="宋体" w:hint="eastAsia"/>
          <w:color w:val="171717" w:themeColor="background2" w:themeShade="1A"/>
          <w:kern w:val="0"/>
          <w:sz w:val="28"/>
          <w:szCs w:val="28"/>
        </w:rPr>
        <w:t>一</w:t>
      </w:r>
      <w:proofErr w:type="gramEnd"/>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依法承办职责范围内和卫生行政部门交办的卫生行政许可。</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二</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开展餐饮、公共卫生、医疗卫生监督检查，查处相关违法行为。</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三</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受理对卫生违法行为的投诉、举报。</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四</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负责卫生监督信息的收集、核实和上报。</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五</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开展卫生法律、法规宣传教育。</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六</w:t>
      </w:r>
      <w:r>
        <w:rPr>
          <w:rFonts w:asciiTheme="minorEastAsia" w:eastAsiaTheme="minorEastAsia" w:hAnsiTheme="minorEastAsia" w:cs="宋体"/>
          <w:color w:val="171717" w:themeColor="background2" w:themeShade="1A"/>
          <w:kern w:val="0"/>
          <w:sz w:val="28"/>
          <w:szCs w:val="28"/>
        </w:rPr>
        <w:t>)</w:t>
      </w:r>
      <w:r>
        <w:rPr>
          <w:rFonts w:asciiTheme="minorEastAsia" w:eastAsiaTheme="minorEastAsia" w:hAnsiTheme="minorEastAsia" w:cs="宋体" w:hint="eastAsia"/>
          <w:color w:val="171717" w:themeColor="background2" w:themeShade="1A"/>
          <w:kern w:val="0"/>
          <w:sz w:val="28"/>
          <w:szCs w:val="28"/>
        </w:rPr>
        <w:t>承担上级机关指定或交办的卫生监督事项。</w:t>
      </w:r>
    </w:p>
    <w:p w:rsidR="00D10BF2" w:rsidRDefault="00E92140">
      <w:pPr>
        <w:pStyle w:val="2"/>
        <w:spacing w:line="560" w:lineRule="exact"/>
        <w:ind w:firstLineChars="31" w:firstLine="99"/>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二、机构设置及人员情况</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根据职责，纳入乌鲁木齐市水磨沟区卫生监督所</w:t>
      </w:r>
      <w:r>
        <w:rPr>
          <w:rFonts w:asciiTheme="minorEastAsia" w:eastAsiaTheme="minorEastAsia" w:hAnsiTheme="minorEastAsia" w:cs="宋体"/>
          <w:color w:val="171717" w:themeColor="background2" w:themeShade="1A"/>
          <w:kern w:val="0"/>
          <w:sz w:val="28"/>
          <w:szCs w:val="28"/>
        </w:rPr>
        <w:t>201</w:t>
      </w:r>
      <w:r>
        <w:rPr>
          <w:rFonts w:asciiTheme="minorEastAsia" w:eastAsiaTheme="minorEastAsia" w:hAnsiTheme="minorEastAsia" w:cs="宋体" w:hint="eastAsia"/>
          <w:color w:val="171717" w:themeColor="background2" w:themeShade="1A"/>
          <w:kern w:val="0"/>
          <w:sz w:val="28"/>
          <w:szCs w:val="28"/>
        </w:rPr>
        <w:t>6年部门决算编制范围的有机关内设的3个机构。</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乌鲁木齐市水磨沟区卫生监督所编制人数</w:t>
      </w:r>
      <w:r>
        <w:rPr>
          <w:rFonts w:asciiTheme="minorEastAsia" w:eastAsiaTheme="minorEastAsia" w:hAnsiTheme="minorEastAsia" w:cs="宋体"/>
          <w:color w:val="171717" w:themeColor="background2" w:themeShade="1A"/>
          <w:kern w:val="0"/>
          <w:sz w:val="28"/>
          <w:szCs w:val="28"/>
        </w:rPr>
        <w:t>24</w:t>
      </w:r>
      <w:r>
        <w:rPr>
          <w:rFonts w:asciiTheme="minorEastAsia" w:eastAsiaTheme="minorEastAsia" w:hAnsiTheme="minorEastAsia" w:cs="宋体" w:hint="eastAsia"/>
          <w:color w:val="171717" w:themeColor="background2" w:themeShade="1A"/>
          <w:kern w:val="0"/>
          <w:sz w:val="28"/>
          <w:szCs w:val="28"/>
        </w:rPr>
        <w:t>人，其中：参照公务员管理的事业单位人员编制</w:t>
      </w:r>
      <w:r>
        <w:rPr>
          <w:rFonts w:asciiTheme="minorEastAsia" w:eastAsiaTheme="minorEastAsia" w:hAnsiTheme="minorEastAsia" w:cs="宋体"/>
          <w:color w:val="171717" w:themeColor="background2" w:themeShade="1A"/>
          <w:kern w:val="0"/>
          <w:sz w:val="28"/>
          <w:szCs w:val="28"/>
        </w:rPr>
        <w:t>24</w:t>
      </w:r>
      <w:r>
        <w:rPr>
          <w:rFonts w:asciiTheme="minorEastAsia" w:eastAsiaTheme="minorEastAsia" w:hAnsiTheme="minorEastAsia" w:cs="宋体" w:hint="eastAsia"/>
          <w:color w:val="171717" w:themeColor="background2" w:themeShade="1A"/>
          <w:kern w:val="0"/>
          <w:sz w:val="28"/>
          <w:szCs w:val="28"/>
        </w:rPr>
        <w:t>人。乌鲁木齐市水磨沟区卫生监督所实有在职人数</w:t>
      </w:r>
      <w:r>
        <w:rPr>
          <w:rFonts w:asciiTheme="minorEastAsia" w:eastAsiaTheme="minorEastAsia" w:hAnsiTheme="minorEastAsia" w:cs="宋体"/>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0人，其中：参照公务员管理的事业单位人员编制</w:t>
      </w:r>
      <w:r>
        <w:rPr>
          <w:rFonts w:asciiTheme="minorEastAsia" w:eastAsiaTheme="minorEastAsia" w:hAnsiTheme="minorEastAsia" w:cs="宋体"/>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0人。</w:t>
      </w:r>
    </w:p>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pPr>
        <w:pStyle w:val="1"/>
        <w:spacing w:before="240"/>
        <w:rPr>
          <w:rFonts w:ascii="黑体" w:eastAsia="黑体" w:hAnsi="黑体"/>
          <w:b w:val="0"/>
          <w:color w:val="171717" w:themeColor="background2" w:themeShade="1A"/>
        </w:rPr>
      </w:pPr>
      <w:r>
        <w:rPr>
          <w:rFonts w:ascii="黑体" w:eastAsia="黑体" w:hAnsi="黑体" w:hint="eastAsia"/>
          <w:b w:val="0"/>
          <w:color w:val="171717" w:themeColor="background2" w:themeShade="1A"/>
        </w:rPr>
        <w:lastRenderedPageBreak/>
        <w:t>第二部分  乌鲁木齐市水磨沟区卫生监督所2016年部门预算公开表</w:t>
      </w:r>
    </w:p>
    <w:p w:rsidR="00D10BF2" w:rsidRDefault="00E92140" w:rsidP="00E92140">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表</w:t>
      </w:r>
      <w:proofErr w:type="gramStart"/>
      <w:r>
        <w:rPr>
          <w:rFonts w:ascii="仿宋_GB2312" w:eastAsia="仿宋_GB2312" w:hAnsiTheme="minorEastAsia" w:hint="eastAsia"/>
          <w:b/>
          <w:color w:val="171717" w:themeColor="background2" w:themeShade="1A"/>
          <w:kern w:val="0"/>
          <w:sz w:val="32"/>
          <w:szCs w:val="32"/>
        </w:rPr>
        <w:t>一</w:t>
      </w:r>
      <w:proofErr w:type="gramEnd"/>
      <w:r>
        <w:rPr>
          <w:rFonts w:ascii="仿宋_GB2312" w:eastAsia="仿宋_GB2312" w:hAnsiTheme="minorEastAsia" w:hint="eastAsia"/>
          <w:b/>
          <w:color w:val="171717" w:themeColor="background2" w:themeShade="1A"/>
          <w:kern w:val="0"/>
          <w:sz w:val="32"/>
          <w:szCs w:val="32"/>
        </w:rPr>
        <w:t>：</w:t>
      </w:r>
    </w:p>
    <w:p w:rsidR="00D10BF2" w:rsidRDefault="00E92140">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部门收支总体情况表</w:t>
      </w:r>
    </w:p>
    <w:p w:rsidR="00D10BF2" w:rsidRDefault="00E92140">
      <w:pPr>
        <w:widowControl/>
        <w:spacing w:line="300" w:lineRule="auto"/>
        <w:outlineLvl w:val="1"/>
        <w:rPr>
          <w:rFonts w:asciiTheme="minorEastAsia" w:eastAsiaTheme="minorEastAsia" w:hAnsiTheme="minorEastAsia"/>
          <w:color w:val="171717" w:themeColor="background2" w:themeShade="1A"/>
          <w:kern w:val="0"/>
          <w:szCs w:val="21"/>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8931" w:type="dxa"/>
        <w:tblInd w:w="-176" w:type="dxa"/>
        <w:tblLayout w:type="fixed"/>
        <w:tblLook w:val="04A0" w:firstRow="1" w:lastRow="0" w:firstColumn="1" w:lastColumn="0" w:noHBand="0" w:noVBand="1"/>
      </w:tblPr>
      <w:tblGrid>
        <w:gridCol w:w="2549"/>
        <w:gridCol w:w="1704"/>
        <w:gridCol w:w="2977"/>
        <w:gridCol w:w="1701"/>
      </w:tblGrid>
      <w:tr w:rsidR="00D10BF2">
        <w:trPr>
          <w:trHeight w:val="360"/>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收     入</w:t>
            </w:r>
          </w:p>
        </w:tc>
        <w:tc>
          <w:tcPr>
            <w:tcW w:w="4678" w:type="dxa"/>
            <w:gridSpan w:val="2"/>
            <w:tcBorders>
              <w:top w:val="single" w:sz="4" w:space="0" w:color="auto"/>
              <w:left w:val="nil"/>
              <w:bottom w:val="single" w:sz="4" w:space="0" w:color="auto"/>
              <w:right w:val="single" w:sz="4" w:space="0" w:color="auto"/>
            </w:tcBorders>
            <w:shd w:val="clear" w:color="auto" w:fill="auto"/>
            <w:vAlign w:val="bottom"/>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支     出</w:t>
            </w: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     目</w:t>
            </w:r>
          </w:p>
        </w:tc>
        <w:tc>
          <w:tcPr>
            <w:tcW w:w="1704"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预算数</w:t>
            </w:r>
          </w:p>
        </w:tc>
        <w:tc>
          <w:tcPr>
            <w:tcW w:w="29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预算数</w:t>
            </w: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财政拨款（补助）</w:t>
            </w:r>
          </w:p>
        </w:tc>
        <w:tc>
          <w:tcPr>
            <w:tcW w:w="1704"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一般公共预算</w:t>
            </w:r>
          </w:p>
        </w:tc>
        <w:tc>
          <w:tcPr>
            <w:tcW w:w="1704"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政府性基金预算</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非税收入</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其他资金</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财政预算拨款结余结转</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结转</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结余</w:t>
            </w:r>
          </w:p>
        </w:tc>
        <w:tc>
          <w:tcPr>
            <w:tcW w:w="170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s="宋体"/>
                <w:color w:val="171717" w:themeColor="background2" w:themeShade="1A"/>
                <w:kern w:val="0"/>
                <w:sz w:val="18"/>
                <w:szCs w:val="18"/>
              </w:rPr>
            </w:pPr>
          </w:p>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trPr>
        <w:tc>
          <w:tcPr>
            <w:tcW w:w="2549" w:type="dxa"/>
            <w:tcBorders>
              <w:top w:val="nil"/>
              <w:left w:val="single" w:sz="4" w:space="0" w:color="auto"/>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704"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365"/>
        </w:trPr>
        <w:tc>
          <w:tcPr>
            <w:tcW w:w="2549" w:type="dxa"/>
            <w:tcBorders>
              <w:top w:val="nil"/>
              <w:left w:val="single" w:sz="4" w:space="0" w:color="auto"/>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收  入  总  计</w:t>
            </w:r>
          </w:p>
        </w:tc>
        <w:tc>
          <w:tcPr>
            <w:tcW w:w="1704" w:type="dxa"/>
            <w:tcBorders>
              <w:top w:val="nil"/>
              <w:left w:val="single" w:sz="4" w:space="0" w:color="auto"/>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977" w:type="dxa"/>
            <w:tcBorders>
              <w:top w:val="nil"/>
              <w:left w:val="nil"/>
              <w:bottom w:val="single" w:sz="4" w:space="0" w:color="auto"/>
              <w:right w:val="nil"/>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r>
    </w:tbl>
    <w:p w:rsidR="00D10BF2" w:rsidRDefault="00E92140">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表二：</w:t>
      </w:r>
    </w:p>
    <w:p w:rsidR="00D10BF2" w:rsidRDefault="00E92140">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部门收入总体情况表</w:t>
      </w:r>
    </w:p>
    <w:p w:rsidR="00D10BF2" w:rsidRDefault="00E92140">
      <w:pPr>
        <w:widowControl/>
        <w:spacing w:line="300" w:lineRule="auto"/>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8976" w:type="dxa"/>
        <w:tblInd w:w="93" w:type="dxa"/>
        <w:tblLayout w:type="fixed"/>
        <w:tblLook w:val="04A0" w:firstRow="1" w:lastRow="0" w:firstColumn="1" w:lastColumn="0" w:noHBand="0" w:noVBand="1"/>
      </w:tblPr>
      <w:tblGrid>
        <w:gridCol w:w="546"/>
        <w:gridCol w:w="457"/>
        <w:gridCol w:w="457"/>
        <w:gridCol w:w="1795"/>
        <w:gridCol w:w="820"/>
        <w:gridCol w:w="821"/>
        <w:gridCol w:w="680"/>
        <w:gridCol w:w="680"/>
        <w:gridCol w:w="680"/>
        <w:gridCol w:w="680"/>
        <w:gridCol w:w="680"/>
        <w:gridCol w:w="680"/>
      </w:tblGrid>
      <w:tr w:rsidR="00D10BF2">
        <w:trPr>
          <w:trHeight w:val="510"/>
        </w:trPr>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功能分类科目编码</w:t>
            </w:r>
          </w:p>
        </w:tc>
        <w:tc>
          <w:tcPr>
            <w:tcW w:w="17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总  计</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财政预算拨款结余结转</w:t>
            </w:r>
          </w:p>
        </w:tc>
      </w:tr>
      <w:tr w:rsidR="00D10BF2">
        <w:trPr>
          <w:trHeight w:val="1870"/>
        </w:trPr>
        <w:tc>
          <w:tcPr>
            <w:tcW w:w="546" w:type="dxa"/>
            <w:tcBorders>
              <w:top w:val="nil"/>
              <w:left w:val="single" w:sz="4" w:space="0" w:color="auto"/>
              <w:bottom w:val="single" w:sz="4" w:space="0" w:color="auto"/>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项</w:t>
            </w:r>
          </w:p>
        </w:tc>
        <w:tc>
          <w:tcPr>
            <w:tcW w:w="1795"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D10BF2" w:rsidRDefault="00D10BF2">
            <w:pPr>
              <w:spacing w:line="300" w:lineRule="auto"/>
              <w:jc w:val="center"/>
              <w:rPr>
                <w:rFonts w:ascii="仿宋_GB2312" w:eastAsia="仿宋_GB2312" w:hAnsiTheme="minorEastAsia"/>
                <w:b/>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D10BF2" w:rsidRDefault="00E92140">
            <w:pPr>
              <w:spacing w:line="300" w:lineRule="auto"/>
              <w:jc w:val="center"/>
              <w:rPr>
                <w:rFonts w:ascii="仿宋_GB2312" w:eastAsia="仿宋_GB2312" w:hAnsiTheme="minorEastAsia"/>
                <w:b/>
                <w:color w:val="171717" w:themeColor="background2" w:themeShade="1A"/>
                <w:sz w:val="18"/>
                <w:szCs w:val="18"/>
              </w:rPr>
            </w:pPr>
            <w:r>
              <w:rPr>
                <w:rFonts w:ascii="仿宋_GB2312" w:eastAsia="仿宋_GB2312" w:hAnsiTheme="minorEastAsia" w:hint="eastAsia"/>
                <w:b/>
                <w:color w:val="171717" w:themeColor="background2" w:themeShade="1A"/>
                <w:sz w:val="18"/>
                <w:szCs w:val="18"/>
              </w:rPr>
              <w:t>结余</w:t>
            </w:r>
          </w:p>
        </w:tc>
      </w:tr>
      <w:tr w:rsidR="00D10BF2">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210</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04</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02</w:t>
            </w:r>
          </w:p>
        </w:tc>
        <w:tc>
          <w:tcPr>
            <w:tcW w:w="1795" w:type="dxa"/>
            <w:tcBorders>
              <w:top w:val="nil"/>
              <w:left w:val="nil"/>
              <w:bottom w:val="single" w:sz="4" w:space="0" w:color="auto"/>
              <w:right w:val="single" w:sz="4" w:space="0" w:color="auto"/>
            </w:tcBorders>
            <w:shd w:val="clear" w:color="auto" w:fill="auto"/>
            <w:vAlign w:val="center"/>
          </w:tcPr>
          <w:p w:rsidR="00D10BF2" w:rsidRDefault="00E92140">
            <w:pPr>
              <w:jc w:val="lef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卫生监督机构</w:t>
            </w:r>
          </w:p>
        </w:tc>
        <w:tc>
          <w:tcPr>
            <w:tcW w:w="820" w:type="dxa"/>
            <w:tcBorders>
              <w:top w:val="nil"/>
              <w:left w:val="nil"/>
              <w:bottom w:val="single" w:sz="4" w:space="0" w:color="auto"/>
              <w:right w:val="single" w:sz="4" w:space="0" w:color="auto"/>
            </w:tcBorders>
            <w:shd w:val="clear" w:color="000000" w:fill="FFFFFF"/>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821" w:type="dxa"/>
            <w:tcBorders>
              <w:top w:val="nil"/>
              <w:left w:val="nil"/>
              <w:bottom w:val="single" w:sz="4" w:space="0" w:color="auto"/>
              <w:right w:val="single" w:sz="4" w:space="0" w:color="auto"/>
            </w:tcBorders>
            <w:shd w:val="clear" w:color="000000" w:fill="FFFFFF"/>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r>
      <w:tr w:rsidR="00D10BF2">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795" w:type="dxa"/>
            <w:tcBorders>
              <w:top w:val="nil"/>
              <w:left w:val="nil"/>
              <w:bottom w:val="single" w:sz="4" w:space="0" w:color="auto"/>
              <w:right w:val="single" w:sz="4" w:space="0" w:color="auto"/>
            </w:tcBorders>
            <w:shd w:val="clear" w:color="auto" w:fill="auto"/>
            <w:vAlign w:val="center"/>
          </w:tcPr>
          <w:p w:rsidR="00D10BF2" w:rsidRDefault="00D10BF2">
            <w:pPr>
              <w:jc w:val="left"/>
              <w:rPr>
                <w:rFonts w:ascii="仿宋_GB2312" w:eastAsia="仿宋_GB2312" w:hAnsiTheme="minorEastAsia"/>
                <w:color w:val="171717" w:themeColor="background2" w:themeShade="1A"/>
                <w:sz w:val="18"/>
                <w:szCs w:val="18"/>
              </w:rPr>
            </w:pPr>
          </w:p>
        </w:tc>
        <w:tc>
          <w:tcPr>
            <w:tcW w:w="82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821"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olor w:val="171717" w:themeColor="background2" w:themeShade="1A"/>
                <w:sz w:val="18"/>
                <w:szCs w:val="18"/>
              </w:rPr>
            </w:pPr>
          </w:p>
        </w:tc>
      </w:tr>
      <w:tr w:rsidR="00D10BF2">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795" w:type="dxa"/>
            <w:tcBorders>
              <w:top w:val="nil"/>
              <w:left w:val="nil"/>
              <w:bottom w:val="single" w:sz="4" w:space="0" w:color="auto"/>
              <w:right w:val="single" w:sz="4" w:space="0" w:color="auto"/>
            </w:tcBorders>
            <w:shd w:val="clear" w:color="auto" w:fill="auto"/>
            <w:vAlign w:val="center"/>
          </w:tcPr>
          <w:p w:rsidR="00D10BF2" w:rsidRDefault="00D10BF2">
            <w:pPr>
              <w:jc w:val="left"/>
              <w:rPr>
                <w:rFonts w:ascii="仿宋_GB2312" w:eastAsia="仿宋_GB2312" w:hAnsiTheme="minorEastAsia"/>
                <w:color w:val="171717" w:themeColor="background2" w:themeShade="1A"/>
                <w:sz w:val="18"/>
                <w:szCs w:val="18"/>
              </w:rPr>
            </w:pPr>
          </w:p>
        </w:tc>
        <w:tc>
          <w:tcPr>
            <w:tcW w:w="82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821"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65"/>
        </w:trPr>
        <w:tc>
          <w:tcPr>
            <w:tcW w:w="546"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795" w:type="dxa"/>
            <w:tcBorders>
              <w:top w:val="nil"/>
              <w:left w:val="nil"/>
              <w:bottom w:val="single" w:sz="4" w:space="0" w:color="auto"/>
              <w:right w:val="single" w:sz="4" w:space="0" w:color="auto"/>
            </w:tcBorders>
            <w:shd w:val="clear" w:color="auto" w:fill="auto"/>
            <w:vAlign w:val="center"/>
          </w:tcPr>
          <w:p w:rsidR="00D10BF2" w:rsidRDefault="00E92140">
            <w:pPr>
              <w:jc w:val="center"/>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合计</w:t>
            </w:r>
          </w:p>
        </w:tc>
        <w:tc>
          <w:tcPr>
            <w:tcW w:w="820"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821"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bl>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rsidP="00E92140">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表三：</w:t>
      </w:r>
    </w:p>
    <w:p w:rsidR="00D10BF2" w:rsidRDefault="00E92140" w:rsidP="00E92140">
      <w:pPr>
        <w:widowControl/>
        <w:spacing w:beforeLines="50" w:before="120"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部门支出总体情况表</w:t>
      </w:r>
    </w:p>
    <w:p w:rsidR="00D10BF2" w:rsidRDefault="00E92140">
      <w:pPr>
        <w:widowControl/>
        <w:spacing w:line="300" w:lineRule="auto"/>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9229" w:type="dxa"/>
        <w:jc w:val="center"/>
        <w:tblInd w:w="93" w:type="dxa"/>
        <w:tblLayout w:type="fixed"/>
        <w:tblLook w:val="04A0" w:firstRow="1" w:lastRow="0" w:firstColumn="1" w:lastColumn="0" w:noHBand="0" w:noVBand="1"/>
      </w:tblPr>
      <w:tblGrid>
        <w:gridCol w:w="532"/>
        <w:gridCol w:w="457"/>
        <w:gridCol w:w="457"/>
        <w:gridCol w:w="2518"/>
        <w:gridCol w:w="1803"/>
        <w:gridCol w:w="1800"/>
        <w:gridCol w:w="1662"/>
      </w:tblGrid>
      <w:tr w:rsidR="00D10BF2">
        <w:trPr>
          <w:trHeight w:val="345"/>
          <w:jc w:val="center"/>
        </w:trPr>
        <w:tc>
          <w:tcPr>
            <w:tcW w:w="39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w:t>
            </w:r>
          </w:p>
        </w:tc>
        <w:tc>
          <w:tcPr>
            <w:tcW w:w="5265"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支出预算</w:t>
            </w:r>
          </w:p>
        </w:tc>
      </w:tr>
      <w:tr w:rsidR="00D10BF2">
        <w:trPr>
          <w:trHeight w:val="480"/>
          <w:jc w:val="center"/>
        </w:trPr>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功能分类科目编码</w:t>
            </w:r>
          </w:p>
        </w:tc>
        <w:tc>
          <w:tcPr>
            <w:tcW w:w="2518"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功能分类科目名称</w:t>
            </w:r>
          </w:p>
        </w:tc>
        <w:tc>
          <w:tcPr>
            <w:tcW w:w="1803"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合计</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基本支出</w:t>
            </w:r>
          </w:p>
        </w:tc>
        <w:tc>
          <w:tcPr>
            <w:tcW w:w="1662"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项目支出</w:t>
            </w:r>
          </w:p>
        </w:tc>
      </w:tr>
      <w:tr w:rsidR="00D10BF2">
        <w:trPr>
          <w:trHeight w:val="270"/>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w:t>
            </w:r>
          </w:p>
        </w:tc>
        <w:tc>
          <w:tcPr>
            <w:tcW w:w="2518"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c>
          <w:tcPr>
            <w:tcW w:w="1803"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c>
          <w:tcPr>
            <w:tcW w:w="180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c>
          <w:tcPr>
            <w:tcW w:w="1662"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210</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04</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02</w:t>
            </w:r>
          </w:p>
        </w:tc>
        <w:tc>
          <w:tcPr>
            <w:tcW w:w="2518" w:type="dxa"/>
            <w:tcBorders>
              <w:top w:val="nil"/>
              <w:left w:val="nil"/>
              <w:bottom w:val="single" w:sz="4" w:space="0" w:color="auto"/>
              <w:right w:val="single" w:sz="4" w:space="0" w:color="auto"/>
            </w:tcBorders>
            <w:shd w:val="clear" w:color="auto" w:fill="auto"/>
            <w:vAlign w:val="center"/>
          </w:tcPr>
          <w:p w:rsidR="00D10BF2" w:rsidRDefault="00E92140">
            <w:pPr>
              <w:jc w:val="lef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卫生监督机构</w:t>
            </w:r>
          </w:p>
        </w:tc>
        <w:tc>
          <w:tcPr>
            <w:tcW w:w="1803"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1800"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278.36</w:t>
            </w:r>
          </w:p>
        </w:tc>
        <w:tc>
          <w:tcPr>
            <w:tcW w:w="1662"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40.79</w:t>
            </w:r>
          </w:p>
        </w:tc>
      </w:tr>
      <w:tr w:rsidR="00D10BF2">
        <w:trPr>
          <w:trHeight w:val="64"/>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D10BF2">
            <w:pPr>
              <w:jc w:val="left"/>
              <w:rPr>
                <w:rFonts w:ascii="仿宋_GB2312" w:eastAsia="仿宋_GB2312" w:hAnsiTheme="minorEastAsia"/>
                <w:color w:val="171717" w:themeColor="background2" w:themeShade="1A"/>
                <w:sz w:val="18"/>
                <w:szCs w:val="18"/>
              </w:rPr>
            </w:pPr>
          </w:p>
        </w:tc>
        <w:tc>
          <w:tcPr>
            <w:tcW w:w="1803"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66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D10BF2">
            <w:pPr>
              <w:jc w:val="left"/>
              <w:rPr>
                <w:rFonts w:ascii="仿宋_GB2312" w:eastAsia="仿宋_GB2312" w:hAnsiTheme="minorEastAsia"/>
                <w:color w:val="171717" w:themeColor="background2" w:themeShade="1A"/>
                <w:sz w:val="18"/>
                <w:szCs w:val="18"/>
              </w:rPr>
            </w:pPr>
          </w:p>
        </w:tc>
        <w:tc>
          <w:tcPr>
            <w:tcW w:w="1803"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66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3"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66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3"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66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3"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00"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66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05"/>
          <w:jc w:val="center"/>
        </w:trPr>
        <w:tc>
          <w:tcPr>
            <w:tcW w:w="532"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518"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合计</w:t>
            </w:r>
          </w:p>
        </w:tc>
        <w:tc>
          <w:tcPr>
            <w:tcW w:w="1803"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1800"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278.36</w:t>
            </w:r>
          </w:p>
        </w:tc>
        <w:tc>
          <w:tcPr>
            <w:tcW w:w="1662"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40.79</w:t>
            </w:r>
          </w:p>
        </w:tc>
      </w:tr>
    </w:tbl>
    <w:p w:rsidR="00D10BF2" w:rsidRDefault="00D10BF2" w:rsidP="00E92140">
      <w:pPr>
        <w:widowControl/>
        <w:spacing w:beforeLines="50" w:before="120" w:line="300" w:lineRule="auto"/>
        <w:outlineLvl w:val="1"/>
        <w:rPr>
          <w:rFonts w:asciiTheme="minorEastAsia" w:eastAsiaTheme="minorEastAsia" w:hAnsiTheme="minorEastAsia"/>
          <w:b/>
          <w:color w:val="171717" w:themeColor="background2" w:themeShade="1A"/>
          <w:kern w:val="0"/>
          <w:sz w:val="24"/>
        </w:rPr>
      </w:pPr>
    </w:p>
    <w:p w:rsidR="00D10BF2" w:rsidRDefault="00E92140">
      <w:pPr>
        <w:widowControl/>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10BF2" w:rsidRDefault="00E92140" w:rsidP="00E92140">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表四：</w:t>
      </w:r>
    </w:p>
    <w:p w:rsidR="00D10BF2" w:rsidRDefault="00E92140" w:rsidP="00E92140">
      <w:pPr>
        <w:widowControl/>
        <w:spacing w:beforeLines="50" w:before="120"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财政拨款收支预算总体情况表</w:t>
      </w:r>
    </w:p>
    <w:p w:rsidR="00D10BF2" w:rsidRDefault="00E92140">
      <w:pPr>
        <w:widowControl/>
        <w:spacing w:line="300" w:lineRule="auto"/>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9229" w:type="dxa"/>
        <w:jc w:val="center"/>
        <w:tblInd w:w="93" w:type="dxa"/>
        <w:tblLayout w:type="fixed"/>
        <w:tblLook w:val="04A0" w:firstRow="1" w:lastRow="0" w:firstColumn="1" w:lastColumn="0" w:noHBand="0" w:noVBand="1"/>
      </w:tblPr>
      <w:tblGrid>
        <w:gridCol w:w="1620"/>
        <w:gridCol w:w="1230"/>
        <w:gridCol w:w="2250"/>
        <w:gridCol w:w="1294"/>
        <w:gridCol w:w="1418"/>
        <w:gridCol w:w="1417"/>
      </w:tblGrid>
      <w:tr w:rsidR="00D10BF2">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财政拨款支出</w:t>
            </w:r>
          </w:p>
        </w:tc>
      </w:tr>
      <w:tr w:rsidR="00D10BF2">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  能  分  类</w:t>
            </w:r>
          </w:p>
        </w:tc>
        <w:tc>
          <w:tcPr>
            <w:tcW w:w="1294"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政府性基金预算</w:t>
            </w: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210 医疗卫生与计划生育支出</w:t>
            </w:r>
          </w:p>
        </w:tc>
        <w:tc>
          <w:tcPr>
            <w:tcW w:w="1294" w:type="dxa"/>
            <w:tcBorders>
              <w:top w:val="nil"/>
              <w:left w:val="nil"/>
              <w:bottom w:val="single" w:sz="4" w:space="0" w:color="auto"/>
              <w:right w:val="single" w:sz="4" w:space="0" w:color="auto"/>
            </w:tcBorders>
            <w:shd w:val="clear" w:color="auto" w:fill="auto"/>
            <w:vAlign w:val="bottom"/>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8" w:type="dxa"/>
            <w:tcBorders>
              <w:top w:val="nil"/>
              <w:left w:val="nil"/>
              <w:bottom w:val="single" w:sz="4" w:space="0" w:color="auto"/>
              <w:right w:val="single" w:sz="4" w:space="0" w:color="auto"/>
            </w:tcBorders>
            <w:shd w:val="clear" w:color="auto" w:fill="auto"/>
            <w:vAlign w:val="bottom"/>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231 债务还本支出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232 债务付息支出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bottom"/>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233 债务发行费支出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小       计</w:t>
            </w:r>
          </w:p>
        </w:tc>
        <w:tc>
          <w:tcPr>
            <w:tcW w:w="123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小           计</w:t>
            </w:r>
          </w:p>
        </w:tc>
        <w:tc>
          <w:tcPr>
            <w:tcW w:w="1294"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8"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230"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230 转移性支出</w:t>
            </w:r>
          </w:p>
        </w:tc>
        <w:tc>
          <w:tcPr>
            <w:tcW w:w="129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18"/>
                <w:szCs w:val="18"/>
              </w:rPr>
            </w:pPr>
          </w:p>
        </w:tc>
      </w:tr>
      <w:tr w:rsidR="00D10BF2">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2250"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支  出  总  计</w:t>
            </w:r>
          </w:p>
        </w:tc>
        <w:tc>
          <w:tcPr>
            <w:tcW w:w="1294" w:type="dxa"/>
            <w:tcBorders>
              <w:top w:val="nil"/>
              <w:left w:val="nil"/>
              <w:bottom w:val="single" w:sz="4" w:space="0" w:color="auto"/>
              <w:right w:val="single" w:sz="4" w:space="0" w:color="auto"/>
            </w:tcBorders>
            <w:shd w:val="clear" w:color="auto" w:fill="auto"/>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8" w:type="dxa"/>
            <w:tcBorders>
              <w:top w:val="nil"/>
              <w:left w:val="nil"/>
              <w:bottom w:val="single" w:sz="4" w:space="0" w:color="auto"/>
              <w:right w:val="single" w:sz="4" w:space="0" w:color="auto"/>
            </w:tcBorders>
            <w:shd w:val="clear" w:color="auto" w:fill="auto"/>
          </w:tcPr>
          <w:p w:rsidR="00D10BF2" w:rsidRDefault="00E92140">
            <w:pPr>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319.15</w:t>
            </w: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bl>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表五：</w:t>
      </w:r>
    </w:p>
    <w:tbl>
      <w:tblPr>
        <w:tblW w:w="9143" w:type="dxa"/>
        <w:jc w:val="center"/>
        <w:tblInd w:w="93" w:type="dxa"/>
        <w:tblLayout w:type="fixed"/>
        <w:tblLook w:val="04A0" w:firstRow="1" w:lastRow="0" w:firstColumn="1" w:lastColumn="0" w:noHBand="0" w:noVBand="1"/>
      </w:tblPr>
      <w:tblGrid>
        <w:gridCol w:w="531"/>
        <w:gridCol w:w="492"/>
        <w:gridCol w:w="457"/>
        <w:gridCol w:w="2436"/>
        <w:gridCol w:w="1684"/>
        <w:gridCol w:w="1842"/>
        <w:gridCol w:w="1701"/>
      </w:tblGrid>
      <w:tr w:rsidR="00D10BF2">
        <w:trPr>
          <w:trHeight w:val="450"/>
          <w:jc w:val="center"/>
        </w:trPr>
        <w:tc>
          <w:tcPr>
            <w:tcW w:w="9143" w:type="dxa"/>
            <w:gridSpan w:val="7"/>
            <w:tcBorders>
              <w:top w:val="nil"/>
              <w:left w:val="nil"/>
              <w:bottom w:val="nil"/>
              <w:right w:val="nil"/>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32"/>
                <w:szCs w:val="32"/>
              </w:rPr>
            </w:pPr>
            <w:r>
              <w:rPr>
                <w:rFonts w:ascii="仿宋_GB2312" w:eastAsia="仿宋_GB2312" w:hAnsiTheme="minorEastAsia" w:cs="宋体" w:hint="eastAsia"/>
                <w:b/>
                <w:bCs/>
                <w:color w:val="171717" w:themeColor="background2" w:themeShade="1A"/>
                <w:kern w:val="0"/>
                <w:sz w:val="32"/>
                <w:szCs w:val="32"/>
              </w:rPr>
              <w:t>一般公共预算支出情况表</w:t>
            </w:r>
          </w:p>
          <w:p w:rsidR="00D10BF2" w:rsidRDefault="00E92140">
            <w:pPr>
              <w:widowControl/>
              <w:spacing w:line="300" w:lineRule="auto"/>
              <w:outlineLvl w:val="1"/>
              <w:rPr>
                <w:rFonts w:asciiTheme="minorEastAsia" w:eastAsiaTheme="minorEastAsia" w:hAnsiTheme="minorEastAsia"/>
                <w:color w:val="171717" w:themeColor="background2" w:themeShade="1A"/>
                <w:kern w:val="0"/>
                <w:szCs w:val="21"/>
              </w:rPr>
            </w:pPr>
            <w:r>
              <w:rPr>
                <w:rFonts w:ascii="仿宋_GB2312" w:eastAsia="仿宋_GB2312" w:hAnsiTheme="minorEastAsia" w:hint="eastAsia"/>
                <w:color w:val="171717" w:themeColor="background2" w:themeShade="1A"/>
                <w:kern w:val="0"/>
                <w:sz w:val="24"/>
              </w:rPr>
              <w:t>编制部门：乌鲁木齐市水磨沟区卫生监督所                         单位：万元</w:t>
            </w:r>
          </w:p>
        </w:tc>
      </w:tr>
      <w:tr w:rsidR="00D10BF2">
        <w:trPr>
          <w:trHeight w:val="405"/>
          <w:jc w:val="center"/>
        </w:trPr>
        <w:tc>
          <w:tcPr>
            <w:tcW w:w="391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一般公共预算支出</w:t>
            </w:r>
          </w:p>
        </w:tc>
      </w:tr>
      <w:tr w:rsidR="00D10BF2">
        <w:trPr>
          <w:trHeight w:val="465"/>
          <w:jc w:val="center"/>
        </w:trPr>
        <w:tc>
          <w:tcPr>
            <w:tcW w:w="148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功能分类科目编码</w:t>
            </w:r>
          </w:p>
        </w:tc>
        <w:tc>
          <w:tcPr>
            <w:tcW w:w="2436"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项目支出</w:t>
            </w:r>
          </w:p>
        </w:tc>
      </w:tr>
      <w:tr w:rsidR="00D10BF2">
        <w:trPr>
          <w:trHeight w:val="30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w:t>
            </w:r>
          </w:p>
        </w:tc>
        <w:tc>
          <w:tcPr>
            <w:tcW w:w="2436"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684"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842"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210</w:t>
            </w:r>
          </w:p>
        </w:tc>
        <w:tc>
          <w:tcPr>
            <w:tcW w:w="492"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04</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02</w:t>
            </w:r>
          </w:p>
        </w:tc>
        <w:tc>
          <w:tcPr>
            <w:tcW w:w="2436" w:type="dxa"/>
            <w:tcBorders>
              <w:top w:val="nil"/>
              <w:left w:val="nil"/>
              <w:bottom w:val="single" w:sz="4" w:space="0" w:color="auto"/>
              <w:right w:val="single" w:sz="4" w:space="0" w:color="auto"/>
            </w:tcBorders>
            <w:shd w:val="clear" w:color="auto" w:fill="auto"/>
            <w:vAlign w:val="center"/>
          </w:tcPr>
          <w:p w:rsidR="00D10BF2" w:rsidRDefault="00E92140">
            <w:pPr>
              <w:jc w:val="lef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卫生监督机构</w:t>
            </w:r>
          </w:p>
        </w:tc>
        <w:tc>
          <w:tcPr>
            <w:tcW w:w="1684"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1842"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278.36</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40.79</w:t>
            </w: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jc w:val="left"/>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684"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84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r>
      <w:tr w:rsidR="00D10BF2">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436" w:type="dxa"/>
            <w:tcBorders>
              <w:top w:val="nil"/>
              <w:left w:val="nil"/>
              <w:bottom w:val="single" w:sz="4" w:space="0" w:color="auto"/>
              <w:right w:val="single" w:sz="4" w:space="0" w:color="auto"/>
            </w:tcBorders>
            <w:shd w:val="clear" w:color="auto" w:fill="auto"/>
            <w:vAlign w:val="center"/>
          </w:tcPr>
          <w:p w:rsidR="00D10BF2" w:rsidRDefault="00E92140">
            <w:pPr>
              <w:jc w:val="center"/>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319.15</w:t>
            </w:r>
          </w:p>
        </w:tc>
        <w:tc>
          <w:tcPr>
            <w:tcW w:w="1842"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278.36</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40.79</w:t>
            </w:r>
          </w:p>
        </w:tc>
      </w:tr>
    </w:tbl>
    <w:p w:rsidR="00D10BF2" w:rsidRDefault="00D10BF2">
      <w:pPr>
        <w:widowControl/>
        <w:spacing w:line="300" w:lineRule="auto"/>
        <w:jc w:val="left"/>
        <w:outlineLvl w:val="1"/>
        <w:rPr>
          <w:rFonts w:asciiTheme="minorEastAsia" w:eastAsiaTheme="minorEastAsia" w:hAnsiTheme="minorEastAsia"/>
          <w:b/>
          <w:color w:val="171717" w:themeColor="background2" w:themeShade="1A"/>
          <w:kern w:val="0"/>
          <w:sz w:val="24"/>
        </w:rPr>
      </w:pPr>
    </w:p>
    <w:p w:rsidR="00D10BF2" w:rsidRDefault="00E92140">
      <w:pPr>
        <w:widowControl/>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10BF2" w:rsidRDefault="00E92140">
      <w:pPr>
        <w:widowControl/>
        <w:jc w:val="left"/>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表六：</w:t>
      </w:r>
    </w:p>
    <w:p w:rsidR="00D10BF2" w:rsidRDefault="00E92140">
      <w:pPr>
        <w:widowControl/>
        <w:spacing w:line="560" w:lineRule="exact"/>
        <w:jc w:val="center"/>
        <w:rPr>
          <w:rFonts w:ascii="仿宋_GB2312" w:eastAsia="仿宋_GB2312" w:hAnsiTheme="minorEastAsia" w:cs="宋体"/>
          <w:b/>
          <w:bCs/>
          <w:color w:val="171717" w:themeColor="background2" w:themeShade="1A"/>
          <w:kern w:val="0"/>
          <w:sz w:val="32"/>
          <w:szCs w:val="32"/>
        </w:rPr>
      </w:pPr>
      <w:r>
        <w:rPr>
          <w:rFonts w:ascii="仿宋_GB2312" w:eastAsia="仿宋_GB2312" w:hAnsiTheme="minorEastAsia" w:cs="宋体" w:hint="eastAsia"/>
          <w:b/>
          <w:bCs/>
          <w:color w:val="171717" w:themeColor="background2" w:themeShade="1A"/>
          <w:kern w:val="0"/>
          <w:sz w:val="32"/>
          <w:szCs w:val="32"/>
        </w:rPr>
        <w:t>一般公共预算基本支出情况表</w:t>
      </w:r>
    </w:p>
    <w:p w:rsidR="00D10BF2" w:rsidRDefault="00E92140">
      <w:pPr>
        <w:widowControl/>
        <w:spacing w:line="300" w:lineRule="auto"/>
        <w:jc w:val="center"/>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9337" w:type="dxa"/>
        <w:jc w:val="center"/>
        <w:tblInd w:w="358" w:type="dxa"/>
        <w:tblLayout w:type="fixed"/>
        <w:tblLook w:val="04A0" w:firstRow="1" w:lastRow="0" w:firstColumn="1" w:lastColumn="0" w:noHBand="0" w:noVBand="1"/>
      </w:tblPr>
      <w:tblGrid>
        <w:gridCol w:w="766"/>
        <w:gridCol w:w="577"/>
        <w:gridCol w:w="2891"/>
        <w:gridCol w:w="1701"/>
        <w:gridCol w:w="1701"/>
        <w:gridCol w:w="1701"/>
      </w:tblGrid>
      <w:tr w:rsidR="00D10BF2">
        <w:trPr>
          <w:trHeight w:val="390"/>
          <w:jc w:val="center"/>
        </w:trPr>
        <w:tc>
          <w:tcPr>
            <w:tcW w:w="42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一般公共预算基本支出</w:t>
            </w:r>
          </w:p>
        </w:tc>
      </w:tr>
      <w:tr w:rsidR="00D10BF2">
        <w:trPr>
          <w:trHeight w:val="495"/>
          <w:jc w:val="center"/>
        </w:trPr>
        <w:tc>
          <w:tcPr>
            <w:tcW w:w="1343" w:type="dxa"/>
            <w:gridSpan w:val="2"/>
            <w:tcBorders>
              <w:top w:val="single" w:sz="4" w:space="0" w:color="auto"/>
              <w:left w:val="single" w:sz="4" w:space="0" w:color="auto"/>
              <w:bottom w:val="single" w:sz="4" w:space="0" w:color="auto"/>
              <w:right w:val="nil"/>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公用经费</w:t>
            </w:r>
          </w:p>
        </w:tc>
      </w:tr>
      <w:tr w:rsidR="00D10BF2">
        <w:trPr>
          <w:trHeight w:val="270"/>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D10BF2" w:rsidRDefault="00D10BF2">
            <w:pPr>
              <w:widowControl/>
              <w:jc w:val="center"/>
              <w:rPr>
                <w:rFonts w:asciiTheme="minorEastAsia" w:eastAsiaTheme="minorEastAsia" w:hAnsiTheme="minorEastAsia" w:cs="宋体"/>
                <w:b/>
                <w:bCs/>
                <w:color w:val="171717" w:themeColor="background2" w:themeShade="1A"/>
                <w:kern w:val="0"/>
                <w:szCs w:val="21"/>
              </w:rPr>
            </w:pPr>
          </w:p>
        </w:tc>
        <w:tc>
          <w:tcPr>
            <w:tcW w:w="1701" w:type="dxa"/>
            <w:vMerge/>
            <w:tcBorders>
              <w:top w:val="nil"/>
              <w:left w:val="single" w:sz="4" w:space="0" w:color="auto"/>
              <w:bottom w:val="single" w:sz="4" w:space="0" w:color="000000"/>
              <w:right w:val="single" w:sz="4" w:space="0" w:color="auto"/>
            </w:tcBorders>
            <w:vAlign w:val="center"/>
          </w:tcPr>
          <w:p w:rsidR="00D10BF2" w:rsidRDefault="00D10BF2">
            <w:pPr>
              <w:widowControl/>
              <w:jc w:val="center"/>
              <w:rPr>
                <w:rFonts w:asciiTheme="minorEastAsia" w:eastAsiaTheme="minorEastAsia" w:hAnsiTheme="minorEastAsia" w:cs="宋体"/>
                <w:b/>
                <w:bCs/>
                <w:color w:val="171717" w:themeColor="background2" w:themeShade="1A"/>
                <w:kern w:val="0"/>
                <w:szCs w:val="21"/>
              </w:rPr>
            </w:pPr>
          </w:p>
        </w:tc>
        <w:tc>
          <w:tcPr>
            <w:tcW w:w="1701" w:type="dxa"/>
            <w:vMerge/>
            <w:tcBorders>
              <w:top w:val="nil"/>
              <w:left w:val="single" w:sz="4" w:space="0" w:color="auto"/>
              <w:bottom w:val="single" w:sz="4" w:space="0" w:color="000000"/>
              <w:right w:val="single" w:sz="4" w:space="0" w:color="auto"/>
            </w:tcBorders>
            <w:vAlign w:val="center"/>
          </w:tcPr>
          <w:p w:rsidR="00D10BF2" w:rsidRDefault="00D10BF2">
            <w:pPr>
              <w:widowControl/>
              <w:jc w:val="center"/>
              <w:rPr>
                <w:rFonts w:asciiTheme="minorEastAsia" w:eastAsiaTheme="minorEastAsia" w:hAnsiTheme="minorEastAsia" w:cs="宋体"/>
                <w:b/>
                <w:bCs/>
                <w:color w:val="171717" w:themeColor="background2" w:themeShade="1A"/>
                <w:kern w:val="0"/>
                <w:szCs w:val="21"/>
              </w:rPr>
            </w:pPr>
          </w:p>
        </w:tc>
        <w:tc>
          <w:tcPr>
            <w:tcW w:w="1701" w:type="dxa"/>
            <w:vMerge/>
            <w:tcBorders>
              <w:top w:val="nil"/>
              <w:left w:val="single" w:sz="4" w:space="0" w:color="auto"/>
              <w:bottom w:val="single" w:sz="4" w:space="0" w:color="000000"/>
              <w:right w:val="single" w:sz="4" w:space="0" w:color="auto"/>
            </w:tcBorders>
            <w:vAlign w:val="center"/>
          </w:tcPr>
          <w:p w:rsidR="00D10BF2" w:rsidRDefault="00D10BF2">
            <w:pPr>
              <w:widowControl/>
              <w:jc w:val="center"/>
              <w:rPr>
                <w:rFonts w:asciiTheme="minorEastAsia" w:eastAsiaTheme="minorEastAsia" w:hAnsiTheme="minorEastAsia" w:cs="宋体"/>
                <w:b/>
                <w:bCs/>
                <w:color w:val="171717" w:themeColor="background2" w:themeShade="1A"/>
                <w:kern w:val="0"/>
                <w:szCs w:val="21"/>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47.7</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47.7</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津贴补贴</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65.35</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65.35</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3.97</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3.97</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04</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社会保障缴费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48.21</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48.21</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0.41</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0.41</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1.37</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1.37</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05</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水费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0.29</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0.29</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06</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电费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0.58</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0.58</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0.8</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0.8</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1.7</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1.7</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维修(护)费(含其他维修)</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0.36</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0.36</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0.97</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0.97</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0.06</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0.06</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0.65</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0.65</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2.72</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2.72</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12.54</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12.54</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10.48</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spacing w:line="300" w:lineRule="auto"/>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10.48</w:t>
            </w: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61.2</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61.2</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1</w:t>
            </w:r>
            <w:r>
              <w:rPr>
                <w:rFonts w:ascii="仿宋_GB2312" w:eastAsia="仿宋_GB2312" w:hAnsiTheme="minorEastAsia" w:cs="宋体" w:hint="eastAsia"/>
                <w:color w:val="000000" w:themeColor="text1"/>
                <w:kern w:val="0"/>
                <w:sz w:val="18"/>
                <w:szCs w:val="18"/>
              </w:rPr>
              <w:t>1</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17.23</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17.23</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1.56</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1.56</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color w:val="000000" w:themeColor="text1"/>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0.21</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0.21</w:t>
            </w: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r>
      <w:tr w:rsidR="00D10BF2">
        <w:trPr>
          <w:trHeight w:val="402"/>
          <w:jc w:val="center"/>
        </w:trPr>
        <w:tc>
          <w:tcPr>
            <w:tcW w:w="766"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FF0000"/>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FF0000"/>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278.36</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245.84</w:t>
            </w:r>
          </w:p>
        </w:tc>
        <w:tc>
          <w:tcPr>
            <w:tcW w:w="1701" w:type="dxa"/>
            <w:tcBorders>
              <w:top w:val="nil"/>
              <w:left w:val="nil"/>
              <w:bottom w:val="single" w:sz="4" w:space="0" w:color="auto"/>
              <w:right w:val="single" w:sz="4" w:space="0" w:color="auto"/>
            </w:tcBorders>
            <w:shd w:val="clear" w:color="auto" w:fill="auto"/>
            <w:vAlign w:val="center"/>
          </w:tcPr>
          <w:p w:rsidR="00D10BF2" w:rsidRDefault="00E92140">
            <w:pPr>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32.52</w:t>
            </w:r>
          </w:p>
        </w:tc>
      </w:tr>
    </w:tbl>
    <w:p w:rsidR="00D10BF2" w:rsidRDefault="00E92140">
      <w:pPr>
        <w:widowControl/>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10BF2" w:rsidRDefault="00E92140">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表七：</w:t>
      </w:r>
    </w:p>
    <w:tbl>
      <w:tblPr>
        <w:tblW w:w="10292" w:type="dxa"/>
        <w:jc w:val="center"/>
        <w:tblLayout w:type="fixed"/>
        <w:tblLook w:val="04A0" w:firstRow="1" w:lastRow="0" w:firstColumn="1" w:lastColumn="0" w:noHBand="0" w:noVBand="1"/>
      </w:tblPr>
      <w:tblGrid>
        <w:gridCol w:w="11"/>
        <w:gridCol w:w="535"/>
        <w:gridCol w:w="457"/>
        <w:gridCol w:w="457"/>
        <w:gridCol w:w="851"/>
        <w:gridCol w:w="1456"/>
        <w:gridCol w:w="750"/>
        <w:gridCol w:w="574"/>
        <w:gridCol w:w="673"/>
        <w:gridCol w:w="652"/>
        <w:gridCol w:w="652"/>
        <w:gridCol w:w="698"/>
        <w:gridCol w:w="457"/>
        <w:gridCol w:w="698"/>
        <w:gridCol w:w="457"/>
        <w:gridCol w:w="457"/>
        <w:gridCol w:w="389"/>
        <w:gridCol w:w="68"/>
      </w:tblGrid>
      <w:tr w:rsidR="00D10BF2">
        <w:trPr>
          <w:gridBefore w:val="1"/>
          <w:gridAfter w:val="1"/>
          <w:wBefore w:w="11" w:type="dxa"/>
          <w:wAfter w:w="68" w:type="dxa"/>
          <w:trHeight w:val="375"/>
          <w:jc w:val="center"/>
        </w:trPr>
        <w:tc>
          <w:tcPr>
            <w:tcW w:w="10213" w:type="dxa"/>
            <w:gridSpan w:val="16"/>
            <w:tcBorders>
              <w:top w:val="nil"/>
              <w:left w:val="nil"/>
              <w:bottom w:val="nil"/>
              <w:right w:val="nil"/>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32"/>
                <w:szCs w:val="32"/>
              </w:rPr>
            </w:pPr>
            <w:r>
              <w:rPr>
                <w:rFonts w:ascii="仿宋_GB2312" w:eastAsia="仿宋_GB2312" w:hAnsiTheme="minorEastAsia" w:cs="宋体" w:hint="eastAsia"/>
                <w:b/>
                <w:bCs/>
                <w:color w:val="171717" w:themeColor="background2" w:themeShade="1A"/>
                <w:kern w:val="0"/>
                <w:sz w:val="32"/>
                <w:szCs w:val="32"/>
              </w:rPr>
              <w:t>一般公共预算项目支出情况表</w:t>
            </w:r>
          </w:p>
          <w:p w:rsidR="00D10BF2" w:rsidRDefault="00E92140">
            <w:pPr>
              <w:widowControl/>
              <w:spacing w:line="300" w:lineRule="auto"/>
              <w:outlineLvl w:val="1"/>
              <w:rPr>
                <w:rFonts w:asciiTheme="minorEastAsia" w:eastAsiaTheme="minorEastAsia" w:hAnsiTheme="minorEastAsia"/>
                <w:color w:val="171717" w:themeColor="background2" w:themeShade="1A"/>
                <w:kern w:val="0"/>
                <w:szCs w:val="21"/>
              </w:rPr>
            </w:pPr>
            <w:r>
              <w:rPr>
                <w:rFonts w:ascii="仿宋_GB2312" w:eastAsia="仿宋_GB2312" w:hAnsiTheme="minorEastAsia" w:hint="eastAsia"/>
                <w:color w:val="171717" w:themeColor="background2" w:themeShade="1A"/>
                <w:kern w:val="0"/>
                <w:sz w:val="24"/>
              </w:rPr>
              <w:t>编制部门：乌鲁木齐市水磨沟区卫生监督所                                   单位：万元</w:t>
            </w: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460" w:type="dxa"/>
            <w:gridSpan w:val="4"/>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科目编码</w:t>
            </w:r>
          </w:p>
        </w:tc>
        <w:tc>
          <w:tcPr>
            <w:tcW w:w="851"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科目</w:t>
            </w:r>
          </w:p>
        </w:tc>
        <w:tc>
          <w:tcPr>
            <w:tcW w:w="1456"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项目名称</w:t>
            </w:r>
          </w:p>
        </w:tc>
        <w:tc>
          <w:tcPr>
            <w:tcW w:w="750"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项目支出合计</w:t>
            </w:r>
          </w:p>
        </w:tc>
        <w:tc>
          <w:tcPr>
            <w:tcW w:w="574"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工资福利支出</w:t>
            </w:r>
          </w:p>
        </w:tc>
        <w:tc>
          <w:tcPr>
            <w:tcW w:w="673"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商品和服务支出</w:t>
            </w:r>
          </w:p>
        </w:tc>
        <w:tc>
          <w:tcPr>
            <w:tcW w:w="652"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对个人和家庭的补助</w:t>
            </w:r>
          </w:p>
        </w:tc>
        <w:tc>
          <w:tcPr>
            <w:tcW w:w="652"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债务利息及费用支出</w:t>
            </w:r>
          </w:p>
        </w:tc>
        <w:tc>
          <w:tcPr>
            <w:tcW w:w="698"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资本性支出（基本建设）</w:t>
            </w:r>
          </w:p>
        </w:tc>
        <w:tc>
          <w:tcPr>
            <w:tcW w:w="457"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资本性支出</w:t>
            </w:r>
          </w:p>
        </w:tc>
        <w:tc>
          <w:tcPr>
            <w:tcW w:w="698"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对企业补助（基本建设）</w:t>
            </w:r>
          </w:p>
        </w:tc>
        <w:tc>
          <w:tcPr>
            <w:tcW w:w="457"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对企业补助</w:t>
            </w:r>
          </w:p>
        </w:tc>
        <w:tc>
          <w:tcPr>
            <w:tcW w:w="457" w:type="dxa"/>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对社会保障基金补助</w:t>
            </w:r>
          </w:p>
        </w:tc>
        <w:tc>
          <w:tcPr>
            <w:tcW w:w="457" w:type="dxa"/>
            <w:gridSpan w:val="2"/>
            <w:vMerge w:val="restart"/>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其他支出</w:t>
            </w: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46" w:type="dxa"/>
            <w:gridSpan w:val="2"/>
            <w:tcBorders>
              <w:bottom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类</w:t>
            </w:r>
          </w:p>
        </w:tc>
        <w:tc>
          <w:tcPr>
            <w:tcW w:w="457" w:type="dxa"/>
            <w:tcBorders>
              <w:bottom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款</w:t>
            </w:r>
          </w:p>
        </w:tc>
        <w:tc>
          <w:tcPr>
            <w:tcW w:w="457" w:type="dxa"/>
            <w:tcBorders>
              <w:bottom w:val="single" w:sz="4" w:space="0" w:color="auto"/>
            </w:tcBorders>
            <w:shd w:val="clear" w:color="auto" w:fill="auto"/>
            <w:vAlign w:val="center"/>
          </w:tcPr>
          <w:p w:rsidR="00D10BF2" w:rsidRDefault="00E92140">
            <w:pPr>
              <w:spacing w:line="300" w:lineRule="auto"/>
              <w:jc w:val="center"/>
              <w:rPr>
                <w:rFonts w:ascii="仿宋_GB2312" w:eastAsia="仿宋_GB2312" w:hAnsiTheme="minorEastAsia"/>
                <w:b/>
                <w:color w:val="171717" w:themeColor="background2" w:themeShade="1A"/>
                <w:kern w:val="0"/>
                <w:sz w:val="18"/>
                <w:szCs w:val="18"/>
              </w:rPr>
            </w:pPr>
            <w:r>
              <w:rPr>
                <w:rFonts w:ascii="仿宋_GB2312" w:eastAsia="仿宋_GB2312" w:hAnsiTheme="minorEastAsia" w:hint="eastAsia"/>
                <w:b/>
                <w:color w:val="171717" w:themeColor="background2" w:themeShade="1A"/>
                <w:kern w:val="0"/>
                <w:sz w:val="18"/>
                <w:szCs w:val="18"/>
              </w:rPr>
              <w:t>项</w:t>
            </w:r>
          </w:p>
        </w:tc>
        <w:tc>
          <w:tcPr>
            <w:tcW w:w="851" w:type="dxa"/>
            <w:vMerge/>
            <w:tcBorders>
              <w:bottom w:val="single" w:sz="4" w:space="0" w:color="auto"/>
            </w:tcBorders>
            <w:shd w:val="clear" w:color="auto" w:fill="auto"/>
            <w:vAlign w:val="center"/>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1456"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750"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574"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673"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652"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652"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698"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457"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698"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457"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457" w:type="dxa"/>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c>
          <w:tcPr>
            <w:tcW w:w="457" w:type="dxa"/>
            <w:gridSpan w:val="2"/>
            <w:vMerge/>
            <w:tcBorders>
              <w:bottom w:val="single" w:sz="4" w:space="0" w:color="auto"/>
            </w:tcBorders>
            <w:shd w:val="clear" w:color="auto" w:fill="auto"/>
          </w:tcPr>
          <w:p w:rsidR="00D10BF2" w:rsidRDefault="00D10BF2">
            <w:pPr>
              <w:spacing w:line="300" w:lineRule="auto"/>
              <w:jc w:val="center"/>
              <w:rPr>
                <w:rFonts w:ascii="仿宋_GB2312" w:eastAsia="仿宋_GB2312" w:hAnsiTheme="minorEastAsia"/>
                <w:b/>
                <w:color w:val="171717" w:themeColor="background2" w:themeShade="1A"/>
                <w:kern w:val="0"/>
                <w:sz w:val="18"/>
                <w:szCs w:val="18"/>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210</w:t>
            </w:r>
          </w:p>
        </w:tc>
        <w:tc>
          <w:tcPr>
            <w:tcW w:w="457"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04</w:t>
            </w:r>
          </w:p>
        </w:tc>
        <w:tc>
          <w:tcPr>
            <w:tcW w:w="457"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02</w:t>
            </w:r>
          </w:p>
        </w:tc>
        <w:tc>
          <w:tcPr>
            <w:tcW w:w="851"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卫生监督机构</w:t>
            </w:r>
          </w:p>
        </w:tc>
        <w:tc>
          <w:tcPr>
            <w:tcW w:w="1456"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临时聘用司机、安保等</w:t>
            </w:r>
            <w:proofErr w:type="gramStart"/>
            <w:r>
              <w:rPr>
                <w:rFonts w:ascii="仿宋_GB2312" w:eastAsia="仿宋_GB2312" w:hAnsiTheme="minorEastAsia" w:hint="eastAsia"/>
                <w:color w:val="171717" w:themeColor="background2" w:themeShade="1A"/>
                <w:sz w:val="18"/>
                <w:szCs w:val="18"/>
              </w:rPr>
              <w:t>人员维稳补助</w:t>
            </w:r>
            <w:proofErr w:type="gramEnd"/>
            <w:r>
              <w:rPr>
                <w:rFonts w:ascii="仿宋_GB2312" w:eastAsia="仿宋_GB2312" w:hAnsiTheme="minorEastAsia" w:hint="eastAsia"/>
                <w:color w:val="171717" w:themeColor="background2" w:themeShade="1A"/>
                <w:sz w:val="18"/>
                <w:szCs w:val="18"/>
              </w:rPr>
              <w:t>经费</w:t>
            </w:r>
          </w:p>
        </w:tc>
        <w:tc>
          <w:tcPr>
            <w:tcW w:w="750"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2.4</w:t>
            </w:r>
          </w:p>
        </w:tc>
        <w:tc>
          <w:tcPr>
            <w:tcW w:w="574"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w:t>
            </w:r>
          </w:p>
        </w:tc>
        <w:tc>
          <w:tcPr>
            <w:tcW w:w="673"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w:t>
            </w:r>
          </w:p>
        </w:tc>
        <w:tc>
          <w:tcPr>
            <w:tcW w:w="652"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2.4</w:t>
            </w:r>
          </w:p>
        </w:tc>
        <w:tc>
          <w:tcPr>
            <w:tcW w:w="652"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gridSpan w:val="2"/>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210</w:t>
            </w:r>
          </w:p>
        </w:tc>
        <w:tc>
          <w:tcPr>
            <w:tcW w:w="457"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04</w:t>
            </w:r>
          </w:p>
        </w:tc>
        <w:tc>
          <w:tcPr>
            <w:tcW w:w="457"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02</w:t>
            </w:r>
          </w:p>
        </w:tc>
        <w:tc>
          <w:tcPr>
            <w:tcW w:w="851"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卫生监督机构</w:t>
            </w:r>
          </w:p>
        </w:tc>
        <w:tc>
          <w:tcPr>
            <w:tcW w:w="1456"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2016年临时聘用人员经费</w:t>
            </w:r>
          </w:p>
        </w:tc>
        <w:tc>
          <w:tcPr>
            <w:tcW w:w="750"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38.39</w:t>
            </w:r>
          </w:p>
        </w:tc>
        <w:tc>
          <w:tcPr>
            <w:tcW w:w="574"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73"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38.39</w:t>
            </w:r>
          </w:p>
        </w:tc>
        <w:tc>
          <w:tcPr>
            <w:tcW w:w="652" w:type="dxa"/>
            <w:shd w:val="clear" w:color="auto" w:fill="auto"/>
            <w:vAlign w:val="center"/>
          </w:tcPr>
          <w:p w:rsidR="00D10BF2" w:rsidRDefault="00E92140">
            <w:pPr>
              <w:jc w:val="right"/>
              <w:rPr>
                <w:rFonts w:ascii="仿宋_GB2312" w:eastAsia="仿宋_GB2312" w:hAnsiTheme="minorEastAsia"/>
                <w:color w:val="171717" w:themeColor="background2" w:themeShade="1A"/>
                <w:sz w:val="18"/>
                <w:szCs w:val="18"/>
              </w:rPr>
            </w:pPr>
            <w:r>
              <w:rPr>
                <w:rFonts w:ascii="仿宋_GB2312" w:eastAsia="仿宋_GB2312" w:hAnsiTheme="minorEastAsia" w:hint="eastAsia"/>
                <w:color w:val="171717" w:themeColor="background2" w:themeShade="1A"/>
                <w:sz w:val="18"/>
                <w:szCs w:val="18"/>
              </w:rPr>
              <w:t>0</w:t>
            </w:r>
          </w:p>
        </w:tc>
        <w:tc>
          <w:tcPr>
            <w:tcW w:w="652"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gridSpan w:val="2"/>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851"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456"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750"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574"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73"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52"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gridSpan w:val="2"/>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457"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851"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1456"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750"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574"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73"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D10BF2" w:rsidRDefault="00D10BF2">
            <w:pPr>
              <w:jc w:val="right"/>
              <w:rPr>
                <w:rFonts w:ascii="仿宋_GB2312" w:eastAsia="仿宋_GB2312" w:hAnsiTheme="minorEastAsia"/>
                <w:color w:val="171717" w:themeColor="background2" w:themeShade="1A"/>
                <w:sz w:val="18"/>
                <w:szCs w:val="18"/>
              </w:rPr>
            </w:pPr>
          </w:p>
        </w:tc>
        <w:tc>
          <w:tcPr>
            <w:tcW w:w="652"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698"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c>
          <w:tcPr>
            <w:tcW w:w="457" w:type="dxa"/>
            <w:gridSpan w:val="2"/>
            <w:shd w:val="clear" w:color="auto" w:fill="auto"/>
          </w:tcPr>
          <w:p w:rsidR="00D10BF2" w:rsidRDefault="00D10BF2">
            <w:pPr>
              <w:widowControl/>
              <w:spacing w:line="300" w:lineRule="auto"/>
              <w:jc w:val="right"/>
              <w:outlineLvl w:val="1"/>
              <w:rPr>
                <w:rFonts w:ascii="仿宋_GB2312" w:eastAsia="仿宋_GB2312" w:hAnsiTheme="minorEastAsia"/>
                <w:color w:val="171717" w:themeColor="background2" w:themeShade="1A"/>
                <w:sz w:val="18"/>
                <w:szCs w:val="18"/>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851"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1456"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750"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574"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73"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52"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52"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98"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98"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gridSpan w:val="2"/>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r>
      <w:tr w:rsidR="00D10B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851"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1456" w:type="dxa"/>
            <w:shd w:val="clear" w:color="auto" w:fill="auto"/>
            <w:vAlign w:val="center"/>
          </w:tcPr>
          <w:p w:rsidR="00D10BF2" w:rsidRDefault="00E92140">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ascii="仿宋_GB2312" w:eastAsia="仿宋_GB2312" w:hAnsiTheme="minorEastAsia" w:hint="eastAsia"/>
                <w:color w:val="171717" w:themeColor="background2" w:themeShade="1A"/>
                <w:kern w:val="0"/>
                <w:sz w:val="18"/>
                <w:szCs w:val="18"/>
              </w:rPr>
              <w:t>合计</w:t>
            </w:r>
          </w:p>
        </w:tc>
        <w:tc>
          <w:tcPr>
            <w:tcW w:w="750" w:type="dxa"/>
            <w:shd w:val="clear" w:color="auto" w:fill="auto"/>
            <w:vAlign w:val="center"/>
          </w:tcPr>
          <w:p w:rsidR="00D10BF2" w:rsidRDefault="00E92140">
            <w:pPr>
              <w:jc w:val="right"/>
              <w:rPr>
                <w:rFonts w:ascii="仿宋_GB2312" w:eastAsia="仿宋_GB2312" w:hAnsiTheme="minorEastAsia"/>
                <w:color w:val="171717" w:themeColor="background2" w:themeShade="1A"/>
                <w:kern w:val="0"/>
                <w:sz w:val="18"/>
                <w:szCs w:val="18"/>
              </w:rPr>
            </w:pPr>
            <w:r>
              <w:rPr>
                <w:rFonts w:ascii="仿宋_GB2312" w:eastAsia="仿宋_GB2312" w:hAnsiTheme="minorEastAsia" w:hint="eastAsia"/>
                <w:color w:val="171717" w:themeColor="background2" w:themeShade="1A"/>
                <w:kern w:val="0"/>
                <w:sz w:val="18"/>
                <w:szCs w:val="18"/>
              </w:rPr>
              <w:t>40.79</w:t>
            </w:r>
          </w:p>
        </w:tc>
        <w:tc>
          <w:tcPr>
            <w:tcW w:w="574" w:type="dxa"/>
            <w:shd w:val="clear" w:color="auto" w:fill="auto"/>
            <w:vAlign w:val="center"/>
          </w:tcPr>
          <w:p w:rsidR="00D10BF2" w:rsidRDefault="00D10BF2">
            <w:pPr>
              <w:jc w:val="right"/>
              <w:rPr>
                <w:rFonts w:ascii="仿宋_GB2312" w:eastAsia="仿宋_GB2312" w:hAnsiTheme="minorEastAsia"/>
                <w:color w:val="171717" w:themeColor="background2" w:themeShade="1A"/>
                <w:kern w:val="0"/>
                <w:sz w:val="18"/>
                <w:szCs w:val="18"/>
              </w:rPr>
            </w:pPr>
          </w:p>
        </w:tc>
        <w:tc>
          <w:tcPr>
            <w:tcW w:w="673" w:type="dxa"/>
            <w:shd w:val="clear" w:color="auto" w:fill="auto"/>
            <w:vAlign w:val="center"/>
          </w:tcPr>
          <w:p w:rsidR="00D10BF2" w:rsidRDefault="00E92140">
            <w:pPr>
              <w:jc w:val="right"/>
              <w:rPr>
                <w:rFonts w:ascii="仿宋_GB2312" w:eastAsia="仿宋_GB2312" w:hAnsiTheme="minorEastAsia"/>
                <w:color w:val="171717" w:themeColor="background2" w:themeShade="1A"/>
                <w:kern w:val="0"/>
                <w:sz w:val="18"/>
                <w:szCs w:val="18"/>
              </w:rPr>
            </w:pPr>
            <w:r>
              <w:rPr>
                <w:rFonts w:ascii="仿宋_GB2312" w:eastAsia="仿宋_GB2312" w:hAnsiTheme="minorEastAsia" w:hint="eastAsia"/>
                <w:color w:val="171717" w:themeColor="background2" w:themeShade="1A"/>
                <w:kern w:val="0"/>
                <w:sz w:val="18"/>
                <w:szCs w:val="18"/>
              </w:rPr>
              <w:t>38.39</w:t>
            </w:r>
          </w:p>
        </w:tc>
        <w:tc>
          <w:tcPr>
            <w:tcW w:w="652" w:type="dxa"/>
            <w:shd w:val="clear" w:color="auto" w:fill="auto"/>
            <w:vAlign w:val="center"/>
          </w:tcPr>
          <w:p w:rsidR="00D10BF2" w:rsidRDefault="00E92140">
            <w:pPr>
              <w:jc w:val="right"/>
              <w:rPr>
                <w:rFonts w:ascii="仿宋_GB2312" w:eastAsia="仿宋_GB2312" w:hAnsiTheme="minorEastAsia"/>
                <w:color w:val="171717" w:themeColor="background2" w:themeShade="1A"/>
                <w:kern w:val="0"/>
                <w:sz w:val="18"/>
                <w:szCs w:val="18"/>
              </w:rPr>
            </w:pPr>
            <w:r>
              <w:rPr>
                <w:rFonts w:ascii="仿宋_GB2312" w:eastAsia="仿宋_GB2312" w:hAnsiTheme="minorEastAsia" w:hint="eastAsia"/>
                <w:color w:val="171717" w:themeColor="background2" w:themeShade="1A"/>
                <w:kern w:val="0"/>
                <w:sz w:val="18"/>
                <w:szCs w:val="18"/>
              </w:rPr>
              <w:t>2.4</w:t>
            </w:r>
          </w:p>
        </w:tc>
        <w:tc>
          <w:tcPr>
            <w:tcW w:w="652" w:type="dxa"/>
            <w:shd w:val="clear" w:color="auto" w:fill="auto"/>
          </w:tcPr>
          <w:p w:rsidR="00D10BF2" w:rsidRDefault="00D10BF2">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rsidR="00D10BF2" w:rsidRDefault="00D10BF2">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698"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c>
          <w:tcPr>
            <w:tcW w:w="457" w:type="dxa"/>
            <w:gridSpan w:val="2"/>
            <w:shd w:val="clear" w:color="auto" w:fill="auto"/>
          </w:tcPr>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tc>
      </w:tr>
    </w:tbl>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pPr>
    </w:p>
    <w:p w:rsidR="00D10BF2" w:rsidRDefault="00E92140">
      <w:pPr>
        <w:widowControl/>
        <w:jc w:val="left"/>
        <w:rPr>
          <w:rFonts w:asciiTheme="minorEastAsia" w:eastAsiaTheme="minorEastAsia" w:hAnsiTheme="minorEastAsia"/>
          <w:b/>
          <w:color w:val="171717" w:themeColor="background2" w:themeShade="1A"/>
          <w:kern w:val="0"/>
          <w:sz w:val="24"/>
        </w:rPr>
      </w:pPr>
      <w:r>
        <w:rPr>
          <w:rFonts w:asciiTheme="minorEastAsia" w:eastAsiaTheme="minorEastAsia" w:hAnsiTheme="minorEastAsia"/>
          <w:b/>
          <w:color w:val="171717" w:themeColor="background2" w:themeShade="1A"/>
          <w:kern w:val="0"/>
          <w:sz w:val="24"/>
        </w:rPr>
        <w:br w:type="page"/>
      </w:r>
    </w:p>
    <w:p w:rsidR="00D10BF2" w:rsidRDefault="00E92140">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表八：</w:t>
      </w:r>
    </w:p>
    <w:p w:rsidR="00D10BF2" w:rsidRDefault="00E92140">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一般公共预算“三公”经费支出情况表</w:t>
      </w:r>
    </w:p>
    <w:p w:rsidR="00D10BF2" w:rsidRDefault="00E92140">
      <w:pPr>
        <w:widowControl/>
        <w:spacing w:line="300" w:lineRule="auto"/>
        <w:jc w:val="left"/>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D10BF2">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公务接待费</w:t>
            </w:r>
          </w:p>
        </w:tc>
      </w:tr>
      <w:tr w:rsidR="00D10BF2">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Cs w:val="21"/>
              </w:rPr>
            </w:pPr>
          </w:p>
        </w:tc>
      </w:tr>
      <w:tr w:rsidR="00D10BF2">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12.60</w:t>
            </w: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12.54</w:t>
            </w: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12.54</w:t>
            </w: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0.06</w:t>
            </w:r>
          </w:p>
        </w:tc>
      </w:tr>
      <w:tr w:rsidR="00D10BF2">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r>
      <w:tr w:rsidR="00D10BF2">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r>
      <w:tr w:rsidR="00D10BF2">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r>
      <w:tr w:rsidR="00D10BF2">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Cs w:val="21"/>
              </w:rPr>
            </w:pPr>
          </w:p>
        </w:tc>
      </w:tr>
    </w:tbl>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D10BF2">
      <w:pPr>
        <w:widowControl/>
        <w:spacing w:line="300" w:lineRule="auto"/>
        <w:outlineLvl w:val="1"/>
        <w:rPr>
          <w:rFonts w:asciiTheme="minorEastAsia" w:eastAsiaTheme="minorEastAsia" w:hAnsiTheme="minorEastAsia"/>
          <w:color w:val="171717" w:themeColor="background2" w:themeShade="1A"/>
          <w:kern w:val="0"/>
          <w:sz w:val="24"/>
        </w:rPr>
      </w:pPr>
    </w:p>
    <w:p w:rsidR="00D10BF2" w:rsidRDefault="00E92140">
      <w:pPr>
        <w:widowControl/>
        <w:jc w:val="left"/>
        <w:rPr>
          <w:rFonts w:asciiTheme="minorEastAsia" w:eastAsiaTheme="minorEastAsia" w:hAnsiTheme="minorEastAsia"/>
          <w:color w:val="171717" w:themeColor="background2" w:themeShade="1A"/>
          <w:kern w:val="0"/>
          <w:sz w:val="24"/>
        </w:rPr>
      </w:pPr>
      <w:r>
        <w:rPr>
          <w:rFonts w:asciiTheme="minorEastAsia" w:eastAsiaTheme="minorEastAsia" w:hAnsiTheme="minorEastAsia"/>
          <w:color w:val="171717" w:themeColor="background2" w:themeShade="1A"/>
          <w:kern w:val="0"/>
          <w:sz w:val="24"/>
        </w:rPr>
        <w:br w:type="page"/>
      </w:r>
    </w:p>
    <w:p w:rsidR="00D10BF2" w:rsidRDefault="00E92140">
      <w:pPr>
        <w:widowControl/>
        <w:spacing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表九：</w:t>
      </w:r>
    </w:p>
    <w:p w:rsidR="00D10BF2" w:rsidRDefault="00E92140">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政府性基金预算支出情况表</w:t>
      </w:r>
    </w:p>
    <w:p w:rsidR="00D10BF2" w:rsidRDefault="00E92140">
      <w:pPr>
        <w:widowControl/>
        <w:spacing w:line="300" w:lineRule="auto"/>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编制部门：乌鲁木齐市水磨沟区卫生监督所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D10BF2">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政府性基金预算支出</w:t>
            </w:r>
          </w:p>
        </w:tc>
      </w:tr>
      <w:tr w:rsidR="00D10BF2">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项目支出</w:t>
            </w:r>
          </w:p>
        </w:tc>
      </w:tr>
      <w:tr w:rsidR="00D10BF2">
        <w:trPr>
          <w:trHeight w:val="315"/>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仿宋_GB2312" w:eastAsia="仿宋_GB2312" w:hAnsiTheme="minorEastAsia" w:cs="宋体"/>
                <w:b/>
                <w:bCs/>
                <w:color w:val="171717" w:themeColor="background2" w:themeShade="1A"/>
                <w:kern w:val="0"/>
                <w:sz w:val="18"/>
                <w:szCs w:val="18"/>
              </w:rPr>
            </w:pPr>
            <w:r>
              <w:rPr>
                <w:rFonts w:ascii="仿宋_GB2312" w:eastAsia="仿宋_GB2312" w:hAnsiTheme="minorEastAsia"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701"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c>
          <w:tcPr>
            <w:tcW w:w="1559"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center"/>
              <w:rPr>
                <w:rFonts w:asciiTheme="minorEastAsia" w:eastAsiaTheme="minorEastAsia" w:hAnsiTheme="minorEastAsia" w:cs="宋体"/>
                <w:b/>
                <w:bCs/>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r w:rsidR="00D10BF2">
        <w:trPr>
          <w:trHeight w:val="510"/>
        </w:trPr>
        <w:tc>
          <w:tcPr>
            <w:tcW w:w="458" w:type="dxa"/>
            <w:tcBorders>
              <w:top w:val="nil"/>
              <w:left w:val="single" w:sz="4" w:space="0" w:color="auto"/>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457"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Theme="minorEastAsia" w:eastAsiaTheme="minorEastAsia" w:hAnsiTheme="minorEastAsia" w:cs="宋体"/>
                <w:color w:val="171717" w:themeColor="background2" w:themeShade="1A"/>
                <w:kern w:val="0"/>
                <w:sz w:val="24"/>
              </w:rPr>
            </w:pPr>
          </w:p>
        </w:tc>
        <w:tc>
          <w:tcPr>
            <w:tcW w:w="2896"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center"/>
              <w:rPr>
                <w:rFonts w:asciiTheme="minorEastAsia" w:eastAsiaTheme="minorEastAsia"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701"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right"/>
              <w:rPr>
                <w:rFonts w:asciiTheme="minorEastAsia" w:eastAsiaTheme="minorEastAsia" w:hAnsiTheme="minorEastAsia" w:cs="宋体"/>
                <w:color w:val="171717" w:themeColor="background2" w:themeShade="1A"/>
                <w:kern w:val="0"/>
                <w:sz w:val="24"/>
              </w:rPr>
            </w:pPr>
          </w:p>
        </w:tc>
      </w:tr>
    </w:tbl>
    <w:p w:rsidR="00D10BF2" w:rsidRDefault="00E92140">
      <w:pPr>
        <w:widowControl/>
        <w:spacing w:line="300" w:lineRule="auto"/>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备注：无内容应公开空表并说明情况。</w:t>
      </w:r>
    </w:p>
    <w:p w:rsidR="00D10BF2" w:rsidRDefault="00D10BF2">
      <w:pPr>
        <w:widowControl/>
        <w:spacing w:line="300" w:lineRule="auto"/>
        <w:jc w:val="left"/>
        <w:outlineLvl w:val="1"/>
        <w:rPr>
          <w:rFonts w:asciiTheme="minorEastAsia" w:eastAsiaTheme="minorEastAsia" w:hAnsiTheme="minorEastAsia"/>
          <w:color w:val="171717" w:themeColor="background2" w:themeShade="1A"/>
          <w:kern w:val="0"/>
          <w:sz w:val="24"/>
        </w:rPr>
        <w:sectPr w:rsidR="00D10BF2">
          <w:footerReference w:type="even" r:id="rId9"/>
          <w:footerReference w:type="default" r:id="rId10"/>
          <w:pgSz w:w="11906" w:h="16838"/>
          <w:pgMar w:top="2098" w:right="1418" w:bottom="1928" w:left="1588" w:header="851" w:footer="992" w:gutter="0"/>
          <w:pgNumType w:fmt="numberInDash"/>
          <w:cols w:space="720"/>
          <w:docGrid w:linePitch="312"/>
        </w:sectPr>
      </w:pPr>
    </w:p>
    <w:p w:rsidR="00D10BF2" w:rsidRDefault="00E92140">
      <w:pPr>
        <w:pStyle w:val="1"/>
        <w:spacing w:before="435"/>
        <w:rPr>
          <w:rFonts w:ascii="黑体" w:eastAsia="黑体" w:hAnsi="黑体"/>
          <w:b w:val="0"/>
          <w:color w:val="171717" w:themeColor="background2" w:themeShade="1A"/>
          <w:szCs w:val="32"/>
        </w:rPr>
      </w:pPr>
      <w:r>
        <w:rPr>
          <w:rFonts w:ascii="黑体" w:eastAsia="黑体" w:hAnsi="黑体" w:hint="eastAsia"/>
          <w:b w:val="0"/>
          <w:color w:val="171717" w:themeColor="background2" w:themeShade="1A"/>
          <w:szCs w:val="32"/>
        </w:rPr>
        <w:lastRenderedPageBreak/>
        <w:t>第三部分  乌鲁木齐市水磨沟区卫生监督所2016年部门预算情况说明</w:t>
      </w:r>
    </w:p>
    <w:p w:rsidR="00D10BF2" w:rsidRDefault="00E92140">
      <w:pPr>
        <w:widowControl/>
        <w:spacing w:line="300" w:lineRule="auto"/>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2016年部门预算情况说明</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一、关于乌鲁木齐市水磨沟区卫生监督所2016年收支预算情况的总体说明</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按照全口径预算的原则，乌鲁木齐市水磨沟区卫生监督所2016年所有收入和支出均纳入部门预算管理。收支总预算319.15万元。</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收入预算包括：一般公共预算。</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支出预算包括：医疗卫生与计划生育支出。</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二、关于乌鲁木齐市水磨沟区卫生监督所2016年收入预算情况说明</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乌鲁木齐市水磨沟区卫生监督所收入预算319.15万元，其中：</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一般公共预算319.15万元，比上年增加52.02万元；原因为人员相关经费增加。</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非税收入拨款未安排。</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基金预算拨款未安排。</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三、关于乌鲁木齐市水磨沟区卫生监督</w:t>
      </w:r>
      <w:proofErr w:type="gramStart"/>
      <w:r>
        <w:rPr>
          <w:rFonts w:ascii="黑体" w:eastAsia="黑体" w:hAnsi="黑体" w:hint="eastAsia"/>
          <w:b w:val="0"/>
          <w:color w:val="171717" w:themeColor="background2" w:themeShade="1A"/>
          <w:sz w:val="32"/>
        </w:rPr>
        <w:t>所单位</w:t>
      </w:r>
      <w:proofErr w:type="gramEnd"/>
      <w:r>
        <w:rPr>
          <w:rFonts w:ascii="黑体" w:eastAsia="黑体" w:hAnsi="黑体" w:hint="eastAsia"/>
          <w:b w:val="0"/>
          <w:color w:val="171717" w:themeColor="background2" w:themeShade="1A"/>
          <w:sz w:val="32"/>
        </w:rPr>
        <w:t>2016年支出预算情况说明</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乌鲁木齐市水磨沟区卫生监督</w:t>
      </w:r>
      <w:proofErr w:type="gramStart"/>
      <w:r>
        <w:rPr>
          <w:rFonts w:asciiTheme="minorEastAsia" w:eastAsiaTheme="minorEastAsia" w:hAnsiTheme="minorEastAsia" w:cs="宋体" w:hint="eastAsia"/>
          <w:color w:val="171717" w:themeColor="background2" w:themeShade="1A"/>
          <w:kern w:val="0"/>
          <w:sz w:val="28"/>
          <w:szCs w:val="28"/>
        </w:rPr>
        <w:t>所单位</w:t>
      </w:r>
      <w:proofErr w:type="gramEnd"/>
      <w:r>
        <w:rPr>
          <w:rFonts w:asciiTheme="minorEastAsia" w:eastAsiaTheme="minorEastAsia" w:hAnsiTheme="minorEastAsia" w:cs="宋体" w:hint="eastAsia"/>
          <w:color w:val="171717" w:themeColor="background2" w:themeShade="1A"/>
          <w:kern w:val="0"/>
          <w:sz w:val="28"/>
          <w:szCs w:val="28"/>
        </w:rPr>
        <w:t>2016年支出预算319.15万元，其中：</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基本支出278.36万元，比上年增加48.87万元，原因为人员相关经费增加。</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4"/>
        </w:rPr>
      </w:pPr>
      <w:r>
        <w:rPr>
          <w:rFonts w:asciiTheme="minorEastAsia" w:eastAsiaTheme="minorEastAsia" w:hAnsiTheme="minorEastAsia" w:cs="宋体" w:hint="eastAsia"/>
          <w:color w:val="171717" w:themeColor="background2" w:themeShade="1A"/>
          <w:kern w:val="0"/>
          <w:sz w:val="28"/>
          <w:szCs w:val="28"/>
        </w:rPr>
        <w:t>项目支出40.79万元，比上年增加3.15万元，原因为人员相关经费增加。</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四、关于乌鲁木齐市水磨沟区卫生监督所2016年财政拨款收支预算情况的总体说明</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财政拨款收支总预算319.15万元。</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五、关于乌鲁木齐市水磨沟区卫生监督所2016年一般公共预算基本支出情况说明</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乌鲁木齐市水磨沟区卫生监督所2016年一般公共预算基本支出278.36万元，其中：</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人员经费245.84万元，主要包括：基本工资、津贴补贴、奖金、社会保障缴费、住房公积金、其他工资福利支出、奖励金、采暖补贴、其他对个人和家庭的补助。</w:t>
      </w:r>
    </w:p>
    <w:p w:rsidR="00D10BF2" w:rsidRDefault="00E92140">
      <w:pPr>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公用经费32.52万元，主要包括：办公费、水费、电费、邮电费、差旅费、维修（护）费、培训费、公务接待费、工会经费、福利费、公务用车运行维护费、其他商品和服务支出。</w:t>
      </w:r>
    </w:p>
    <w:p w:rsidR="00D10BF2" w:rsidRDefault="00E92140">
      <w:pPr>
        <w:widowControl/>
        <w:spacing w:line="560" w:lineRule="exact"/>
        <w:ind w:firstLine="200"/>
        <w:jc w:val="left"/>
        <w:rPr>
          <w:rFonts w:ascii="黑体" w:eastAsia="黑体" w:hAnsi="黑体" w:cstheme="majorBidi"/>
          <w:bCs/>
          <w:color w:val="171717" w:themeColor="background2" w:themeShade="1A"/>
          <w:sz w:val="32"/>
          <w:szCs w:val="32"/>
        </w:rPr>
      </w:pPr>
      <w:r>
        <w:rPr>
          <w:rFonts w:ascii="黑体" w:eastAsia="黑体" w:hAnsi="黑体" w:cstheme="majorBidi" w:hint="eastAsia"/>
          <w:bCs/>
          <w:color w:val="171717" w:themeColor="background2" w:themeShade="1A"/>
          <w:sz w:val="32"/>
          <w:szCs w:val="32"/>
        </w:rPr>
        <w:t>六、关于乌鲁木齐市水磨沟区卫生监督所2016年一般公共预算项目支出情况说明</w:t>
      </w:r>
    </w:p>
    <w:p w:rsidR="00D10BF2" w:rsidRDefault="00E92140">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w:t>
      </w:r>
      <w:proofErr w:type="gramStart"/>
      <w:r>
        <w:rPr>
          <w:rFonts w:asciiTheme="minorEastAsia" w:eastAsiaTheme="minorEastAsia" w:hAnsiTheme="minorEastAsia" w:hint="eastAsia"/>
          <w:b/>
          <w:color w:val="171717" w:themeColor="background2" w:themeShade="1A"/>
          <w:sz w:val="28"/>
          <w:szCs w:val="28"/>
        </w:rPr>
        <w:t>一</w:t>
      </w:r>
      <w:proofErr w:type="gramEnd"/>
      <w:r>
        <w:rPr>
          <w:rFonts w:asciiTheme="minorEastAsia" w:eastAsiaTheme="minorEastAsia" w:hAnsiTheme="minorEastAsia" w:hint="eastAsia"/>
          <w:b/>
          <w:color w:val="171717" w:themeColor="background2" w:themeShade="1A"/>
          <w:sz w:val="28"/>
          <w:szCs w:val="28"/>
        </w:rPr>
        <w:t>：（项目支出、专项业务费按下列内容说明）</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项目名称：</w:t>
      </w:r>
      <w:r>
        <w:rPr>
          <w:rFonts w:asciiTheme="minorEastAsia" w:eastAsiaTheme="minorEastAsia" w:hAnsiTheme="minorEastAsia" w:cs="仿宋_GB2312"/>
          <w:color w:val="171717" w:themeColor="background2" w:themeShade="1A"/>
          <w:sz w:val="28"/>
          <w:szCs w:val="28"/>
        </w:rPr>
        <w:t>201</w:t>
      </w:r>
      <w:r>
        <w:rPr>
          <w:rFonts w:asciiTheme="minorEastAsia" w:eastAsiaTheme="minorEastAsia" w:hAnsiTheme="minorEastAsia" w:cs="仿宋_GB2312" w:hint="eastAsia"/>
          <w:color w:val="171717" w:themeColor="background2" w:themeShade="1A"/>
          <w:sz w:val="28"/>
          <w:szCs w:val="28"/>
        </w:rPr>
        <w:t>6年临时聘用人员经费</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lastRenderedPageBreak/>
        <w:t>设立的政策依据</w:t>
      </w:r>
      <w:r>
        <w:rPr>
          <w:rFonts w:asciiTheme="minorEastAsia" w:eastAsiaTheme="minorEastAsia" w:hAnsiTheme="minorEastAsia" w:cs="仿宋_GB2312" w:hint="eastAsia"/>
          <w:color w:val="171717" w:themeColor="background2" w:themeShade="1A"/>
          <w:sz w:val="28"/>
          <w:szCs w:val="28"/>
        </w:rPr>
        <w:t>：根据临时聘用人员经费设立依据</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预算安排规模：38.39万元</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sz w:val="28"/>
          <w:szCs w:val="28"/>
        </w:rPr>
        <w:t>：乌鲁木齐市水磨沟区卫生监督所</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资金来源</w:t>
      </w:r>
      <w:r>
        <w:rPr>
          <w:rFonts w:asciiTheme="minorEastAsia" w:eastAsiaTheme="minorEastAsia" w:hAnsiTheme="minorEastAsia" w:cs="仿宋_GB2312" w:hint="eastAsia"/>
          <w:color w:val="171717" w:themeColor="background2" w:themeShade="1A"/>
          <w:sz w:val="28"/>
          <w:szCs w:val="28"/>
        </w:rPr>
        <w:t>：财政拨款</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补贴范围：</w:t>
      </w:r>
      <w:r>
        <w:rPr>
          <w:rFonts w:asciiTheme="minorEastAsia" w:eastAsiaTheme="minorEastAsia" w:hAnsiTheme="minorEastAsia" w:cs="仿宋_GB2312"/>
          <w:color w:val="171717" w:themeColor="background2" w:themeShade="1A"/>
          <w:sz w:val="28"/>
          <w:szCs w:val="28"/>
        </w:rPr>
        <w:t>201</w:t>
      </w:r>
      <w:r>
        <w:rPr>
          <w:rFonts w:asciiTheme="minorEastAsia" w:eastAsiaTheme="minorEastAsia" w:hAnsiTheme="minorEastAsia" w:cs="仿宋_GB2312" w:hint="eastAsia"/>
          <w:color w:val="171717" w:themeColor="background2" w:themeShade="1A"/>
          <w:sz w:val="28"/>
          <w:szCs w:val="28"/>
        </w:rPr>
        <w:t>6年临时聘用人员</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补贴方式</w:t>
      </w:r>
      <w:r>
        <w:rPr>
          <w:rFonts w:asciiTheme="minorEastAsia" w:eastAsiaTheme="minorEastAsia" w:hAnsiTheme="minorEastAsia" w:cs="仿宋_GB2312" w:hint="eastAsia"/>
          <w:color w:val="171717" w:themeColor="background2" w:themeShade="1A"/>
          <w:sz w:val="28"/>
          <w:szCs w:val="28"/>
        </w:rPr>
        <w:t>：打卡</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发放程序：银行发放</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受益人群和社会效益</w:t>
      </w:r>
      <w:r>
        <w:rPr>
          <w:rFonts w:asciiTheme="minorEastAsia" w:eastAsiaTheme="minorEastAsia" w:hAnsiTheme="minorEastAsia" w:cs="仿宋_GB2312" w:hint="eastAsia"/>
          <w:color w:val="171717" w:themeColor="background2" w:themeShade="1A"/>
          <w:sz w:val="28"/>
          <w:szCs w:val="28"/>
        </w:rPr>
        <w:t>：……</w:t>
      </w:r>
    </w:p>
    <w:p w:rsidR="00D10BF2" w:rsidRDefault="00E92140">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情况二：（</w:t>
      </w:r>
      <w:r>
        <w:rPr>
          <w:rFonts w:asciiTheme="minorEastAsia" w:eastAsiaTheme="minorEastAsia" w:hAnsiTheme="minorEastAsia"/>
          <w:b/>
          <w:color w:val="171717" w:themeColor="background2" w:themeShade="1A"/>
          <w:sz w:val="28"/>
          <w:szCs w:val="28"/>
        </w:rPr>
        <w:t>属于对个人补贴的项目支出</w:t>
      </w:r>
      <w:r>
        <w:rPr>
          <w:rFonts w:asciiTheme="minorEastAsia" w:eastAsiaTheme="minorEastAsia" w:hAnsiTheme="minorEastAsia" w:hint="eastAsia"/>
          <w:b/>
          <w:color w:val="171717" w:themeColor="background2" w:themeShade="1A"/>
          <w:sz w:val="28"/>
          <w:szCs w:val="28"/>
        </w:rPr>
        <w:t>按下列内容说明）</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项目名称：临时聘用司机、安保等</w:t>
      </w:r>
      <w:proofErr w:type="gramStart"/>
      <w:r>
        <w:rPr>
          <w:rFonts w:asciiTheme="minorEastAsia" w:eastAsiaTheme="minorEastAsia" w:hAnsiTheme="minorEastAsia" w:cs="仿宋_GB2312" w:hint="eastAsia"/>
          <w:color w:val="171717" w:themeColor="background2" w:themeShade="1A"/>
          <w:sz w:val="28"/>
          <w:szCs w:val="28"/>
        </w:rPr>
        <w:t>人员维稳补助</w:t>
      </w:r>
      <w:proofErr w:type="gramEnd"/>
      <w:r>
        <w:rPr>
          <w:rFonts w:asciiTheme="minorEastAsia" w:eastAsiaTheme="minorEastAsia" w:hAnsiTheme="minorEastAsia" w:cs="仿宋_GB2312" w:hint="eastAsia"/>
          <w:color w:val="171717" w:themeColor="background2" w:themeShade="1A"/>
          <w:sz w:val="28"/>
          <w:szCs w:val="28"/>
        </w:rPr>
        <w:t>经费</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设立的政策依据</w:t>
      </w:r>
      <w:r>
        <w:rPr>
          <w:rFonts w:asciiTheme="minorEastAsia" w:eastAsiaTheme="minorEastAsia" w:hAnsiTheme="minorEastAsia" w:cs="仿宋_GB2312" w:hint="eastAsia"/>
          <w:color w:val="171717" w:themeColor="background2" w:themeShade="1A"/>
          <w:sz w:val="28"/>
          <w:szCs w:val="28"/>
        </w:rPr>
        <w:t>：</w:t>
      </w:r>
      <w:proofErr w:type="gramStart"/>
      <w:r>
        <w:rPr>
          <w:rFonts w:asciiTheme="minorEastAsia" w:eastAsiaTheme="minorEastAsia" w:hAnsiTheme="minorEastAsia" w:cs="仿宋_GB2312" w:hint="eastAsia"/>
          <w:color w:val="171717" w:themeColor="background2" w:themeShade="1A"/>
          <w:sz w:val="28"/>
          <w:szCs w:val="28"/>
        </w:rPr>
        <w:t>根据维稳补助</w:t>
      </w:r>
      <w:proofErr w:type="gramEnd"/>
      <w:r>
        <w:rPr>
          <w:rFonts w:asciiTheme="minorEastAsia" w:eastAsiaTheme="minorEastAsia" w:hAnsiTheme="minorEastAsia" w:cs="仿宋_GB2312" w:hint="eastAsia"/>
          <w:color w:val="171717" w:themeColor="background2" w:themeShade="1A"/>
          <w:sz w:val="28"/>
          <w:szCs w:val="28"/>
        </w:rPr>
        <w:t>经费设立依据</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预算安排规模：2.4万元</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项目承担单位</w:t>
      </w:r>
      <w:r>
        <w:rPr>
          <w:rFonts w:asciiTheme="minorEastAsia" w:eastAsiaTheme="minorEastAsia" w:hAnsiTheme="minorEastAsia" w:cs="仿宋_GB2312" w:hint="eastAsia"/>
          <w:color w:val="171717" w:themeColor="background2" w:themeShade="1A"/>
          <w:sz w:val="28"/>
          <w:szCs w:val="28"/>
        </w:rPr>
        <w:t>：乌鲁木齐市水磨沟区卫生监督所</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资金来源</w:t>
      </w:r>
      <w:r>
        <w:rPr>
          <w:rFonts w:asciiTheme="minorEastAsia" w:eastAsiaTheme="minorEastAsia" w:hAnsiTheme="minorEastAsia" w:cs="仿宋_GB2312" w:hint="eastAsia"/>
          <w:color w:val="171717" w:themeColor="background2" w:themeShade="1A"/>
          <w:sz w:val="28"/>
          <w:szCs w:val="28"/>
        </w:rPr>
        <w:t>：财政拨款</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补贴人数：</w:t>
      </w:r>
      <w:r>
        <w:rPr>
          <w:rFonts w:asciiTheme="minorEastAsia" w:eastAsiaTheme="minorEastAsia" w:hAnsiTheme="minorEastAsia" w:cs="仿宋_GB2312"/>
          <w:color w:val="171717" w:themeColor="background2" w:themeShade="1A"/>
          <w:sz w:val="28"/>
          <w:szCs w:val="28"/>
        </w:rPr>
        <w:t>2</w:t>
      </w:r>
      <w:r>
        <w:rPr>
          <w:rFonts w:asciiTheme="minorEastAsia" w:eastAsiaTheme="minorEastAsia" w:hAnsiTheme="minorEastAsia" w:cs="仿宋_GB2312" w:hint="eastAsia"/>
          <w:color w:val="171717" w:themeColor="background2" w:themeShade="1A"/>
          <w:sz w:val="28"/>
          <w:szCs w:val="28"/>
        </w:rPr>
        <w:t>人</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补贴范围：</w:t>
      </w:r>
      <w:r>
        <w:rPr>
          <w:rFonts w:asciiTheme="minorEastAsia" w:eastAsiaTheme="minorEastAsia" w:hAnsiTheme="minorEastAsia" w:cs="仿宋_GB2312"/>
          <w:color w:val="171717" w:themeColor="background2" w:themeShade="1A"/>
          <w:sz w:val="28"/>
          <w:szCs w:val="28"/>
        </w:rPr>
        <w:t>201</w:t>
      </w:r>
      <w:r>
        <w:rPr>
          <w:rFonts w:asciiTheme="minorEastAsia" w:eastAsiaTheme="minorEastAsia" w:hAnsiTheme="minorEastAsia" w:cs="仿宋_GB2312" w:hint="eastAsia"/>
          <w:color w:val="171717" w:themeColor="background2" w:themeShade="1A"/>
          <w:sz w:val="28"/>
          <w:szCs w:val="28"/>
        </w:rPr>
        <w:t>6年临时聘用司机</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补贴方式</w:t>
      </w:r>
      <w:r>
        <w:rPr>
          <w:rFonts w:asciiTheme="minorEastAsia" w:eastAsiaTheme="minorEastAsia" w:hAnsiTheme="minorEastAsia" w:cs="仿宋_GB2312" w:hint="eastAsia"/>
          <w:color w:val="171717" w:themeColor="background2" w:themeShade="1A"/>
          <w:sz w:val="28"/>
          <w:szCs w:val="28"/>
        </w:rPr>
        <w:t>：打卡</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hint="eastAsia"/>
          <w:color w:val="171717" w:themeColor="background2" w:themeShade="1A"/>
          <w:sz w:val="28"/>
          <w:szCs w:val="28"/>
        </w:rPr>
        <w:t>发放程序：银行发放</w:t>
      </w:r>
    </w:p>
    <w:p w:rsidR="00D10BF2" w:rsidRDefault="00E92140">
      <w:pPr>
        <w:widowControl/>
        <w:spacing w:line="560" w:lineRule="exact"/>
        <w:ind w:firstLineChars="200" w:firstLine="560"/>
        <w:jc w:val="left"/>
        <w:rPr>
          <w:rFonts w:asciiTheme="minorEastAsia" w:eastAsiaTheme="minorEastAsia" w:hAnsiTheme="minorEastAsia" w:cs="仿宋_GB2312"/>
          <w:color w:val="171717" w:themeColor="background2" w:themeShade="1A"/>
          <w:sz w:val="28"/>
          <w:szCs w:val="28"/>
        </w:rPr>
      </w:pPr>
      <w:r>
        <w:rPr>
          <w:rFonts w:asciiTheme="minorEastAsia" w:eastAsiaTheme="minorEastAsia" w:hAnsiTheme="minorEastAsia" w:cs="仿宋_GB2312"/>
          <w:color w:val="171717" w:themeColor="background2" w:themeShade="1A"/>
          <w:sz w:val="28"/>
          <w:szCs w:val="28"/>
        </w:rPr>
        <w:t>受益人群和社会效益</w:t>
      </w:r>
      <w:r>
        <w:rPr>
          <w:rFonts w:asciiTheme="minorEastAsia" w:eastAsiaTheme="minorEastAsia" w:hAnsiTheme="minorEastAsia" w:cs="仿宋_GB2312" w:hint="eastAsia"/>
          <w:color w:val="171717" w:themeColor="background2" w:themeShade="1A"/>
          <w:sz w:val="28"/>
          <w:szCs w:val="28"/>
        </w:rPr>
        <w:t>：……</w:t>
      </w:r>
    </w:p>
    <w:p w:rsidR="00D10BF2" w:rsidRDefault="00E92140">
      <w:pPr>
        <w:widowControl/>
        <w:spacing w:line="560" w:lineRule="exact"/>
        <w:ind w:firstLineChars="200" w:firstLine="640"/>
        <w:jc w:val="left"/>
        <w:rPr>
          <w:rFonts w:ascii="黑体" w:eastAsia="黑体" w:hAnsi="黑体"/>
          <w:color w:val="171717" w:themeColor="background2" w:themeShade="1A"/>
          <w:sz w:val="32"/>
        </w:rPr>
      </w:pPr>
      <w:r>
        <w:rPr>
          <w:rFonts w:ascii="黑体" w:eastAsia="黑体" w:hAnsi="黑体" w:hint="eastAsia"/>
          <w:color w:val="171717" w:themeColor="background2" w:themeShade="1A"/>
          <w:sz w:val="32"/>
        </w:rPr>
        <w:t>七、关于乌鲁木齐市水磨沟区卫生监督所2016年一般公共预算“三公”经费预算情况说明</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乌鲁木齐市水磨沟区卫生监督所2016年“三公”经费财政拨款预算数为12.60万元，其中：因公出国（境）费0万元，公务用车购置0万元，公务用车运行费12.54万元，公务接待费0.06万元。</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三公”经费财政拨款预算较上年减少0.04万元，其中：因公出国（境）费和公务用车购置费未安排预算,与上年相比持平；公务用车运行费12.54万元，与上年持平；公务接待费比上年减少0.04万元。主要原因压缩公务接待支出。</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八、关于乌鲁木齐市水磨沟区卫生监督所2016年政府性基金预算拨款情况说明</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乌鲁木齐市水磨沟区卫生监督所2016年没有使用政府性基金预算拨款安排的支出，政府性基金预算支出情况表为空表。</w:t>
      </w:r>
    </w:p>
    <w:p w:rsidR="00D10BF2" w:rsidRDefault="00E92140">
      <w:pPr>
        <w:pStyle w:val="2"/>
        <w:spacing w:line="560" w:lineRule="exact"/>
        <w:ind w:firstLineChars="200" w:firstLine="64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九、其他重要事项的情况说明</w:t>
      </w:r>
    </w:p>
    <w:p w:rsidR="00D10BF2" w:rsidRDefault="00E92140">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（一）政府采购情况</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2016年，部门及下属单位政府采购预算0万元，其中：政府采购货物预算0万元，政府采购工程预算0万元，政府采购服务预算0万元。</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2016年度本部门面向中小企业预留政府采购项目预算金额0万元，其中：面向小</w:t>
      </w:r>
      <w:proofErr w:type="gramStart"/>
      <w:r>
        <w:rPr>
          <w:rFonts w:asciiTheme="minorEastAsia" w:eastAsiaTheme="minorEastAsia" w:hAnsiTheme="minorEastAsia" w:cs="宋体" w:hint="eastAsia"/>
          <w:color w:val="171717" w:themeColor="background2" w:themeShade="1A"/>
          <w:kern w:val="0"/>
          <w:sz w:val="28"/>
          <w:szCs w:val="28"/>
        </w:rPr>
        <w:t>微企业</w:t>
      </w:r>
      <w:proofErr w:type="gramEnd"/>
      <w:r>
        <w:rPr>
          <w:rFonts w:asciiTheme="minorEastAsia" w:eastAsiaTheme="minorEastAsia" w:hAnsiTheme="minorEastAsia" w:cs="宋体" w:hint="eastAsia"/>
          <w:color w:val="171717" w:themeColor="background2" w:themeShade="1A"/>
          <w:kern w:val="0"/>
          <w:sz w:val="28"/>
          <w:szCs w:val="28"/>
        </w:rPr>
        <w:t>预留政府采购项目预算金额0万元。</w:t>
      </w:r>
    </w:p>
    <w:p w:rsidR="00D10BF2" w:rsidRDefault="00E92140">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（二）国有资产占用使用情况</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截至2015年底，乌鲁木齐市水磨沟区卫生监督所及下属各预算单位占用使用国有资产总体情况为</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1.房屋</w:t>
      </w:r>
      <w:r>
        <w:rPr>
          <w:rFonts w:asciiTheme="minorEastAsia" w:eastAsiaTheme="minorEastAsia" w:hAnsiTheme="minorEastAsia" w:cs="宋体"/>
          <w:color w:val="171717" w:themeColor="background2" w:themeShade="1A"/>
          <w:kern w:val="0"/>
          <w:sz w:val="28"/>
          <w:szCs w:val="28"/>
        </w:rPr>
        <w:t>61.64</w:t>
      </w:r>
      <w:r>
        <w:rPr>
          <w:rFonts w:asciiTheme="minorEastAsia" w:eastAsiaTheme="minorEastAsia" w:hAnsiTheme="minorEastAsia" w:cs="宋体" w:hint="eastAsia"/>
          <w:color w:val="171717" w:themeColor="background2" w:themeShade="1A"/>
          <w:kern w:val="0"/>
          <w:sz w:val="28"/>
          <w:szCs w:val="28"/>
        </w:rPr>
        <w:t>平方米，价值</w:t>
      </w:r>
      <w:r>
        <w:rPr>
          <w:rFonts w:asciiTheme="minorEastAsia" w:eastAsiaTheme="minorEastAsia" w:hAnsiTheme="minorEastAsia" w:cs="宋体"/>
          <w:color w:val="171717" w:themeColor="background2" w:themeShade="1A"/>
          <w:kern w:val="0"/>
          <w:sz w:val="28"/>
          <w:szCs w:val="28"/>
        </w:rPr>
        <w:t>7.70</w:t>
      </w:r>
      <w:r>
        <w:rPr>
          <w:rFonts w:asciiTheme="minorEastAsia" w:eastAsiaTheme="minorEastAsia" w:hAnsiTheme="minorEastAsia" w:cs="宋体" w:hint="eastAsia"/>
          <w:color w:val="171717" w:themeColor="background2" w:themeShade="1A"/>
          <w:kern w:val="0"/>
          <w:sz w:val="28"/>
          <w:szCs w:val="28"/>
        </w:rPr>
        <w:t>万元。</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2.车辆</w:t>
      </w:r>
      <w:r>
        <w:rPr>
          <w:rFonts w:asciiTheme="minorEastAsia" w:eastAsiaTheme="minorEastAsia" w:hAnsiTheme="minorEastAsia" w:cs="宋体"/>
          <w:color w:val="171717" w:themeColor="background2" w:themeShade="1A"/>
          <w:kern w:val="0"/>
          <w:sz w:val="28"/>
          <w:szCs w:val="28"/>
        </w:rPr>
        <w:t>5</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color w:val="171717" w:themeColor="background2" w:themeShade="1A"/>
          <w:kern w:val="0"/>
          <w:sz w:val="28"/>
          <w:szCs w:val="28"/>
        </w:rPr>
        <w:t>69.82</w:t>
      </w:r>
      <w:r>
        <w:rPr>
          <w:rFonts w:asciiTheme="minorEastAsia" w:eastAsiaTheme="minorEastAsia" w:hAnsiTheme="minorEastAsia" w:cs="宋体" w:hint="eastAsia"/>
          <w:color w:val="171717" w:themeColor="background2" w:themeShade="1A"/>
          <w:kern w:val="0"/>
          <w:sz w:val="28"/>
          <w:szCs w:val="28"/>
        </w:rPr>
        <w:t>万元；其中：一般公务用车0辆，价值0万元；执法执勤用车</w:t>
      </w:r>
      <w:r>
        <w:rPr>
          <w:rFonts w:asciiTheme="minorEastAsia" w:eastAsiaTheme="minorEastAsia" w:hAnsiTheme="minorEastAsia" w:cs="宋体"/>
          <w:color w:val="171717" w:themeColor="background2" w:themeShade="1A"/>
          <w:kern w:val="0"/>
          <w:sz w:val="28"/>
          <w:szCs w:val="28"/>
        </w:rPr>
        <w:t>5</w:t>
      </w:r>
      <w:r>
        <w:rPr>
          <w:rFonts w:asciiTheme="minorEastAsia" w:eastAsiaTheme="minorEastAsia" w:hAnsiTheme="minorEastAsia" w:cs="宋体" w:hint="eastAsia"/>
          <w:color w:val="171717" w:themeColor="background2" w:themeShade="1A"/>
          <w:kern w:val="0"/>
          <w:sz w:val="28"/>
          <w:szCs w:val="28"/>
        </w:rPr>
        <w:t>辆，价值</w:t>
      </w:r>
      <w:r>
        <w:rPr>
          <w:rFonts w:asciiTheme="minorEastAsia" w:eastAsiaTheme="minorEastAsia" w:hAnsiTheme="minorEastAsia" w:cs="宋体"/>
          <w:color w:val="171717" w:themeColor="background2" w:themeShade="1A"/>
          <w:kern w:val="0"/>
          <w:sz w:val="28"/>
          <w:szCs w:val="28"/>
        </w:rPr>
        <w:t>69.82</w:t>
      </w:r>
      <w:r>
        <w:rPr>
          <w:rFonts w:asciiTheme="minorEastAsia" w:eastAsiaTheme="minorEastAsia" w:hAnsiTheme="minorEastAsia" w:cs="宋体" w:hint="eastAsia"/>
          <w:color w:val="171717" w:themeColor="background2" w:themeShade="1A"/>
          <w:kern w:val="0"/>
          <w:sz w:val="28"/>
          <w:szCs w:val="28"/>
        </w:rPr>
        <w:t>万元；其他车辆0辆，价值0万元。</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3.其他资产价值（含办公家具价值）85.36万元。</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单位价值50万元以上大型设备0台（套），单位价值100万元以上大型设备0台（套）。</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2016年部门预算未安排购置车辆经费（或安排购置车辆经费0万元），安排购置50万元以上大型设备0台（套），单位价值100万元以上大型设备0台（套）。</w:t>
      </w:r>
    </w:p>
    <w:p w:rsidR="00D10BF2" w:rsidRDefault="00E92140">
      <w:pPr>
        <w:pStyle w:val="3"/>
        <w:spacing w:line="560" w:lineRule="exact"/>
        <w:ind w:firstLine="643"/>
        <w:rPr>
          <w:rFonts w:ascii="楷体" w:eastAsia="楷体" w:hAnsi="楷体"/>
          <w:color w:val="171717" w:themeColor="background2" w:themeShade="1A"/>
          <w:sz w:val="32"/>
        </w:rPr>
      </w:pPr>
      <w:r>
        <w:rPr>
          <w:rFonts w:ascii="楷体" w:eastAsia="楷体" w:hAnsi="楷体" w:hint="eastAsia"/>
          <w:color w:val="171717" w:themeColor="background2" w:themeShade="1A"/>
          <w:sz w:val="32"/>
        </w:rPr>
        <w:t>（三）预算绩效情况</w:t>
      </w:r>
    </w:p>
    <w:p w:rsidR="00D10BF2" w:rsidRDefault="00E92140">
      <w:pPr>
        <w:widowControl/>
        <w:spacing w:line="560" w:lineRule="exact"/>
        <w:ind w:firstLineChars="200" w:firstLine="560"/>
        <w:jc w:val="left"/>
        <w:rPr>
          <w:rFonts w:asciiTheme="minorEastAsia" w:eastAsiaTheme="minorEastAsia" w:hAnsiTheme="minorEastAsia" w:cs="宋体"/>
          <w:color w:val="171717" w:themeColor="background2" w:themeShade="1A"/>
          <w:kern w:val="0"/>
          <w:sz w:val="24"/>
        </w:rPr>
      </w:pPr>
      <w:r>
        <w:rPr>
          <w:rFonts w:asciiTheme="minorEastAsia" w:eastAsiaTheme="minorEastAsia" w:hAnsiTheme="minorEastAsia" w:cs="宋体" w:hint="eastAsia"/>
          <w:color w:val="171717" w:themeColor="background2" w:themeShade="1A"/>
          <w:kern w:val="0"/>
          <w:sz w:val="28"/>
          <w:szCs w:val="28"/>
        </w:rPr>
        <w:t>2016年度，本年度实行绩效管理的项目0个，涉及预算金额0万元。具体情况见下表（按项目分别填报）：</w:t>
      </w:r>
    </w:p>
    <w:p w:rsidR="00D10BF2" w:rsidRDefault="00E92140">
      <w:pPr>
        <w:widowControl/>
        <w:jc w:val="left"/>
        <w:rPr>
          <w:rFonts w:asciiTheme="minorEastAsia" w:eastAsiaTheme="minorEastAsia" w:hAnsiTheme="minorEastAsia" w:cs="宋体"/>
          <w:color w:val="171717" w:themeColor="background2" w:themeShade="1A"/>
          <w:kern w:val="0"/>
          <w:sz w:val="24"/>
        </w:rPr>
      </w:pPr>
      <w:r>
        <w:rPr>
          <w:rFonts w:asciiTheme="minorEastAsia" w:eastAsiaTheme="minorEastAsia" w:hAnsiTheme="minorEastAsia" w:cs="宋体"/>
          <w:color w:val="171717" w:themeColor="background2" w:themeShade="1A"/>
          <w:kern w:val="0"/>
          <w:sz w:val="24"/>
        </w:rPr>
        <w:br w:type="page"/>
      </w:r>
    </w:p>
    <w:p w:rsidR="00D10BF2" w:rsidRDefault="00E92140">
      <w:pPr>
        <w:spacing w:line="300" w:lineRule="auto"/>
        <w:jc w:val="center"/>
        <w:rPr>
          <w:rFonts w:ascii="仿宋_GB2312" w:eastAsia="仿宋_GB2312" w:hAnsiTheme="minorEastAsia" w:cs="宋体"/>
          <w:b/>
          <w:color w:val="171717" w:themeColor="background2" w:themeShade="1A"/>
          <w:kern w:val="0"/>
          <w:sz w:val="36"/>
          <w:szCs w:val="36"/>
        </w:rPr>
      </w:pPr>
      <w:r>
        <w:rPr>
          <w:rFonts w:ascii="仿宋_GB2312" w:eastAsia="仿宋_GB2312" w:hAnsiTheme="minorEastAsia" w:cs="宋体" w:hint="eastAsia"/>
          <w:b/>
          <w:color w:val="171717" w:themeColor="background2" w:themeShade="1A"/>
          <w:kern w:val="0"/>
          <w:sz w:val="36"/>
          <w:szCs w:val="36"/>
        </w:rPr>
        <w:lastRenderedPageBreak/>
        <w:t>财政支出绩效目标申报表</w:t>
      </w:r>
    </w:p>
    <w:p w:rsidR="00D10BF2" w:rsidRDefault="00E92140">
      <w:pPr>
        <w:spacing w:line="300" w:lineRule="auto"/>
        <w:jc w:val="center"/>
        <w:rPr>
          <w:rFonts w:ascii="仿宋_GB2312" w:eastAsia="仿宋_GB2312" w:hAnsiTheme="minorEastAsia" w:cs="宋体"/>
          <w:color w:val="171717" w:themeColor="background2" w:themeShade="1A"/>
          <w:kern w:val="0"/>
          <w:sz w:val="36"/>
          <w:szCs w:val="36"/>
        </w:rPr>
      </w:pPr>
      <w:r>
        <w:rPr>
          <w:rFonts w:ascii="仿宋_GB2312" w:eastAsia="仿宋_GB2312" w:hAnsiTheme="minorEastAsia" w:cs="宋体" w:hint="eastAsia"/>
          <w:color w:val="171717" w:themeColor="background2" w:themeShade="1A"/>
          <w:kern w:val="0"/>
          <w:sz w:val="36"/>
          <w:szCs w:val="36"/>
        </w:rPr>
        <w:t>（   年度）</w:t>
      </w:r>
    </w:p>
    <w:p w:rsidR="00D10BF2" w:rsidRDefault="00E92140">
      <w:pPr>
        <w:spacing w:line="300" w:lineRule="auto"/>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填报单位：</w:t>
      </w:r>
    </w:p>
    <w:tbl>
      <w:tblPr>
        <w:tblW w:w="9229" w:type="dxa"/>
        <w:jc w:val="center"/>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D10BF2">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center"/>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新增项目□    延续项目□</w:t>
            </w:r>
          </w:p>
        </w:tc>
      </w:tr>
      <w:tr w:rsidR="00D10BF2">
        <w:trPr>
          <w:trHeight w:val="564"/>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主管部门</w:t>
            </w:r>
          </w:p>
        </w:tc>
        <w:tc>
          <w:tcPr>
            <w:tcW w:w="216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1559" w:type="dxa"/>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vMerge w:val="restart"/>
            <w:tcBorders>
              <w:top w:val="nil"/>
              <w:left w:val="single" w:sz="4" w:space="0" w:color="auto"/>
              <w:bottom w:val="nil"/>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资金总额</w:t>
            </w:r>
          </w:p>
        </w:tc>
      </w:tr>
      <w:tr w:rsidR="00D10BF2">
        <w:trPr>
          <w:trHeight w:val="420"/>
          <w:jc w:val="center"/>
        </w:trPr>
        <w:tc>
          <w:tcPr>
            <w:tcW w:w="1960" w:type="dxa"/>
            <w:vMerge/>
            <w:tcBorders>
              <w:top w:val="nil"/>
              <w:left w:val="single" w:sz="4" w:space="0" w:color="auto"/>
              <w:bottom w:val="nil"/>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财政拨款</w:t>
            </w:r>
          </w:p>
        </w:tc>
      </w:tr>
      <w:tr w:rsidR="00D10BF2">
        <w:trPr>
          <w:trHeight w:val="420"/>
          <w:jc w:val="center"/>
        </w:trPr>
        <w:tc>
          <w:tcPr>
            <w:tcW w:w="1960" w:type="dxa"/>
            <w:vMerge/>
            <w:tcBorders>
              <w:top w:val="nil"/>
              <w:left w:val="single" w:sz="4" w:space="0" w:color="auto"/>
              <w:bottom w:val="nil"/>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自有资金</w:t>
            </w:r>
          </w:p>
        </w:tc>
      </w:tr>
      <w:tr w:rsidR="00D10BF2">
        <w:trPr>
          <w:trHeight w:val="420"/>
          <w:jc w:val="center"/>
        </w:trPr>
        <w:tc>
          <w:tcPr>
            <w:tcW w:w="1960" w:type="dxa"/>
            <w:vMerge/>
            <w:tcBorders>
              <w:top w:val="nil"/>
              <w:left w:val="single" w:sz="4" w:space="0" w:color="auto"/>
              <w:bottom w:val="nil"/>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经营性收入</w:t>
            </w:r>
          </w:p>
        </w:tc>
      </w:tr>
      <w:tr w:rsidR="00D10BF2">
        <w:trPr>
          <w:trHeight w:val="420"/>
          <w:jc w:val="center"/>
        </w:trPr>
        <w:tc>
          <w:tcPr>
            <w:tcW w:w="1960" w:type="dxa"/>
            <w:vMerge/>
            <w:tcBorders>
              <w:top w:val="nil"/>
              <w:left w:val="single" w:sz="4" w:space="0" w:color="auto"/>
              <w:bottom w:val="nil"/>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其他收入</w:t>
            </w:r>
          </w:p>
        </w:tc>
      </w:tr>
      <w:tr w:rsidR="00D10BF2">
        <w:trPr>
          <w:trHeight w:val="420"/>
          <w:jc w:val="center"/>
        </w:trPr>
        <w:tc>
          <w:tcPr>
            <w:tcW w:w="1960" w:type="dxa"/>
            <w:vMerge/>
            <w:tcBorders>
              <w:top w:val="nil"/>
              <w:left w:val="single" w:sz="4" w:space="0" w:color="auto"/>
              <w:bottom w:val="nil"/>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其他</w:t>
            </w:r>
          </w:p>
        </w:tc>
      </w:tr>
      <w:tr w:rsidR="00D10BF2">
        <w:trPr>
          <w:trHeight w:val="631"/>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D10BF2">
            <w:pPr>
              <w:spacing w:line="300" w:lineRule="auto"/>
              <w:jc w:val="left"/>
              <w:rPr>
                <w:rFonts w:ascii="仿宋_GB2312" w:eastAsia="仿宋_GB2312" w:hAnsiTheme="minorEastAsia" w:cs="宋体"/>
                <w:color w:val="171717" w:themeColor="background2" w:themeShade="1A"/>
                <w:kern w:val="0"/>
                <w:sz w:val="24"/>
              </w:rPr>
            </w:pPr>
          </w:p>
        </w:tc>
      </w:tr>
      <w:tr w:rsidR="00D10BF2">
        <w:trPr>
          <w:trHeight w:val="697"/>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r w:rsidR="00D10BF2">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完成时间</w:t>
            </w:r>
          </w:p>
        </w:tc>
      </w:tr>
      <w:tr w:rsidR="00D10BF2">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r w:rsidR="00D10BF2">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r w:rsidR="00D10BF2">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D10BF2" w:rsidRDefault="00D10BF2">
            <w:pPr>
              <w:widowControl/>
              <w:spacing w:line="300" w:lineRule="auto"/>
              <w:jc w:val="left"/>
              <w:rPr>
                <w:rFonts w:ascii="仿宋_GB2312" w:eastAsia="仿宋_GB2312" w:hAnsiTheme="minorEastAsia" w:cs="宋体"/>
                <w:color w:val="171717" w:themeColor="background2" w:themeShade="1A"/>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D10BF2" w:rsidRDefault="00E92140">
            <w:pPr>
              <w:widowControl/>
              <w:spacing w:line="300" w:lineRule="auto"/>
              <w:jc w:val="left"/>
              <w:rPr>
                <w:rFonts w:ascii="仿宋_GB2312" w:eastAsia="仿宋_GB2312" w:hAnsiTheme="minorEastAsia" w:cs="宋体"/>
                <w:color w:val="171717" w:themeColor="background2" w:themeShade="1A"/>
                <w:kern w:val="0"/>
                <w:sz w:val="24"/>
              </w:rPr>
            </w:pPr>
            <w:r>
              <w:rPr>
                <w:rFonts w:ascii="仿宋_GB2312" w:eastAsia="仿宋_GB2312" w:hAnsiTheme="minorEastAsia" w:cs="宋体" w:hint="eastAsia"/>
                <w:color w:val="171717" w:themeColor="background2" w:themeShade="1A"/>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D10BF2" w:rsidRDefault="00D10BF2">
            <w:pPr>
              <w:widowControl/>
              <w:spacing w:line="300" w:lineRule="auto"/>
              <w:jc w:val="center"/>
              <w:rPr>
                <w:rFonts w:ascii="仿宋_GB2312" w:eastAsia="仿宋_GB2312" w:hAnsiTheme="minorEastAsia" w:cs="宋体"/>
                <w:color w:val="171717" w:themeColor="background2" w:themeShade="1A"/>
                <w:kern w:val="0"/>
                <w:sz w:val="24"/>
              </w:rPr>
            </w:pPr>
          </w:p>
        </w:tc>
      </w:tr>
    </w:tbl>
    <w:p w:rsidR="00D10BF2" w:rsidRDefault="00E92140">
      <w:pPr>
        <w:widowControl/>
        <w:spacing w:line="560" w:lineRule="exact"/>
        <w:ind w:firstLineChars="196" w:firstLine="630"/>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lastRenderedPageBreak/>
        <w:t>（四）其他需说明的事项</w:t>
      </w:r>
    </w:p>
    <w:p w:rsidR="00D10BF2" w:rsidRDefault="00E92140">
      <w:pPr>
        <w:widowControl/>
        <w:spacing w:line="560" w:lineRule="exact"/>
        <w:ind w:firstLineChars="196" w:firstLine="630"/>
        <w:jc w:val="left"/>
        <w:rPr>
          <w:rFonts w:ascii="楷体" w:eastAsia="楷体" w:hAnsi="楷体" w:cs="宋体"/>
          <w:b/>
          <w:color w:val="171717" w:themeColor="background2" w:themeShade="1A"/>
          <w:kern w:val="0"/>
          <w:sz w:val="32"/>
          <w:szCs w:val="32"/>
        </w:rPr>
      </w:pPr>
      <w:r>
        <w:rPr>
          <w:rFonts w:ascii="楷体" w:eastAsia="楷体" w:hAnsi="楷体" w:cs="宋体" w:hint="eastAsia"/>
          <w:b/>
          <w:color w:val="171717" w:themeColor="background2" w:themeShade="1A"/>
          <w:kern w:val="0"/>
          <w:sz w:val="32"/>
          <w:szCs w:val="32"/>
        </w:rPr>
        <w:t>……</w:t>
      </w:r>
    </w:p>
    <w:p w:rsidR="00D10BF2" w:rsidRDefault="00E92140">
      <w:pPr>
        <w:pStyle w:val="1"/>
        <w:spacing w:before="435"/>
        <w:rPr>
          <w:rFonts w:ascii="黑体" w:eastAsia="黑体" w:hAnsi="黑体"/>
          <w:b w:val="0"/>
          <w:color w:val="171717" w:themeColor="background2" w:themeShade="1A"/>
        </w:rPr>
      </w:pPr>
      <w:r>
        <w:rPr>
          <w:rFonts w:ascii="黑体" w:eastAsia="黑体" w:hAnsi="黑体" w:hint="eastAsia"/>
          <w:b w:val="0"/>
          <w:color w:val="171717" w:themeColor="background2" w:themeShade="1A"/>
        </w:rPr>
        <w:t>第四部分  名词解释</w:t>
      </w:r>
    </w:p>
    <w:p w:rsidR="00D10BF2" w:rsidRDefault="00E92140">
      <w:pPr>
        <w:widowControl/>
        <w:spacing w:line="300" w:lineRule="auto"/>
        <w:ind w:firstLine="640"/>
        <w:jc w:val="left"/>
        <w:rPr>
          <w:rFonts w:ascii="黑体" w:eastAsia="黑体" w:hAnsi="黑体" w:cs="宋体"/>
          <w:color w:val="171717" w:themeColor="background2" w:themeShade="1A"/>
          <w:kern w:val="0"/>
          <w:sz w:val="32"/>
          <w:szCs w:val="32"/>
        </w:rPr>
      </w:pPr>
      <w:r>
        <w:rPr>
          <w:rFonts w:ascii="黑体" w:eastAsia="黑体" w:hAnsi="黑体" w:cs="宋体" w:hint="eastAsia"/>
          <w:color w:val="171717" w:themeColor="background2" w:themeShade="1A"/>
          <w:kern w:val="0"/>
          <w:sz w:val="32"/>
          <w:szCs w:val="32"/>
        </w:rPr>
        <w:t>名词解释：</w:t>
      </w:r>
    </w:p>
    <w:p w:rsidR="00D10BF2" w:rsidRDefault="00E92140">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一、财政拨款：</w:t>
      </w:r>
      <w:r>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D10BF2" w:rsidRDefault="00E92140">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color w:val="171717" w:themeColor="background2" w:themeShade="1A"/>
          <w:sz w:val="28"/>
          <w:szCs w:val="28"/>
        </w:rPr>
        <w:t>包括公共财政拨款（补助）资金、专项收入。</w:t>
      </w:r>
    </w:p>
    <w:p w:rsidR="00D10BF2" w:rsidRDefault="00E92140">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D10BF2" w:rsidRDefault="00E92140">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color w:val="171717" w:themeColor="background2" w:themeShade="1A"/>
          <w:sz w:val="28"/>
          <w:szCs w:val="28"/>
        </w:rPr>
        <w:t>包括事业收入、经营收入、其他收入等。</w:t>
      </w:r>
    </w:p>
    <w:p w:rsidR="00D10BF2" w:rsidRDefault="00E92140">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D10BF2" w:rsidRDefault="00E92140">
      <w:pPr>
        <w:spacing w:line="300" w:lineRule="auto"/>
        <w:ind w:firstLine="642"/>
        <w:rPr>
          <w:rFonts w:asciiTheme="minorEastAsia" w:eastAsiaTheme="minorEastAsia" w:hAnsiTheme="minorEastAsia"/>
          <w:color w:val="171717" w:themeColor="background2" w:themeShade="1A"/>
          <w:sz w:val="24"/>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D10BF2" w:rsidRDefault="00E92140">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D10BF2" w:rsidRDefault="00E92140">
      <w:pPr>
        <w:spacing w:line="300" w:lineRule="auto"/>
        <w:ind w:firstLine="642"/>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八、机关运行经费：</w:t>
      </w:r>
      <w:r>
        <w:rPr>
          <w:rFonts w:asciiTheme="minorEastAsia" w:eastAsiaTheme="minorEastAsia" w:hAnsiTheme="minorEastAsia" w:hint="eastAsia"/>
          <w:color w:val="171717" w:themeColor="background2" w:themeShade="1A"/>
          <w:sz w:val="28"/>
          <w:szCs w:val="28"/>
        </w:rPr>
        <w:t>指各部门的公用经费，包括办公及印刷费、</w:t>
      </w:r>
      <w:r>
        <w:rPr>
          <w:rFonts w:asciiTheme="minorEastAsia" w:eastAsiaTheme="minorEastAsia" w:hAnsiTheme="minorEastAsia" w:hint="eastAsia"/>
          <w:color w:val="171717" w:themeColor="background2" w:themeShade="1A"/>
          <w:sz w:val="28"/>
          <w:szCs w:val="28"/>
        </w:rPr>
        <w:lastRenderedPageBreak/>
        <w:t>邮电费、差旅费、会议费、福利费、日常维修费、专用材料及一般设备购置费、办公用房水电费、办公用房取暖费、办公用房物业管理费、公务用车运行维护费及其他费用。</w:t>
      </w:r>
    </w:p>
    <w:p w:rsidR="00FF300C" w:rsidRDefault="00FF300C">
      <w:pPr>
        <w:widowControl/>
        <w:spacing w:line="300" w:lineRule="auto"/>
        <w:jc w:val="right"/>
        <w:rPr>
          <w:rFonts w:ascii="仿宋_GB2312" w:eastAsia="仿宋_GB2312" w:hAnsiTheme="minorEastAsia" w:hint="eastAsia"/>
          <w:color w:val="171717" w:themeColor="background2" w:themeShade="1A"/>
          <w:sz w:val="30"/>
          <w:szCs w:val="30"/>
        </w:rPr>
      </w:pPr>
    </w:p>
    <w:p w:rsidR="00D10BF2" w:rsidRDefault="00E92140">
      <w:pPr>
        <w:widowControl/>
        <w:spacing w:line="300" w:lineRule="auto"/>
        <w:jc w:val="right"/>
        <w:rPr>
          <w:rFonts w:ascii="仿宋_GB2312" w:eastAsia="仿宋_GB2312" w:hAnsiTheme="minorEastAsia"/>
          <w:color w:val="171717" w:themeColor="background2" w:themeShade="1A"/>
          <w:sz w:val="30"/>
          <w:szCs w:val="30"/>
        </w:rPr>
      </w:pPr>
      <w:bookmarkStart w:id="0" w:name="_GoBack"/>
      <w:bookmarkEnd w:id="0"/>
      <w:r>
        <w:rPr>
          <w:rFonts w:ascii="仿宋_GB2312" w:eastAsia="仿宋_GB2312" w:hAnsiTheme="minorEastAsia" w:hint="eastAsia"/>
          <w:color w:val="171717" w:themeColor="background2" w:themeShade="1A"/>
          <w:sz w:val="30"/>
          <w:szCs w:val="30"/>
        </w:rPr>
        <w:t>乌鲁木齐市水磨沟区卫生监督所</w:t>
      </w:r>
    </w:p>
    <w:p w:rsidR="00D10BF2" w:rsidRDefault="00E92140">
      <w:pPr>
        <w:wordWrap w:val="0"/>
        <w:ind w:firstLine="640"/>
        <w:jc w:val="right"/>
        <w:rPr>
          <w:rFonts w:ascii="仿宋_GB2312" w:eastAsia="仿宋_GB2312" w:hAnsiTheme="minorEastAsia"/>
          <w:color w:val="171717" w:themeColor="background2" w:themeShade="1A"/>
          <w:sz w:val="30"/>
          <w:szCs w:val="30"/>
        </w:rPr>
      </w:pPr>
      <w:r>
        <w:rPr>
          <w:rFonts w:ascii="仿宋_GB2312" w:eastAsia="仿宋_GB2312" w:hAnsiTheme="minorEastAsia" w:hint="eastAsia"/>
          <w:color w:val="171717" w:themeColor="background2" w:themeShade="1A"/>
          <w:sz w:val="30"/>
          <w:szCs w:val="30"/>
        </w:rPr>
        <w:t>2016年</w:t>
      </w:r>
      <w:r w:rsidR="00FF300C">
        <w:rPr>
          <w:rFonts w:ascii="仿宋_GB2312" w:eastAsia="仿宋_GB2312" w:hAnsiTheme="minorEastAsia" w:hint="eastAsia"/>
          <w:color w:val="171717" w:themeColor="background2" w:themeShade="1A"/>
          <w:sz w:val="30"/>
          <w:szCs w:val="30"/>
        </w:rPr>
        <w:t>12</w:t>
      </w:r>
      <w:r>
        <w:rPr>
          <w:rFonts w:ascii="仿宋_GB2312" w:eastAsia="仿宋_GB2312" w:hAnsiTheme="minorEastAsia" w:hint="eastAsia"/>
          <w:color w:val="171717" w:themeColor="background2" w:themeShade="1A"/>
          <w:sz w:val="30"/>
          <w:szCs w:val="30"/>
        </w:rPr>
        <w:t>月</w:t>
      </w:r>
      <w:r w:rsidR="00FF300C">
        <w:rPr>
          <w:rFonts w:ascii="仿宋_GB2312" w:eastAsia="仿宋_GB2312" w:hAnsiTheme="minorEastAsia" w:hint="eastAsia"/>
          <w:color w:val="171717" w:themeColor="background2" w:themeShade="1A"/>
          <w:sz w:val="30"/>
          <w:szCs w:val="30"/>
        </w:rPr>
        <w:t>16</w:t>
      </w:r>
      <w:r>
        <w:rPr>
          <w:rFonts w:ascii="仿宋_GB2312" w:eastAsia="仿宋_GB2312" w:hAnsiTheme="minorEastAsia" w:hint="eastAsia"/>
          <w:color w:val="171717" w:themeColor="background2" w:themeShade="1A"/>
          <w:sz w:val="30"/>
          <w:szCs w:val="30"/>
        </w:rPr>
        <w:t>日</w:t>
      </w:r>
    </w:p>
    <w:p w:rsidR="00D10BF2" w:rsidRDefault="00D10BF2">
      <w:pPr>
        <w:widowControl/>
        <w:spacing w:line="300" w:lineRule="auto"/>
        <w:jc w:val="left"/>
        <w:rPr>
          <w:rFonts w:asciiTheme="minorEastAsia" w:eastAsiaTheme="minorEastAsia" w:hAnsiTheme="minorEastAsia"/>
          <w:color w:val="171717" w:themeColor="background2" w:themeShade="1A"/>
          <w:sz w:val="24"/>
        </w:rPr>
      </w:pPr>
    </w:p>
    <w:sectPr w:rsidR="00D10BF2">
      <w:footerReference w:type="even" r:id="rId11"/>
      <w:footerReference w:type="default" r:id="rId12"/>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FB" w:rsidRDefault="001C25FB">
      <w:r>
        <w:separator/>
      </w:r>
    </w:p>
  </w:endnote>
  <w:endnote w:type="continuationSeparator" w:id="0">
    <w:p w:rsidR="001C25FB" w:rsidRDefault="001C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40" w:rsidRDefault="00E92140">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E92140" w:rsidRDefault="00E921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40" w:rsidRDefault="00E92140">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E92140">
      <w:rPr>
        <w:rFonts w:ascii="宋体" w:eastAsia="宋体" w:hAnsi="宋体"/>
        <w:noProof/>
        <w:sz w:val="28"/>
        <w:szCs w:val="28"/>
        <w:lang w:val="zh-CN"/>
      </w:rPr>
      <w:t>-</w:t>
    </w:r>
    <w:r>
      <w:rPr>
        <w:rFonts w:ascii="宋体" w:eastAsia="宋体" w:hAnsi="宋体"/>
        <w:noProof/>
        <w:sz w:val="28"/>
        <w:szCs w:val="28"/>
      </w:rPr>
      <w:t xml:space="preserve"> 13 -</w:t>
    </w:r>
    <w:r>
      <w:rPr>
        <w:rFonts w:ascii="宋体" w:eastAsia="宋体" w:hAnsi="宋体"/>
        <w:sz w:val="28"/>
        <w:szCs w:val="28"/>
      </w:rPr>
      <w:fldChar w:fldCharType="end"/>
    </w:r>
  </w:p>
  <w:p w:rsidR="00E92140" w:rsidRDefault="00E9214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40" w:rsidRDefault="00E9214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E92140" w:rsidRDefault="00E92140">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40" w:rsidRDefault="00E92140">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FF300C">
      <w:rPr>
        <w:rStyle w:val="a8"/>
        <w:noProof/>
        <w:sz w:val="28"/>
        <w:szCs w:val="28"/>
      </w:rPr>
      <w:t>20</w:t>
    </w:r>
    <w:r>
      <w:rPr>
        <w:rStyle w:val="a8"/>
        <w:sz w:val="28"/>
        <w:szCs w:val="28"/>
      </w:rPr>
      <w:fldChar w:fldCharType="end"/>
    </w:r>
    <w:r>
      <w:rPr>
        <w:rStyle w:val="a8"/>
        <w:rFonts w:hint="eastAsia"/>
      </w:rPr>
      <w:t>—</w:t>
    </w:r>
  </w:p>
  <w:p w:rsidR="00E92140" w:rsidRDefault="00E9214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FB" w:rsidRDefault="001C25FB">
      <w:r>
        <w:separator/>
      </w:r>
    </w:p>
  </w:footnote>
  <w:footnote w:type="continuationSeparator" w:id="0">
    <w:p w:rsidR="001C25FB" w:rsidRDefault="001C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B33F0"/>
    <w:rsid w:val="000D06BD"/>
    <w:rsid w:val="000E2677"/>
    <w:rsid w:val="001C25FB"/>
    <w:rsid w:val="00237C8F"/>
    <w:rsid w:val="002910D7"/>
    <w:rsid w:val="002D20FC"/>
    <w:rsid w:val="002E727D"/>
    <w:rsid w:val="003648FE"/>
    <w:rsid w:val="003B5E2F"/>
    <w:rsid w:val="003C0733"/>
    <w:rsid w:val="003F6C48"/>
    <w:rsid w:val="004007DC"/>
    <w:rsid w:val="00472D3C"/>
    <w:rsid w:val="004A51A5"/>
    <w:rsid w:val="004D7466"/>
    <w:rsid w:val="004E3FA5"/>
    <w:rsid w:val="004E56FE"/>
    <w:rsid w:val="00546106"/>
    <w:rsid w:val="00613664"/>
    <w:rsid w:val="00614CA8"/>
    <w:rsid w:val="00625224"/>
    <w:rsid w:val="00625615"/>
    <w:rsid w:val="006B52AD"/>
    <w:rsid w:val="006E23EC"/>
    <w:rsid w:val="00875427"/>
    <w:rsid w:val="008B4F9B"/>
    <w:rsid w:val="00990828"/>
    <w:rsid w:val="00A34ADB"/>
    <w:rsid w:val="00B02F27"/>
    <w:rsid w:val="00B272C3"/>
    <w:rsid w:val="00BA057B"/>
    <w:rsid w:val="00BD5383"/>
    <w:rsid w:val="00BE3E92"/>
    <w:rsid w:val="00C00BF0"/>
    <w:rsid w:val="00C82B8D"/>
    <w:rsid w:val="00CB4EC0"/>
    <w:rsid w:val="00D10BF2"/>
    <w:rsid w:val="00D14853"/>
    <w:rsid w:val="00D80A25"/>
    <w:rsid w:val="00DA2544"/>
    <w:rsid w:val="00DA56FB"/>
    <w:rsid w:val="00E50607"/>
    <w:rsid w:val="00E74E97"/>
    <w:rsid w:val="00E92140"/>
    <w:rsid w:val="00EB235D"/>
    <w:rsid w:val="00EC1D29"/>
    <w:rsid w:val="00F67BD7"/>
    <w:rsid w:val="00F73231"/>
    <w:rsid w:val="00FB0AF0"/>
    <w:rsid w:val="00FF300C"/>
    <w:rsid w:val="011B6DE2"/>
    <w:rsid w:val="01B1580C"/>
    <w:rsid w:val="01F062A0"/>
    <w:rsid w:val="020F1260"/>
    <w:rsid w:val="021E42C2"/>
    <w:rsid w:val="0355026C"/>
    <w:rsid w:val="0361356F"/>
    <w:rsid w:val="03653BEB"/>
    <w:rsid w:val="036E5AA5"/>
    <w:rsid w:val="041764BF"/>
    <w:rsid w:val="041D3BD3"/>
    <w:rsid w:val="043C7A68"/>
    <w:rsid w:val="05B14C39"/>
    <w:rsid w:val="074E6B50"/>
    <w:rsid w:val="07876EB1"/>
    <w:rsid w:val="07EF39DD"/>
    <w:rsid w:val="09F65D64"/>
    <w:rsid w:val="0B511C83"/>
    <w:rsid w:val="0B621B37"/>
    <w:rsid w:val="0C0D5D57"/>
    <w:rsid w:val="0C86664B"/>
    <w:rsid w:val="0D0B6BC7"/>
    <w:rsid w:val="0D423564"/>
    <w:rsid w:val="0D5061E6"/>
    <w:rsid w:val="0D9A6D71"/>
    <w:rsid w:val="0DEB6255"/>
    <w:rsid w:val="0FD05CE2"/>
    <w:rsid w:val="100E4E69"/>
    <w:rsid w:val="10115C32"/>
    <w:rsid w:val="112F53D6"/>
    <w:rsid w:val="11382C03"/>
    <w:rsid w:val="11DE2158"/>
    <w:rsid w:val="131D5B41"/>
    <w:rsid w:val="13732572"/>
    <w:rsid w:val="144A7290"/>
    <w:rsid w:val="14636510"/>
    <w:rsid w:val="14EF6800"/>
    <w:rsid w:val="14F972DD"/>
    <w:rsid w:val="1529051D"/>
    <w:rsid w:val="15657A47"/>
    <w:rsid w:val="17164E14"/>
    <w:rsid w:val="176F38C7"/>
    <w:rsid w:val="184677EB"/>
    <w:rsid w:val="185F0C7A"/>
    <w:rsid w:val="198D7EC1"/>
    <w:rsid w:val="1A68019E"/>
    <w:rsid w:val="1B803DBC"/>
    <w:rsid w:val="1BBA150C"/>
    <w:rsid w:val="1BE77EBB"/>
    <w:rsid w:val="1BED25F2"/>
    <w:rsid w:val="1C295F54"/>
    <w:rsid w:val="1CC73ACC"/>
    <w:rsid w:val="1D1F151D"/>
    <w:rsid w:val="1E77204C"/>
    <w:rsid w:val="1EAF0B2B"/>
    <w:rsid w:val="1F6C3875"/>
    <w:rsid w:val="20504DAF"/>
    <w:rsid w:val="206E2AF7"/>
    <w:rsid w:val="208C6EDF"/>
    <w:rsid w:val="20A21F39"/>
    <w:rsid w:val="20D07737"/>
    <w:rsid w:val="212262D6"/>
    <w:rsid w:val="216E2A76"/>
    <w:rsid w:val="22157B74"/>
    <w:rsid w:val="22241127"/>
    <w:rsid w:val="229C52B7"/>
    <w:rsid w:val="23373B0F"/>
    <w:rsid w:val="23D21AAE"/>
    <w:rsid w:val="250D1C4F"/>
    <w:rsid w:val="2551056C"/>
    <w:rsid w:val="255E490D"/>
    <w:rsid w:val="2560589E"/>
    <w:rsid w:val="25A8199F"/>
    <w:rsid w:val="26033B26"/>
    <w:rsid w:val="2617175B"/>
    <w:rsid w:val="26220C46"/>
    <w:rsid w:val="263E1ADF"/>
    <w:rsid w:val="273034A2"/>
    <w:rsid w:val="278430CD"/>
    <w:rsid w:val="27CF67C9"/>
    <w:rsid w:val="28087B77"/>
    <w:rsid w:val="284D36D3"/>
    <w:rsid w:val="289529F5"/>
    <w:rsid w:val="28F00188"/>
    <w:rsid w:val="29C94BAE"/>
    <w:rsid w:val="29E04D2F"/>
    <w:rsid w:val="2A794265"/>
    <w:rsid w:val="2A7962B6"/>
    <w:rsid w:val="2ADD5945"/>
    <w:rsid w:val="2B132FAF"/>
    <w:rsid w:val="2C53451A"/>
    <w:rsid w:val="2C6521A8"/>
    <w:rsid w:val="2CAC2953"/>
    <w:rsid w:val="2CBF5804"/>
    <w:rsid w:val="2CEB62C3"/>
    <w:rsid w:val="2DC72BFE"/>
    <w:rsid w:val="2DEB3FD2"/>
    <w:rsid w:val="2DF77DA2"/>
    <w:rsid w:val="2E2739EE"/>
    <w:rsid w:val="2E7C39A1"/>
    <w:rsid w:val="2F1160D1"/>
    <w:rsid w:val="2F1E4A58"/>
    <w:rsid w:val="2F5250A0"/>
    <w:rsid w:val="2FBE08DD"/>
    <w:rsid w:val="2FF53A83"/>
    <w:rsid w:val="304576BE"/>
    <w:rsid w:val="304B0EAA"/>
    <w:rsid w:val="30BD7ADA"/>
    <w:rsid w:val="31093FEE"/>
    <w:rsid w:val="311B62D4"/>
    <w:rsid w:val="324119DB"/>
    <w:rsid w:val="325506F3"/>
    <w:rsid w:val="326B3C27"/>
    <w:rsid w:val="3306246C"/>
    <w:rsid w:val="33D2099F"/>
    <w:rsid w:val="34562031"/>
    <w:rsid w:val="34ED79F5"/>
    <w:rsid w:val="34FE5559"/>
    <w:rsid w:val="3600271F"/>
    <w:rsid w:val="362768B0"/>
    <w:rsid w:val="369D77EF"/>
    <w:rsid w:val="36AA2D37"/>
    <w:rsid w:val="36DD3D65"/>
    <w:rsid w:val="373D776B"/>
    <w:rsid w:val="37F83DB9"/>
    <w:rsid w:val="386B6319"/>
    <w:rsid w:val="38A056E4"/>
    <w:rsid w:val="38A209A9"/>
    <w:rsid w:val="38A8553E"/>
    <w:rsid w:val="39172E41"/>
    <w:rsid w:val="397E3863"/>
    <w:rsid w:val="39E129B2"/>
    <w:rsid w:val="3A646AF8"/>
    <w:rsid w:val="3AFF326A"/>
    <w:rsid w:val="3B263DF6"/>
    <w:rsid w:val="3B4E348E"/>
    <w:rsid w:val="3B7C4CA1"/>
    <w:rsid w:val="3C763B52"/>
    <w:rsid w:val="3D5408E8"/>
    <w:rsid w:val="3D9624C0"/>
    <w:rsid w:val="3DC96535"/>
    <w:rsid w:val="3E847D44"/>
    <w:rsid w:val="3EA17588"/>
    <w:rsid w:val="3EE86036"/>
    <w:rsid w:val="3EF35078"/>
    <w:rsid w:val="3F6A5AE3"/>
    <w:rsid w:val="3FC31517"/>
    <w:rsid w:val="40A4337A"/>
    <w:rsid w:val="40EB18F2"/>
    <w:rsid w:val="411855FC"/>
    <w:rsid w:val="41F356E9"/>
    <w:rsid w:val="438B2E89"/>
    <w:rsid w:val="43E7325D"/>
    <w:rsid w:val="43FF15E6"/>
    <w:rsid w:val="440934F1"/>
    <w:rsid w:val="449D0D39"/>
    <w:rsid w:val="46312B2D"/>
    <w:rsid w:val="46466136"/>
    <w:rsid w:val="468D776C"/>
    <w:rsid w:val="47666DEF"/>
    <w:rsid w:val="498D0CDD"/>
    <w:rsid w:val="4A285C8E"/>
    <w:rsid w:val="4B967445"/>
    <w:rsid w:val="4BF06871"/>
    <w:rsid w:val="4BF26CE2"/>
    <w:rsid w:val="4C70214A"/>
    <w:rsid w:val="4D79709A"/>
    <w:rsid w:val="4DC80DFC"/>
    <w:rsid w:val="4F013256"/>
    <w:rsid w:val="506C215D"/>
    <w:rsid w:val="50984919"/>
    <w:rsid w:val="50F63FA4"/>
    <w:rsid w:val="50FC4C2F"/>
    <w:rsid w:val="514244E2"/>
    <w:rsid w:val="518477C7"/>
    <w:rsid w:val="5197352F"/>
    <w:rsid w:val="519C6980"/>
    <w:rsid w:val="532D1003"/>
    <w:rsid w:val="54D0542B"/>
    <w:rsid w:val="55D51DAA"/>
    <w:rsid w:val="55ED1800"/>
    <w:rsid w:val="563B44E0"/>
    <w:rsid w:val="569F706B"/>
    <w:rsid w:val="56A810CD"/>
    <w:rsid w:val="56DB0E50"/>
    <w:rsid w:val="57300B1E"/>
    <w:rsid w:val="57AF3387"/>
    <w:rsid w:val="58BD593D"/>
    <w:rsid w:val="58F81669"/>
    <w:rsid w:val="59F1472F"/>
    <w:rsid w:val="5A7C47E0"/>
    <w:rsid w:val="5AAC4D94"/>
    <w:rsid w:val="5B001BF4"/>
    <w:rsid w:val="5B383D66"/>
    <w:rsid w:val="5BF614DA"/>
    <w:rsid w:val="5C7D7294"/>
    <w:rsid w:val="5CB4012B"/>
    <w:rsid w:val="5DFC6456"/>
    <w:rsid w:val="5F0A0015"/>
    <w:rsid w:val="5FFA40ED"/>
    <w:rsid w:val="60077E2F"/>
    <w:rsid w:val="601C2326"/>
    <w:rsid w:val="6035007D"/>
    <w:rsid w:val="60640A5F"/>
    <w:rsid w:val="61854D37"/>
    <w:rsid w:val="621F395B"/>
    <w:rsid w:val="63B6287D"/>
    <w:rsid w:val="64C7565E"/>
    <w:rsid w:val="64DA6459"/>
    <w:rsid w:val="65C07E12"/>
    <w:rsid w:val="65FF06FA"/>
    <w:rsid w:val="663D7D05"/>
    <w:rsid w:val="675C782A"/>
    <w:rsid w:val="67AF5A7D"/>
    <w:rsid w:val="67D04899"/>
    <w:rsid w:val="67E53E24"/>
    <w:rsid w:val="682C1023"/>
    <w:rsid w:val="68CC64A3"/>
    <w:rsid w:val="69292851"/>
    <w:rsid w:val="692D6FD4"/>
    <w:rsid w:val="6A711578"/>
    <w:rsid w:val="6AFC1452"/>
    <w:rsid w:val="6C8D1E09"/>
    <w:rsid w:val="6CF57C09"/>
    <w:rsid w:val="6D1F309D"/>
    <w:rsid w:val="6D3D3DCF"/>
    <w:rsid w:val="6D3D759F"/>
    <w:rsid w:val="6D4F1F78"/>
    <w:rsid w:val="6D976C22"/>
    <w:rsid w:val="70101AFC"/>
    <w:rsid w:val="70B339E9"/>
    <w:rsid w:val="745A0DBD"/>
    <w:rsid w:val="747B5FFF"/>
    <w:rsid w:val="748E737A"/>
    <w:rsid w:val="75380378"/>
    <w:rsid w:val="75616021"/>
    <w:rsid w:val="759469DA"/>
    <w:rsid w:val="766252D1"/>
    <w:rsid w:val="76714CD1"/>
    <w:rsid w:val="775C7E2C"/>
    <w:rsid w:val="784A2FC3"/>
    <w:rsid w:val="78723398"/>
    <w:rsid w:val="7877546A"/>
    <w:rsid w:val="787754B6"/>
    <w:rsid w:val="79151803"/>
    <w:rsid w:val="79300BD5"/>
    <w:rsid w:val="799A006C"/>
    <w:rsid w:val="7A162255"/>
    <w:rsid w:val="7A4078B3"/>
    <w:rsid w:val="7A7C5C8D"/>
    <w:rsid w:val="7AAE586E"/>
    <w:rsid w:val="7B233F1D"/>
    <w:rsid w:val="7B252C68"/>
    <w:rsid w:val="7D0942AE"/>
    <w:rsid w:val="7D435270"/>
    <w:rsid w:val="7D9F3614"/>
    <w:rsid w:val="7E121BC4"/>
    <w:rsid w:val="7F5D5D61"/>
    <w:rsid w:val="7FCF21FB"/>
    <w:rsid w:val="7FFF6F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0">
    <w:name w:val="正文文本缩进 3 Char"/>
    <w:basedOn w:val="a0"/>
    <w:link w:val="30"/>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qFormat/>
    <w:rPr>
      <w:rFonts w:ascii="Calibri" w:hAnsi="Calibri" w:cs="黑体"/>
      <w:sz w:val="24"/>
    </w:rPr>
  </w:style>
  <w:style w:type="table" w:customStyle="1" w:styleId="1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0"/>
      <w:szCs w:val="32"/>
    </w:rPr>
  </w:style>
  <w:style w:type="character" w:customStyle="1" w:styleId="3Char">
    <w:name w:val="标题 3 Char"/>
    <w:basedOn w:val="a0"/>
    <w:link w:val="3"/>
    <w:uiPriority w:val="9"/>
    <w:qFormat/>
    <w:rPr>
      <w:rFonts w:ascii="Times New Roman" w:eastAsiaTheme="majorEastAsia"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BEC76-CFF2-4EF7-9E9D-E6E73C65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24</cp:revision>
  <dcterms:created xsi:type="dcterms:W3CDTF">2018-02-11T09:40:00Z</dcterms:created>
  <dcterms:modified xsi:type="dcterms:W3CDTF">2018-12-19T04:59:00Z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