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FFFFFF"/>
        <w:autoSpaceDE w:val="0"/>
        <w:autoSpaceDN w:val="0"/>
        <w:adjustRightInd w:val="0"/>
        <w:spacing w:before="240" w:beforeLines="0" w:after="240" w:afterLines="0"/>
        <w:jc w:val="center"/>
        <w:rPr>
          <w:rFonts w:hint="cs" w:ascii="Times New Roman" w:eastAsia="Times New Roman"/>
          <w:b/>
          <w:kern w:val="36"/>
          <w:sz w:val="36"/>
          <w:szCs w:val="24"/>
          <w:rtl/>
          <w:lang w:val="ar-SA"/>
        </w:rPr>
      </w:pPr>
      <w:r>
        <w:rPr>
          <w:rFonts w:hint="eastAsia" w:ascii="宋体"/>
          <w:b/>
          <w:kern w:val="36"/>
          <w:sz w:val="36"/>
          <w:szCs w:val="24"/>
        </w:rPr>
        <w:t>2018年度新疆乌鲁木齐市水磨沟区安全生产监督管理局部门决算公开</w:t>
      </w:r>
      <w:r>
        <w:rPr>
          <w:rFonts w:hint="eastAsia" w:ascii="宋体"/>
          <w:b/>
          <w:kern w:val="36"/>
          <w:sz w:val="36"/>
          <w:szCs w:val="24"/>
          <w:lang w:val="zh-CN"/>
        </w:rPr>
        <w:t>说明</w:t>
      </w:r>
    </w:p>
    <w:p>
      <w:pPr>
        <w:autoSpaceDE w:val="0"/>
        <w:autoSpaceDN w:val="0"/>
        <w:adjustRightInd w:val="0"/>
        <w:spacing w:beforeLines="0" w:afterLines="0" w:line="540" w:lineRule="exact"/>
        <w:jc w:val="center"/>
        <w:rPr>
          <w:rFonts w:hint="default" w:ascii="宋体" w:hAnsi="Times New Roman"/>
          <w:b/>
          <w:kern w:val="0"/>
          <w:sz w:val="24"/>
          <w:szCs w:val="24"/>
        </w:rPr>
      </w:pPr>
      <w:r>
        <w:rPr>
          <w:rFonts w:hint="eastAsia" w:ascii="宋体" w:hAnsi="Times New Roman"/>
          <w:b/>
          <w:kern w:val="0"/>
          <w:sz w:val="24"/>
          <w:szCs w:val="24"/>
        </w:rPr>
        <w:t>目  录</w:t>
      </w:r>
    </w:p>
    <w:p>
      <w:pPr>
        <w:autoSpaceDE w:val="0"/>
        <w:autoSpaceDN w:val="0"/>
        <w:adjustRightInd w:val="0"/>
        <w:spacing w:beforeLines="0" w:afterLines="0" w:line="540" w:lineRule="exact"/>
        <w:ind w:firstLine="640"/>
        <w:rPr>
          <w:rFonts w:hint="default" w:ascii="宋体" w:hAnsi="Times New Roman"/>
          <w:kern w:val="0"/>
          <w:sz w:val="24"/>
          <w:szCs w:val="24"/>
        </w:rPr>
      </w:pPr>
      <w:r>
        <w:rPr>
          <w:rFonts w:hint="eastAsia" w:ascii="宋体" w:hAnsi="Times New Roman"/>
          <w:b/>
          <w:kern w:val="0"/>
          <w:sz w:val="24"/>
          <w:szCs w:val="24"/>
        </w:rPr>
        <w:t>第一部分 部门单位概况</w:t>
      </w:r>
    </w:p>
    <w:p>
      <w:pPr>
        <w:autoSpaceDE w:val="0"/>
        <w:autoSpaceDN w:val="0"/>
        <w:adjustRightInd w:val="0"/>
        <w:spacing w:beforeLines="0" w:afterLines="0" w:line="540" w:lineRule="exact"/>
        <w:ind w:firstLine="640"/>
        <w:rPr>
          <w:rFonts w:hint="default" w:ascii="宋体" w:hAnsi="Times New Roman"/>
          <w:b/>
          <w:kern w:val="0"/>
          <w:sz w:val="24"/>
          <w:szCs w:val="24"/>
        </w:rPr>
      </w:pPr>
      <w:r>
        <w:rPr>
          <w:rFonts w:hint="eastAsia" w:ascii="宋体" w:hAnsi="Times New Roman"/>
          <w:b/>
          <w:kern w:val="0"/>
          <w:sz w:val="24"/>
          <w:szCs w:val="24"/>
        </w:rPr>
        <w:t>一、主要职能</w:t>
      </w:r>
    </w:p>
    <w:p>
      <w:pPr>
        <w:autoSpaceDE w:val="0"/>
        <w:autoSpaceDN w:val="0"/>
        <w:adjustRightInd w:val="0"/>
        <w:spacing w:beforeLines="0" w:afterLines="0" w:line="540" w:lineRule="exact"/>
        <w:ind w:firstLine="640"/>
        <w:rPr>
          <w:rFonts w:hint="default" w:ascii="宋体" w:hAnsi="Times New Roman"/>
          <w:b/>
          <w:kern w:val="0"/>
          <w:sz w:val="24"/>
          <w:szCs w:val="24"/>
        </w:rPr>
      </w:pPr>
      <w:r>
        <w:rPr>
          <w:rFonts w:hint="eastAsia" w:ascii="宋体" w:hAnsi="Times New Roman"/>
          <w:b/>
          <w:kern w:val="0"/>
          <w:sz w:val="24"/>
          <w:szCs w:val="24"/>
        </w:rPr>
        <w:t>二、</w:t>
      </w:r>
      <w:r>
        <w:rPr>
          <w:rFonts w:hint="eastAsia" w:ascii="宋体" w:hAnsi="Times New Roman"/>
          <w:b/>
          <w:sz w:val="24"/>
          <w:szCs w:val="24"/>
        </w:rPr>
        <w:t>机构设置情况</w:t>
      </w:r>
    </w:p>
    <w:p>
      <w:pPr>
        <w:autoSpaceDE w:val="0"/>
        <w:autoSpaceDN w:val="0"/>
        <w:adjustRightInd w:val="0"/>
        <w:spacing w:beforeLines="0" w:afterLines="0" w:line="540" w:lineRule="exact"/>
        <w:ind w:firstLine="640"/>
        <w:rPr>
          <w:rFonts w:hint="default" w:ascii="宋体" w:hAnsi="Times New Roman"/>
          <w:kern w:val="0"/>
          <w:sz w:val="24"/>
          <w:szCs w:val="24"/>
        </w:rPr>
      </w:pPr>
      <w:r>
        <w:rPr>
          <w:rFonts w:hint="eastAsia" w:ascii="宋体" w:hAnsi="Times New Roman"/>
          <w:b/>
          <w:kern w:val="0"/>
          <w:sz w:val="24"/>
          <w:szCs w:val="24"/>
        </w:rPr>
        <w:t>第二部分 部门决算情况说明</w:t>
      </w:r>
    </w:p>
    <w:p>
      <w:pPr>
        <w:autoSpaceDE w:val="0"/>
        <w:autoSpaceDN w:val="0"/>
        <w:adjustRightInd w:val="0"/>
        <w:spacing w:beforeLines="0" w:afterLines="0" w:line="540" w:lineRule="exact"/>
        <w:ind w:firstLine="640"/>
        <w:rPr>
          <w:rFonts w:hint="default" w:ascii="宋体" w:hAnsi="Times New Roman"/>
          <w:b/>
          <w:sz w:val="24"/>
          <w:szCs w:val="24"/>
        </w:rPr>
      </w:pPr>
      <w:r>
        <w:rPr>
          <w:rFonts w:hint="eastAsia" w:ascii="宋体" w:hAnsi="Times New Roman"/>
          <w:b/>
          <w:sz w:val="24"/>
          <w:szCs w:val="24"/>
        </w:rPr>
        <w:t>一、部门收支总体情况</w:t>
      </w:r>
    </w:p>
    <w:p>
      <w:pPr>
        <w:autoSpaceDE w:val="0"/>
        <w:autoSpaceDN w:val="0"/>
        <w:adjustRightInd w:val="0"/>
        <w:spacing w:beforeLines="0" w:afterLines="0" w:line="540" w:lineRule="exact"/>
        <w:ind w:firstLine="640"/>
        <w:rPr>
          <w:rFonts w:hint="default" w:ascii="宋体" w:hAnsi="Times New Roman"/>
          <w:sz w:val="24"/>
          <w:szCs w:val="24"/>
        </w:rPr>
      </w:pPr>
      <w:r>
        <w:rPr>
          <w:rFonts w:hint="eastAsia" w:ascii="宋体" w:hAnsi="Times New Roman"/>
          <w:sz w:val="24"/>
          <w:szCs w:val="24"/>
        </w:rPr>
        <w:t>（一）部门收入支出决算总体情况说明</w:t>
      </w:r>
    </w:p>
    <w:p>
      <w:pPr>
        <w:autoSpaceDE w:val="0"/>
        <w:autoSpaceDN w:val="0"/>
        <w:adjustRightInd w:val="0"/>
        <w:spacing w:beforeLines="0" w:afterLines="0" w:line="540" w:lineRule="exact"/>
        <w:ind w:firstLine="640"/>
        <w:rPr>
          <w:rFonts w:hint="default" w:ascii="宋体" w:hAnsi="Times New Roman"/>
          <w:sz w:val="24"/>
          <w:szCs w:val="24"/>
        </w:rPr>
      </w:pPr>
      <w:r>
        <w:rPr>
          <w:rFonts w:hint="eastAsia" w:ascii="宋体" w:hAnsi="Times New Roman"/>
          <w:sz w:val="24"/>
          <w:szCs w:val="24"/>
        </w:rPr>
        <w:t>（二）部门收入总体情况说明</w:t>
      </w:r>
    </w:p>
    <w:p>
      <w:pPr>
        <w:autoSpaceDE w:val="0"/>
        <w:autoSpaceDN w:val="0"/>
        <w:adjustRightInd w:val="0"/>
        <w:spacing w:beforeLines="0" w:afterLines="0" w:line="540" w:lineRule="exact"/>
        <w:ind w:firstLine="640"/>
        <w:rPr>
          <w:rFonts w:hint="default" w:ascii="宋体" w:hAnsi="Times New Roman"/>
          <w:sz w:val="24"/>
          <w:szCs w:val="24"/>
        </w:rPr>
      </w:pPr>
      <w:r>
        <w:rPr>
          <w:rFonts w:hint="eastAsia" w:ascii="宋体" w:hAnsi="Times New Roman"/>
          <w:sz w:val="24"/>
          <w:szCs w:val="24"/>
        </w:rPr>
        <w:t>（三）部门支出总体情况说明</w:t>
      </w:r>
    </w:p>
    <w:p>
      <w:pPr>
        <w:autoSpaceDE w:val="0"/>
        <w:autoSpaceDN w:val="0"/>
        <w:adjustRightInd w:val="0"/>
        <w:spacing w:beforeLines="0" w:afterLines="0" w:line="540" w:lineRule="exact"/>
        <w:ind w:firstLine="640"/>
        <w:rPr>
          <w:rFonts w:hint="default" w:ascii="宋体" w:hAnsi="Times New Roman"/>
          <w:sz w:val="24"/>
          <w:szCs w:val="24"/>
        </w:rPr>
      </w:pPr>
      <w:r>
        <w:rPr>
          <w:rFonts w:hint="eastAsia" w:ascii="宋体" w:hAnsi="Times New Roman"/>
          <w:b/>
          <w:sz w:val="24"/>
          <w:szCs w:val="24"/>
        </w:rPr>
        <w:t>二、部门财政拨款收支情况</w:t>
      </w:r>
    </w:p>
    <w:p>
      <w:pPr>
        <w:autoSpaceDE w:val="0"/>
        <w:autoSpaceDN w:val="0"/>
        <w:adjustRightInd w:val="0"/>
        <w:spacing w:beforeLines="0" w:afterLines="0" w:line="540" w:lineRule="exact"/>
        <w:ind w:firstLine="640"/>
        <w:rPr>
          <w:rFonts w:hint="default" w:ascii="宋体" w:hAnsi="Times New Roman"/>
          <w:sz w:val="24"/>
          <w:szCs w:val="24"/>
        </w:rPr>
      </w:pPr>
      <w:r>
        <w:rPr>
          <w:rFonts w:hint="eastAsia" w:ascii="宋体" w:hAnsi="Times New Roman"/>
          <w:sz w:val="24"/>
          <w:szCs w:val="24"/>
        </w:rPr>
        <w:t>（一）财政拨款收支总体情况说明</w:t>
      </w:r>
    </w:p>
    <w:p>
      <w:pPr>
        <w:autoSpaceDE w:val="0"/>
        <w:autoSpaceDN w:val="0"/>
        <w:adjustRightInd w:val="0"/>
        <w:spacing w:beforeLines="0" w:afterLines="0" w:line="540" w:lineRule="exact"/>
        <w:ind w:firstLine="640"/>
        <w:rPr>
          <w:rFonts w:hint="default" w:ascii="宋体" w:hAnsi="Times New Roman"/>
          <w:sz w:val="24"/>
          <w:szCs w:val="24"/>
        </w:rPr>
      </w:pPr>
      <w:r>
        <w:rPr>
          <w:rFonts w:hint="eastAsia" w:ascii="宋体" w:hAnsi="Times New Roman"/>
          <w:sz w:val="24"/>
          <w:szCs w:val="24"/>
        </w:rPr>
        <w:t>（二）一般公共预算收支决算情况说明</w:t>
      </w:r>
    </w:p>
    <w:p>
      <w:pPr>
        <w:autoSpaceDE w:val="0"/>
        <w:autoSpaceDN w:val="0"/>
        <w:adjustRightInd w:val="0"/>
        <w:spacing w:beforeLines="0" w:afterLines="0" w:line="540" w:lineRule="exact"/>
        <w:ind w:firstLine="640"/>
        <w:rPr>
          <w:rFonts w:hint="default" w:ascii="宋体" w:hAnsi="Times New Roman"/>
          <w:sz w:val="24"/>
          <w:szCs w:val="24"/>
        </w:rPr>
      </w:pPr>
      <w:r>
        <w:rPr>
          <w:rFonts w:hint="eastAsia" w:ascii="宋体" w:hAnsi="Times New Roman"/>
          <w:sz w:val="24"/>
          <w:szCs w:val="24"/>
        </w:rPr>
        <w:t>（三）政府性基金预算收支决算情况说明</w:t>
      </w:r>
    </w:p>
    <w:p>
      <w:pPr>
        <w:autoSpaceDE w:val="0"/>
        <w:autoSpaceDN w:val="0"/>
        <w:adjustRightInd w:val="0"/>
        <w:spacing w:beforeLines="0" w:afterLines="0" w:line="540" w:lineRule="exact"/>
        <w:ind w:firstLine="640"/>
        <w:rPr>
          <w:rFonts w:hint="default" w:ascii="宋体" w:hAnsi="Times New Roman"/>
          <w:sz w:val="24"/>
          <w:szCs w:val="24"/>
        </w:rPr>
      </w:pPr>
      <w:r>
        <w:rPr>
          <w:rFonts w:hint="eastAsia" w:ascii="宋体" w:hAnsi="Times New Roman"/>
          <w:sz w:val="24"/>
          <w:szCs w:val="24"/>
        </w:rPr>
        <w:t>（四）政府性基金预算支出决算情况说明</w:t>
      </w:r>
    </w:p>
    <w:p>
      <w:pPr>
        <w:autoSpaceDE w:val="0"/>
        <w:autoSpaceDN w:val="0"/>
        <w:adjustRightInd w:val="0"/>
        <w:spacing w:beforeLines="0" w:afterLines="0" w:line="540" w:lineRule="exact"/>
        <w:ind w:firstLine="640"/>
        <w:rPr>
          <w:rFonts w:hint="default" w:ascii="宋体" w:hAnsi="Times New Roman"/>
          <w:b/>
          <w:sz w:val="24"/>
          <w:szCs w:val="24"/>
        </w:rPr>
      </w:pPr>
      <w:r>
        <w:rPr>
          <w:rFonts w:hint="eastAsia" w:ascii="宋体" w:hAnsi="Times New Roman"/>
          <w:b/>
          <w:sz w:val="24"/>
          <w:szCs w:val="24"/>
        </w:rPr>
        <w:t>三、部门结转结余情况</w:t>
      </w:r>
    </w:p>
    <w:p>
      <w:pPr>
        <w:autoSpaceDE w:val="0"/>
        <w:autoSpaceDN w:val="0"/>
        <w:adjustRightInd w:val="0"/>
        <w:spacing w:beforeLines="0" w:afterLines="0" w:line="540" w:lineRule="exact"/>
        <w:ind w:firstLine="640"/>
        <w:rPr>
          <w:rFonts w:hint="default" w:ascii="宋体" w:hAnsi="Times New Roman"/>
          <w:b/>
          <w:sz w:val="24"/>
          <w:szCs w:val="24"/>
        </w:rPr>
      </w:pPr>
      <w:r>
        <w:rPr>
          <w:rFonts w:hint="eastAsia" w:ascii="宋体" w:hAnsi="Times New Roman"/>
          <w:b/>
          <w:sz w:val="24"/>
          <w:szCs w:val="24"/>
        </w:rPr>
        <w:t>四、一般公共预算三公经费支出情况</w:t>
      </w:r>
    </w:p>
    <w:p>
      <w:pPr>
        <w:autoSpaceDE w:val="0"/>
        <w:autoSpaceDN w:val="0"/>
        <w:adjustRightInd w:val="0"/>
        <w:spacing w:beforeLines="0" w:afterLines="0" w:line="540" w:lineRule="exact"/>
        <w:ind w:firstLine="640"/>
        <w:rPr>
          <w:rFonts w:hint="default" w:ascii="宋体" w:hAnsi="Times New Roman"/>
          <w:b/>
          <w:sz w:val="24"/>
          <w:szCs w:val="24"/>
        </w:rPr>
      </w:pPr>
      <w:r>
        <w:rPr>
          <w:rFonts w:hint="eastAsia" w:ascii="宋体" w:hAnsi="Times New Roman"/>
          <w:b/>
          <w:sz w:val="24"/>
          <w:szCs w:val="24"/>
        </w:rPr>
        <w:t>五、机关运行经费支出情况</w:t>
      </w:r>
    </w:p>
    <w:p>
      <w:pPr>
        <w:autoSpaceDE w:val="0"/>
        <w:autoSpaceDN w:val="0"/>
        <w:adjustRightInd w:val="0"/>
        <w:spacing w:beforeLines="0" w:afterLines="0" w:line="540" w:lineRule="exact"/>
        <w:ind w:firstLine="640"/>
        <w:rPr>
          <w:rFonts w:hint="default" w:ascii="宋体" w:hAnsi="Times New Roman"/>
          <w:b/>
          <w:sz w:val="24"/>
          <w:szCs w:val="24"/>
        </w:rPr>
      </w:pPr>
      <w:r>
        <w:rPr>
          <w:rFonts w:hint="eastAsia" w:ascii="宋体" w:hAnsi="Times New Roman"/>
          <w:b/>
          <w:sz w:val="24"/>
          <w:szCs w:val="24"/>
        </w:rPr>
        <w:t>六、政府采购情况</w:t>
      </w:r>
    </w:p>
    <w:p>
      <w:pPr>
        <w:autoSpaceDE w:val="0"/>
        <w:autoSpaceDN w:val="0"/>
        <w:adjustRightInd w:val="0"/>
        <w:spacing w:beforeLines="0" w:afterLines="0" w:line="540" w:lineRule="exact"/>
        <w:ind w:firstLine="640"/>
        <w:rPr>
          <w:rFonts w:hint="default" w:ascii="宋体" w:hAnsi="Times New Roman"/>
          <w:b/>
          <w:sz w:val="24"/>
          <w:szCs w:val="24"/>
        </w:rPr>
      </w:pPr>
      <w:r>
        <w:rPr>
          <w:rFonts w:hint="eastAsia" w:ascii="宋体" w:hAnsi="Times New Roman"/>
          <w:b/>
          <w:sz w:val="24"/>
          <w:szCs w:val="24"/>
        </w:rPr>
        <w:t>七、其他重要事项的情况</w:t>
      </w:r>
    </w:p>
    <w:p>
      <w:pPr>
        <w:autoSpaceDE w:val="0"/>
        <w:autoSpaceDN w:val="0"/>
        <w:adjustRightInd w:val="0"/>
        <w:spacing w:beforeLines="0" w:afterLines="0" w:line="540" w:lineRule="exact"/>
        <w:ind w:firstLine="640"/>
        <w:rPr>
          <w:rFonts w:hint="default" w:ascii="宋体" w:hAnsi="Times New Roman"/>
          <w:sz w:val="24"/>
          <w:szCs w:val="24"/>
        </w:rPr>
      </w:pPr>
      <w:r>
        <w:rPr>
          <w:rFonts w:hint="eastAsia" w:ascii="宋体" w:hAnsi="Times New Roman"/>
          <w:sz w:val="24"/>
          <w:szCs w:val="24"/>
        </w:rPr>
        <w:t>（一）国有资产占用情况说明</w:t>
      </w:r>
    </w:p>
    <w:p>
      <w:pPr>
        <w:autoSpaceDE w:val="0"/>
        <w:autoSpaceDN w:val="0"/>
        <w:adjustRightInd w:val="0"/>
        <w:spacing w:beforeLines="0" w:afterLines="0" w:line="540" w:lineRule="exact"/>
        <w:ind w:firstLine="640"/>
        <w:rPr>
          <w:rFonts w:hint="default" w:ascii="宋体" w:hAnsi="Times New Roman"/>
          <w:b/>
          <w:sz w:val="24"/>
          <w:szCs w:val="24"/>
        </w:rPr>
      </w:pPr>
      <w:r>
        <w:rPr>
          <w:rFonts w:hint="eastAsia" w:ascii="宋体" w:hAnsi="Times New Roman"/>
          <w:sz w:val="24"/>
          <w:szCs w:val="24"/>
        </w:rPr>
        <w:t>（二）预算绩效情况的说明</w:t>
      </w:r>
    </w:p>
    <w:p>
      <w:pPr>
        <w:autoSpaceDE w:val="0"/>
        <w:autoSpaceDN w:val="0"/>
        <w:adjustRightInd w:val="0"/>
        <w:spacing w:beforeLines="0" w:afterLines="0" w:line="540" w:lineRule="exact"/>
        <w:ind w:firstLine="640"/>
        <w:rPr>
          <w:rFonts w:hint="default" w:ascii="宋体" w:hAnsi="Times New Roman"/>
          <w:b/>
          <w:kern w:val="0"/>
          <w:sz w:val="24"/>
          <w:szCs w:val="24"/>
        </w:rPr>
      </w:pPr>
      <w:r>
        <w:rPr>
          <w:rFonts w:hint="eastAsia" w:ascii="宋体" w:hAnsi="Times New Roman"/>
          <w:b/>
          <w:kern w:val="0"/>
          <w:sz w:val="24"/>
          <w:szCs w:val="24"/>
        </w:rPr>
        <w:t>第三部分 专业名词解释</w:t>
      </w:r>
    </w:p>
    <w:p>
      <w:pPr>
        <w:autoSpaceDE w:val="0"/>
        <w:autoSpaceDN w:val="0"/>
        <w:adjustRightInd w:val="0"/>
        <w:spacing w:beforeLines="0" w:afterLines="0" w:line="540" w:lineRule="exact"/>
        <w:ind w:firstLine="640"/>
        <w:rPr>
          <w:rFonts w:hint="default" w:ascii="宋体" w:hAnsi="Times New Roman"/>
          <w:b/>
          <w:kern w:val="0"/>
          <w:sz w:val="24"/>
          <w:szCs w:val="24"/>
        </w:rPr>
      </w:pPr>
      <w:r>
        <w:rPr>
          <w:rFonts w:hint="eastAsia" w:ascii="宋体" w:hAnsi="Times New Roman"/>
          <w:b/>
          <w:kern w:val="0"/>
          <w:sz w:val="24"/>
          <w:szCs w:val="24"/>
        </w:rPr>
        <w:t>第四部分 部</w:t>
      </w:r>
      <w:r>
        <w:rPr>
          <w:rFonts w:hint="eastAsia" w:ascii="宋体" w:hAnsi="Times New Roman"/>
          <w:b/>
          <w:sz w:val="24"/>
          <w:szCs w:val="24"/>
        </w:rPr>
        <w:t>门决算公开的8张报表</w:t>
      </w:r>
    </w:p>
    <w:p>
      <w:pPr>
        <w:autoSpaceDE w:val="0"/>
        <w:autoSpaceDN w:val="0"/>
        <w:adjustRightInd w:val="0"/>
        <w:spacing w:beforeLines="0" w:afterLines="0" w:line="540" w:lineRule="exact"/>
        <w:ind w:firstLine="640"/>
        <w:rPr>
          <w:rFonts w:hint="default" w:ascii="宋体" w:hAnsi="Times New Roman"/>
          <w:sz w:val="24"/>
          <w:szCs w:val="24"/>
        </w:rPr>
      </w:pPr>
      <w:r>
        <w:rPr>
          <w:rFonts w:hint="eastAsia" w:ascii="宋体" w:hAnsi="Times New Roman"/>
          <w:sz w:val="24"/>
          <w:szCs w:val="24"/>
        </w:rPr>
        <w:t>《收入支出决算总表》</w:t>
      </w:r>
    </w:p>
    <w:p>
      <w:pPr>
        <w:autoSpaceDE w:val="0"/>
        <w:autoSpaceDN w:val="0"/>
        <w:adjustRightInd w:val="0"/>
        <w:spacing w:beforeLines="0" w:afterLines="0" w:line="540" w:lineRule="exact"/>
        <w:ind w:firstLine="640"/>
        <w:rPr>
          <w:rFonts w:hint="default" w:ascii="宋体" w:hAnsi="Times New Roman"/>
          <w:sz w:val="24"/>
          <w:szCs w:val="24"/>
        </w:rPr>
      </w:pPr>
      <w:r>
        <w:rPr>
          <w:rFonts w:hint="eastAsia" w:ascii="宋体" w:hAnsi="Times New Roman"/>
          <w:sz w:val="24"/>
          <w:szCs w:val="24"/>
        </w:rPr>
        <w:t>《收入决算表》</w:t>
      </w:r>
    </w:p>
    <w:p>
      <w:pPr>
        <w:autoSpaceDE w:val="0"/>
        <w:autoSpaceDN w:val="0"/>
        <w:adjustRightInd w:val="0"/>
        <w:spacing w:beforeLines="0" w:afterLines="0" w:line="540" w:lineRule="exact"/>
        <w:ind w:firstLine="640"/>
        <w:rPr>
          <w:rFonts w:hint="default" w:ascii="宋体" w:hAnsi="Times New Roman"/>
          <w:sz w:val="24"/>
          <w:szCs w:val="24"/>
        </w:rPr>
      </w:pPr>
      <w:r>
        <w:rPr>
          <w:rFonts w:hint="eastAsia" w:ascii="宋体" w:hAnsi="Times New Roman"/>
          <w:sz w:val="24"/>
          <w:szCs w:val="24"/>
        </w:rPr>
        <w:t>《支出决算表》</w:t>
      </w:r>
    </w:p>
    <w:p>
      <w:pPr>
        <w:autoSpaceDE w:val="0"/>
        <w:autoSpaceDN w:val="0"/>
        <w:adjustRightInd w:val="0"/>
        <w:spacing w:beforeLines="0" w:afterLines="0" w:line="540" w:lineRule="exact"/>
        <w:ind w:firstLine="640"/>
        <w:rPr>
          <w:rFonts w:hint="default" w:ascii="宋体" w:hAnsi="Times New Roman"/>
          <w:sz w:val="24"/>
          <w:szCs w:val="24"/>
        </w:rPr>
      </w:pPr>
      <w:r>
        <w:rPr>
          <w:rFonts w:hint="eastAsia" w:ascii="宋体" w:hAnsi="Times New Roman"/>
          <w:sz w:val="24"/>
          <w:szCs w:val="24"/>
        </w:rPr>
        <w:t>《财政拨款收入支出决算总表》</w:t>
      </w:r>
    </w:p>
    <w:p>
      <w:pPr>
        <w:autoSpaceDE w:val="0"/>
        <w:autoSpaceDN w:val="0"/>
        <w:adjustRightInd w:val="0"/>
        <w:spacing w:beforeLines="0" w:afterLines="0" w:line="540" w:lineRule="exact"/>
        <w:ind w:firstLine="640"/>
        <w:rPr>
          <w:rFonts w:hint="default" w:ascii="宋体" w:hAnsi="Times New Roman"/>
          <w:sz w:val="24"/>
          <w:szCs w:val="24"/>
        </w:rPr>
      </w:pPr>
      <w:r>
        <w:rPr>
          <w:rFonts w:hint="eastAsia" w:ascii="宋体" w:hAnsi="Times New Roman"/>
          <w:sz w:val="24"/>
          <w:szCs w:val="24"/>
        </w:rPr>
        <w:t>《一般公共预算财政拨款支出决算表》</w:t>
      </w:r>
    </w:p>
    <w:p>
      <w:pPr>
        <w:autoSpaceDE w:val="0"/>
        <w:autoSpaceDN w:val="0"/>
        <w:adjustRightInd w:val="0"/>
        <w:spacing w:beforeLines="0" w:afterLines="0" w:line="540" w:lineRule="exact"/>
        <w:ind w:firstLine="640"/>
        <w:rPr>
          <w:rFonts w:hint="default" w:ascii="宋体" w:hAnsi="Times New Roman"/>
          <w:sz w:val="24"/>
          <w:szCs w:val="24"/>
        </w:rPr>
      </w:pPr>
      <w:r>
        <w:rPr>
          <w:rFonts w:hint="eastAsia" w:ascii="宋体" w:hAnsi="Times New Roman"/>
          <w:sz w:val="24"/>
          <w:szCs w:val="24"/>
        </w:rPr>
        <w:t>《一般公共预算财政拨款基本支出决算表》</w:t>
      </w:r>
    </w:p>
    <w:p>
      <w:pPr>
        <w:autoSpaceDE w:val="0"/>
        <w:autoSpaceDN w:val="0"/>
        <w:adjustRightInd w:val="0"/>
        <w:spacing w:beforeLines="0" w:afterLines="0" w:line="540" w:lineRule="exact"/>
        <w:ind w:firstLine="640"/>
        <w:rPr>
          <w:rFonts w:hint="default" w:ascii="宋体" w:hAnsi="Times New Roman"/>
          <w:sz w:val="24"/>
          <w:szCs w:val="24"/>
        </w:rPr>
      </w:pPr>
      <w:r>
        <w:rPr>
          <w:rFonts w:hint="eastAsia" w:ascii="宋体" w:hAnsi="Times New Roman"/>
          <w:sz w:val="24"/>
          <w:szCs w:val="24"/>
        </w:rPr>
        <w:t>《一般公共预算财政拨款三公经费支出决算表》</w:t>
      </w:r>
    </w:p>
    <w:p>
      <w:pPr>
        <w:autoSpaceDE w:val="0"/>
        <w:autoSpaceDN w:val="0"/>
        <w:adjustRightInd w:val="0"/>
        <w:spacing w:beforeLines="0" w:afterLines="0" w:line="540" w:lineRule="exact"/>
        <w:ind w:firstLine="640"/>
        <w:rPr>
          <w:rFonts w:hint="default" w:ascii="宋体" w:hAnsi="Times New Roman"/>
          <w:b/>
          <w:kern w:val="0"/>
          <w:sz w:val="28"/>
          <w:szCs w:val="24"/>
        </w:rPr>
      </w:pPr>
      <w:r>
        <w:rPr>
          <w:rFonts w:hint="eastAsia" w:ascii="宋体" w:hAnsi="Times New Roman"/>
          <w:sz w:val="24"/>
          <w:szCs w:val="24"/>
        </w:rPr>
        <w:t>《政府性基金预算财政拨款收入支出决算表》</w:t>
      </w:r>
    </w:p>
    <w:p>
      <w:pPr>
        <w:autoSpaceDE w:val="0"/>
        <w:autoSpaceDN w:val="0"/>
        <w:adjustRightInd w:val="0"/>
        <w:spacing w:beforeLines="0" w:afterLines="0" w:line="540" w:lineRule="exact"/>
        <w:ind w:firstLine="640"/>
        <w:rPr>
          <w:rFonts w:hint="default" w:ascii="宋体" w:hAnsi="Times New Roman"/>
          <w:b/>
          <w:kern w:val="0"/>
          <w:sz w:val="28"/>
          <w:szCs w:val="24"/>
        </w:rPr>
      </w:pPr>
    </w:p>
    <w:p>
      <w:pPr>
        <w:shd w:val="clear" w:color="auto" w:fill="FFFFFF"/>
        <w:autoSpaceDE w:val="0"/>
        <w:autoSpaceDN w:val="0"/>
        <w:adjustRightInd w:val="0"/>
        <w:spacing w:before="100" w:beforeLines="0" w:after="240" w:afterLines="0"/>
        <w:jc w:val="center"/>
        <w:rPr>
          <w:rFonts w:hint="default" w:ascii="Times New Roman" w:hAnsi="Times New Roman"/>
          <w:kern w:val="0"/>
          <w:sz w:val="28"/>
          <w:szCs w:val="24"/>
        </w:rPr>
      </w:pPr>
      <w:r>
        <w:rPr>
          <w:rFonts w:hint="eastAsia" w:ascii="宋体" w:hAnsi="Times New Roman"/>
          <w:b/>
          <w:kern w:val="0"/>
          <w:sz w:val="28"/>
          <w:szCs w:val="24"/>
        </w:rPr>
        <w:t>第一部分  部门单位概况</w:t>
      </w:r>
    </w:p>
    <w:p>
      <w:pPr>
        <w:shd w:val="clear" w:color="auto" w:fill="FFFFFF"/>
        <w:autoSpaceDE w:val="0"/>
        <w:autoSpaceDN w:val="0"/>
        <w:adjustRightInd w:val="0"/>
        <w:spacing w:before="100" w:beforeLines="0" w:after="240" w:afterLines="0"/>
        <w:jc w:val="left"/>
        <w:rPr>
          <w:rFonts w:hint="default" w:ascii="Times New Roman" w:hAnsi="Times New Roman"/>
          <w:kern w:val="0"/>
          <w:sz w:val="24"/>
          <w:szCs w:val="24"/>
        </w:rPr>
      </w:pPr>
      <w:r>
        <w:rPr>
          <w:rFonts w:hint="eastAsia" w:ascii="宋体" w:hAnsi="Times New Roman"/>
          <w:b/>
          <w:kern w:val="0"/>
          <w:sz w:val="24"/>
          <w:szCs w:val="24"/>
        </w:rPr>
        <w:t>一、主要职能</w:t>
      </w:r>
    </w:p>
    <w:p>
      <w:pPr>
        <w:shd w:val="clear" w:color="auto" w:fill="FFFFFF"/>
        <w:autoSpaceDE w:val="0"/>
        <w:autoSpaceDN w:val="0"/>
        <w:adjustRightInd w:val="0"/>
        <w:spacing w:before="100" w:beforeLines="0" w:afterLines="0" w:line="520" w:lineRule="exact"/>
        <w:ind w:firstLine="480"/>
        <w:rPr>
          <w:rFonts w:hint="default" w:ascii="宋体" w:hAnsi="Times New Roman" w:eastAsia="Times New Roman"/>
          <w:sz w:val="24"/>
          <w:szCs w:val="24"/>
        </w:rPr>
      </w:pPr>
      <w:r>
        <w:rPr>
          <w:rFonts w:hint="eastAsia" w:ascii="宋体" w:hAnsi="Times New Roman"/>
          <w:sz w:val="24"/>
          <w:szCs w:val="24"/>
        </w:rPr>
        <w:t>一、综合管理本市的安全生产工作，分析、预测安全生产形势，拟订安全生产工作规划，依法履行安全生产监督管理职责。</w:t>
      </w:r>
    </w:p>
    <w:p>
      <w:pPr>
        <w:shd w:val="clear" w:color="auto" w:fill="FFFFFF"/>
        <w:autoSpaceDE w:val="0"/>
        <w:autoSpaceDN w:val="0"/>
        <w:adjustRightInd w:val="0"/>
        <w:spacing w:before="100" w:beforeLines="0" w:afterLines="0" w:line="520" w:lineRule="exact"/>
        <w:ind w:firstLine="480"/>
        <w:rPr>
          <w:rFonts w:hint="default" w:ascii="宋体" w:hAnsi="Times New Roman" w:eastAsia="Times New Roman"/>
          <w:sz w:val="24"/>
          <w:szCs w:val="24"/>
        </w:rPr>
      </w:pPr>
      <w:r>
        <w:rPr>
          <w:rFonts w:hint="eastAsia" w:ascii="宋体" w:hAnsi="Times New Roman"/>
          <w:sz w:val="24"/>
          <w:szCs w:val="24"/>
        </w:rPr>
        <w:t>二、研究起草本市安全生产方面的地方性法规、规章草案，制定相关政策并组织实施；负责安全生产重大问题的调查研究，并提出对策建议。</w:t>
      </w:r>
    </w:p>
    <w:p>
      <w:pPr>
        <w:shd w:val="clear" w:color="auto" w:fill="FFFFFF"/>
        <w:autoSpaceDE w:val="0"/>
        <w:autoSpaceDN w:val="0"/>
        <w:adjustRightInd w:val="0"/>
        <w:spacing w:before="100" w:beforeLines="0" w:afterLines="0" w:line="520" w:lineRule="exact"/>
        <w:ind w:firstLine="480"/>
        <w:rPr>
          <w:rFonts w:hint="default" w:ascii="宋体" w:hAnsi="Times New Roman" w:eastAsia="Times New Roman"/>
          <w:sz w:val="24"/>
          <w:szCs w:val="24"/>
        </w:rPr>
      </w:pPr>
      <w:r>
        <w:rPr>
          <w:rFonts w:hint="eastAsia" w:ascii="宋体" w:hAnsi="Times New Roman"/>
          <w:sz w:val="24"/>
          <w:szCs w:val="24"/>
        </w:rPr>
        <w:t>三、负责统计本市生产安全事故，发布安全生产信息；依法组织调查处理生产安全事故，提出生产安全事故责任追究的意见并监督事故查处的落实情况；组织、协调安全生产事故应急救援工作。</w:t>
      </w:r>
    </w:p>
    <w:p>
      <w:pPr>
        <w:shd w:val="clear" w:color="auto" w:fill="FFFFFF"/>
        <w:autoSpaceDE w:val="0"/>
        <w:autoSpaceDN w:val="0"/>
        <w:adjustRightInd w:val="0"/>
        <w:spacing w:before="100" w:beforeLines="0" w:afterLines="0" w:line="520" w:lineRule="exact"/>
        <w:ind w:firstLine="480"/>
        <w:rPr>
          <w:rFonts w:hint="default" w:ascii="宋体" w:hAnsi="Times New Roman" w:eastAsia="Times New Roman"/>
          <w:sz w:val="24"/>
          <w:szCs w:val="24"/>
        </w:rPr>
      </w:pPr>
      <w:r>
        <w:rPr>
          <w:rFonts w:hint="eastAsia" w:ascii="宋体" w:hAnsi="Times New Roman"/>
          <w:sz w:val="24"/>
          <w:szCs w:val="24"/>
        </w:rPr>
        <w:t>四、依法监督检查本市新建、改建、扩建工程项目的安全设施与主体工程同时设计、同时施工、同时投产使用（以下简称三同时）情况。</w:t>
      </w:r>
    </w:p>
    <w:p>
      <w:pPr>
        <w:shd w:val="clear" w:color="auto" w:fill="FFFFFF"/>
        <w:autoSpaceDE w:val="0"/>
        <w:autoSpaceDN w:val="0"/>
        <w:adjustRightInd w:val="0"/>
        <w:spacing w:before="100" w:beforeLines="0" w:afterLines="0" w:line="520" w:lineRule="exact"/>
        <w:ind w:firstLine="480"/>
        <w:rPr>
          <w:rFonts w:hint="default" w:ascii="宋体" w:hAnsi="Times New Roman" w:eastAsia="Times New Roman"/>
          <w:sz w:val="24"/>
          <w:szCs w:val="24"/>
        </w:rPr>
      </w:pPr>
      <w:r>
        <w:rPr>
          <w:rFonts w:hint="eastAsia" w:ascii="宋体" w:hAnsi="Times New Roman"/>
          <w:sz w:val="24"/>
          <w:szCs w:val="24"/>
        </w:rPr>
        <w:t>五、 依法监督检查本市生产经营单位贯彻执行安全生产方面法律法规情况、作业场所职业卫生情况和重大安全危险源监控、重大事故隐患的整改工作，及其安全生产条件和有关设备设施（特种设备除外）、劳动防护用品的安全管理工作，依法查处不具备安全生产条件的生产经营单位。</w:t>
      </w:r>
    </w:p>
    <w:p>
      <w:pPr>
        <w:shd w:val="clear" w:color="auto" w:fill="FFFFFF"/>
        <w:autoSpaceDE w:val="0"/>
        <w:autoSpaceDN w:val="0"/>
        <w:adjustRightInd w:val="0"/>
        <w:spacing w:before="100" w:beforeLines="0" w:afterLines="0" w:line="520" w:lineRule="exact"/>
        <w:ind w:firstLine="480"/>
        <w:rPr>
          <w:rFonts w:hint="default" w:ascii="宋体" w:hAnsi="Times New Roman" w:eastAsia="Times New Roman"/>
          <w:sz w:val="24"/>
          <w:szCs w:val="24"/>
        </w:rPr>
      </w:pPr>
      <w:r>
        <w:rPr>
          <w:rFonts w:hint="eastAsia" w:ascii="宋体" w:hAnsi="Times New Roman"/>
          <w:sz w:val="24"/>
          <w:szCs w:val="24"/>
        </w:rPr>
        <w:t>六、负责本市从事安全生产评价、咨询、检测、检验等社会中介组织的资源管理，并进行监督检查。</w:t>
      </w:r>
    </w:p>
    <w:p>
      <w:pPr>
        <w:shd w:val="clear" w:color="auto" w:fill="FFFFFF"/>
        <w:autoSpaceDE w:val="0"/>
        <w:autoSpaceDN w:val="0"/>
        <w:adjustRightInd w:val="0"/>
        <w:spacing w:before="100" w:beforeLines="0" w:afterLines="0" w:line="520" w:lineRule="exact"/>
        <w:ind w:firstLine="480"/>
        <w:rPr>
          <w:rFonts w:hint="default" w:ascii="宋体" w:hAnsi="Times New Roman" w:eastAsia="Times New Roman"/>
          <w:sz w:val="24"/>
          <w:szCs w:val="24"/>
        </w:rPr>
      </w:pPr>
      <w:r>
        <w:rPr>
          <w:rFonts w:hint="eastAsia" w:ascii="宋体" w:hAnsi="Times New Roman"/>
          <w:sz w:val="24"/>
          <w:szCs w:val="24"/>
        </w:rPr>
        <w:t>七、负责组织本市安全生产宣传教育，依法负责安全生产方面的培训、考核工作；负责注册安全工程师执行资格的有关工作。</w:t>
      </w:r>
    </w:p>
    <w:p>
      <w:pPr>
        <w:shd w:val="clear" w:color="auto" w:fill="FFFFFF"/>
        <w:autoSpaceDE w:val="0"/>
        <w:autoSpaceDN w:val="0"/>
        <w:adjustRightInd w:val="0"/>
        <w:spacing w:before="100" w:beforeLines="0" w:afterLines="0" w:line="520" w:lineRule="exact"/>
        <w:ind w:firstLine="480"/>
        <w:rPr>
          <w:rFonts w:hint="default" w:ascii="宋体" w:hAnsi="Times New Roman" w:eastAsia="Times New Roman"/>
          <w:sz w:val="24"/>
          <w:szCs w:val="24"/>
        </w:rPr>
      </w:pPr>
      <w:r>
        <w:rPr>
          <w:rFonts w:hint="eastAsia" w:ascii="宋体" w:hAnsi="Times New Roman"/>
          <w:sz w:val="24"/>
          <w:szCs w:val="24"/>
        </w:rPr>
        <w:t>八、负责综合监督管理本市危险化学品和烟花爆竹的安全生产工作。</w:t>
      </w:r>
    </w:p>
    <w:p>
      <w:pPr>
        <w:shd w:val="clear" w:color="auto" w:fill="FFFFFF"/>
        <w:autoSpaceDE w:val="0"/>
        <w:autoSpaceDN w:val="0"/>
        <w:adjustRightInd w:val="0"/>
        <w:spacing w:before="100" w:beforeLines="0" w:afterLines="0" w:line="520" w:lineRule="exact"/>
        <w:ind w:firstLine="480"/>
        <w:rPr>
          <w:rFonts w:hint="default" w:ascii="宋体" w:hAnsi="Times New Roman" w:eastAsia="Times New Roman"/>
          <w:sz w:val="24"/>
          <w:szCs w:val="24"/>
        </w:rPr>
      </w:pPr>
      <w:r>
        <w:rPr>
          <w:rFonts w:hint="eastAsia" w:ascii="宋体" w:hAnsi="Times New Roman"/>
          <w:sz w:val="24"/>
          <w:szCs w:val="24"/>
        </w:rPr>
        <w:t>九、负责拟订本市安全生产科技规划，组织指导安全生产科学技术研究和新技术的推广工作。</w:t>
      </w:r>
    </w:p>
    <w:p>
      <w:pPr>
        <w:shd w:val="clear" w:color="auto" w:fill="FFFFFF"/>
        <w:autoSpaceDE w:val="0"/>
        <w:autoSpaceDN w:val="0"/>
        <w:adjustRightInd w:val="0"/>
        <w:spacing w:before="100" w:beforeLines="0" w:afterLines="0" w:line="520" w:lineRule="exact"/>
        <w:ind w:firstLine="480"/>
        <w:rPr>
          <w:rFonts w:hint="default" w:ascii="宋体" w:hAnsi="Times New Roman" w:eastAsia="Times New Roman"/>
          <w:sz w:val="24"/>
          <w:szCs w:val="24"/>
        </w:rPr>
      </w:pPr>
      <w:r>
        <w:rPr>
          <w:rFonts w:hint="eastAsia" w:ascii="宋体" w:hAnsi="Times New Roman"/>
          <w:sz w:val="24"/>
          <w:szCs w:val="24"/>
        </w:rPr>
        <w:t>十、开展本市安全生产方面的国际交流与合作。</w:t>
      </w:r>
    </w:p>
    <w:p>
      <w:pPr>
        <w:shd w:val="clear" w:color="auto" w:fill="FFFFFF"/>
        <w:autoSpaceDE w:val="0"/>
        <w:autoSpaceDN w:val="0"/>
        <w:adjustRightInd w:val="0"/>
        <w:spacing w:before="100" w:beforeLines="0" w:afterLines="0" w:line="520" w:lineRule="exact"/>
        <w:ind w:firstLine="480"/>
        <w:rPr>
          <w:rFonts w:hint="default" w:ascii="宋体" w:hAnsi="Times New Roman" w:eastAsia="Times New Roman"/>
          <w:sz w:val="24"/>
          <w:szCs w:val="24"/>
        </w:rPr>
      </w:pPr>
      <w:r>
        <w:rPr>
          <w:rFonts w:hint="eastAsia" w:ascii="宋体" w:hAnsi="Times New Roman"/>
          <w:sz w:val="24"/>
          <w:szCs w:val="24"/>
        </w:rPr>
        <w:t>十一、承办市政府交办的其他事项。</w:t>
      </w:r>
    </w:p>
    <w:p>
      <w:pPr>
        <w:shd w:val="clear" w:color="auto" w:fill="FFFFFF"/>
        <w:autoSpaceDE w:val="0"/>
        <w:autoSpaceDN w:val="0"/>
        <w:adjustRightInd w:val="0"/>
        <w:spacing w:before="100" w:beforeLines="0" w:afterLines="0" w:line="520" w:lineRule="exact"/>
        <w:ind w:firstLine="480"/>
        <w:rPr>
          <w:rFonts w:hint="default" w:ascii="宋体" w:hAnsi="Times New Roman" w:eastAsia="Times New Roman"/>
          <w:sz w:val="24"/>
          <w:szCs w:val="24"/>
        </w:rPr>
      </w:pPr>
      <w:r>
        <w:rPr>
          <w:rFonts w:hint="eastAsia" w:ascii="宋体" w:hAnsi="Times New Roman"/>
          <w:sz w:val="24"/>
          <w:szCs w:val="24"/>
        </w:rPr>
        <w:t>安全生产监督管理局面试的问题一般会关注安全生产监督管理的职责和认识。</w:t>
      </w:r>
    </w:p>
    <w:p>
      <w:pPr>
        <w:shd w:val="clear" w:color="auto" w:fill="FFFFFF"/>
        <w:autoSpaceDE w:val="0"/>
        <w:autoSpaceDN w:val="0"/>
        <w:adjustRightInd w:val="0"/>
        <w:spacing w:before="100" w:beforeLines="0" w:after="240" w:afterLines="0"/>
        <w:jc w:val="left"/>
        <w:rPr>
          <w:rFonts w:hint="default" w:ascii="Times New Roman" w:hAnsi="Times New Roman"/>
          <w:kern w:val="0"/>
          <w:sz w:val="24"/>
          <w:szCs w:val="24"/>
        </w:rPr>
      </w:pPr>
      <w:r>
        <w:rPr>
          <w:rFonts w:hint="eastAsia" w:ascii="宋体" w:hAnsi="Times New Roman"/>
          <w:b/>
          <w:kern w:val="0"/>
          <w:sz w:val="24"/>
          <w:szCs w:val="24"/>
        </w:rPr>
        <w:t>二、机构设置情况</w:t>
      </w:r>
    </w:p>
    <w:p>
      <w:pPr>
        <w:shd w:val="clear" w:color="auto" w:fill="FFFFFF"/>
        <w:autoSpaceDE w:val="0"/>
        <w:autoSpaceDN w:val="0"/>
        <w:adjustRightInd w:val="0"/>
        <w:spacing w:before="100" w:beforeLines="0" w:afterLines="0" w:line="520" w:lineRule="exact"/>
        <w:ind w:firstLine="480"/>
        <w:rPr>
          <w:rFonts w:hint="default" w:ascii="Times New Roman" w:eastAsia="Times New Roman"/>
          <w:kern w:val="0"/>
          <w:sz w:val="24"/>
          <w:szCs w:val="24"/>
        </w:rPr>
      </w:pPr>
      <w:r>
        <w:rPr>
          <w:rFonts w:hint="eastAsia" w:ascii="宋体" w:hAnsi="Times New Roman"/>
          <w:sz w:val="24"/>
          <w:szCs w:val="24"/>
        </w:rPr>
        <w:t>从决算单位构成看，</w:t>
      </w:r>
      <w:r>
        <w:rPr>
          <w:rFonts w:hint="eastAsia" w:ascii="宋体" w:hAnsi="Times New Roman"/>
          <w:kern w:val="0"/>
          <w:sz w:val="24"/>
          <w:szCs w:val="24"/>
        </w:rPr>
        <w:t>新疆乌鲁木齐市水磨沟区安全生产监督管理局单位</w:t>
      </w:r>
      <w:r>
        <w:rPr>
          <w:rFonts w:hint="eastAsia" w:ascii="宋体" w:hAnsi="Times New Roman"/>
          <w:sz w:val="24"/>
          <w:szCs w:val="24"/>
        </w:rPr>
        <w:t>部门决算包括：</w:t>
      </w:r>
      <w:r>
        <w:rPr>
          <w:rFonts w:hint="eastAsia" w:ascii="宋体" w:hAnsi="Times New Roman"/>
          <w:kern w:val="0"/>
          <w:sz w:val="24"/>
          <w:szCs w:val="24"/>
        </w:rPr>
        <w:t>新疆乌鲁木齐市水磨沟区安全生产监督管理局单位</w:t>
      </w:r>
      <w:r>
        <w:rPr>
          <w:rFonts w:hint="eastAsia" w:ascii="宋体" w:hAnsi="Times New Roman"/>
          <w:sz w:val="24"/>
          <w:szCs w:val="24"/>
        </w:rPr>
        <w:t>部门本级决算、所属单位决算等。本单位下设安全生产监察大队1个。</w:t>
      </w:r>
    </w:p>
    <w:p>
      <w:pPr>
        <w:shd w:val="clear" w:color="auto" w:fill="FFFFFF"/>
        <w:autoSpaceDE w:val="0"/>
        <w:autoSpaceDN w:val="0"/>
        <w:adjustRightInd w:val="0"/>
        <w:spacing w:before="100" w:beforeLines="0" w:afterLines="0" w:line="520" w:lineRule="exact"/>
        <w:ind w:firstLine="480"/>
        <w:rPr>
          <w:rFonts w:hint="default" w:ascii="宋体" w:hAnsi="Times New Roman"/>
          <w:kern w:val="0"/>
          <w:sz w:val="24"/>
          <w:szCs w:val="24"/>
        </w:rPr>
      </w:pPr>
      <w:r>
        <w:rPr>
          <w:rFonts w:hint="eastAsia" w:ascii="宋体" w:hAnsi="Times New Roman"/>
          <w:sz w:val="24"/>
          <w:szCs w:val="24"/>
        </w:rPr>
        <w:t>纳入</w:t>
      </w:r>
      <w:r>
        <w:rPr>
          <w:rFonts w:hint="eastAsia" w:ascii="宋体" w:hAnsi="Times New Roman"/>
          <w:kern w:val="0"/>
          <w:sz w:val="24"/>
          <w:szCs w:val="24"/>
        </w:rPr>
        <w:t>新疆乌鲁木齐市水磨沟区安全生产监督管理局单位2018年</w:t>
      </w:r>
      <w:r>
        <w:rPr>
          <w:rFonts w:hint="eastAsia" w:ascii="宋体" w:hAnsi="Times New Roman"/>
          <w:sz w:val="24"/>
          <w:szCs w:val="24"/>
        </w:rPr>
        <w:t>部门决算编制范围的单位名单见下表</w:t>
      </w:r>
      <w:r>
        <w:rPr>
          <w:rFonts w:hint="eastAsia" w:ascii="宋体" w:hAnsi="Times New Roman"/>
          <w:spacing w:val="-6"/>
          <w:sz w:val="24"/>
          <w:szCs w:val="24"/>
        </w:rPr>
        <w:t>：</w:t>
      </w:r>
      <w:r>
        <w:rPr>
          <w:rFonts w:hint="eastAsia" w:ascii="宋体" w:hAnsi="Times New Roman"/>
          <w:kern w:val="0"/>
          <w:sz w:val="24"/>
          <w:szCs w:val="24"/>
        </w:rPr>
        <w:t xml:space="preserve"> </w:t>
      </w:r>
    </w:p>
    <w:tbl>
      <w:tblPr>
        <w:tblStyle w:val="4"/>
        <w:tblW w:w="94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3037"/>
        <w:gridCol w:w="3240"/>
        <w:gridCol w:w="318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3037"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default" w:ascii="宋体" w:hAnsi="Times New Roman"/>
                <w:sz w:val="24"/>
                <w:szCs w:val="24"/>
              </w:rPr>
            </w:pPr>
            <w:r>
              <w:rPr>
                <w:rFonts w:hint="eastAsia" w:ascii="宋体" w:hAnsi="Times New Roman"/>
                <w:sz w:val="24"/>
                <w:szCs w:val="24"/>
              </w:rPr>
              <w:t>序号</w:t>
            </w:r>
          </w:p>
        </w:tc>
        <w:tc>
          <w:tcPr>
            <w:tcW w:w="324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default" w:ascii="宋体" w:hAnsi="Times New Roman"/>
                <w:sz w:val="24"/>
                <w:szCs w:val="24"/>
              </w:rPr>
            </w:pPr>
            <w:r>
              <w:rPr>
                <w:rFonts w:hint="eastAsia" w:ascii="宋体" w:hAnsi="Times New Roman"/>
                <w:sz w:val="24"/>
                <w:szCs w:val="24"/>
              </w:rPr>
              <w:t>单位名称</w:t>
            </w:r>
          </w:p>
        </w:tc>
        <w:tc>
          <w:tcPr>
            <w:tcW w:w="3187"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default" w:ascii="宋体" w:hAnsi="Times New Roman"/>
                <w:sz w:val="24"/>
                <w:szCs w:val="24"/>
              </w:rPr>
            </w:pPr>
            <w:r>
              <w:rPr>
                <w:rFonts w:hint="eastAsia" w:ascii="宋体" w:hAnsi="Times New Roman"/>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3037"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Times New Roman"/>
                <w:sz w:val="24"/>
                <w:szCs w:val="24"/>
              </w:rPr>
            </w:pPr>
            <w:r>
              <w:rPr>
                <w:rFonts w:hint="eastAsia" w:ascii="宋体" w:hAnsi="Times New Roman"/>
                <w:sz w:val="24"/>
                <w:szCs w:val="24"/>
              </w:rPr>
              <w:t>1</w:t>
            </w:r>
          </w:p>
        </w:tc>
        <w:tc>
          <w:tcPr>
            <w:tcW w:w="324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default" w:ascii="宋体" w:hAnsi="Times New Roman" w:eastAsia="Times New Roman"/>
                <w:sz w:val="24"/>
                <w:szCs w:val="24"/>
              </w:rPr>
            </w:pPr>
            <w:r>
              <w:rPr>
                <w:rFonts w:hint="eastAsia" w:ascii="宋体" w:hAnsi="Times New Roman"/>
                <w:kern w:val="0"/>
                <w:sz w:val="24"/>
                <w:szCs w:val="24"/>
              </w:rPr>
              <w:t>新疆乌鲁木齐市水磨沟区安全生产监督管理局</w:t>
            </w:r>
          </w:p>
        </w:tc>
        <w:tc>
          <w:tcPr>
            <w:tcW w:w="3187"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default" w:ascii="宋体"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3037"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center"/>
              <w:rPr>
                <w:rFonts w:hint="eastAsia" w:ascii="宋体" w:hAnsi="Times New Roman"/>
                <w:sz w:val="24"/>
                <w:szCs w:val="24"/>
              </w:rPr>
            </w:pPr>
            <w:r>
              <w:rPr>
                <w:rFonts w:hint="eastAsia" w:ascii="宋体" w:hAnsi="Times New Roman"/>
                <w:sz w:val="24"/>
                <w:szCs w:val="24"/>
              </w:rPr>
              <w:t>2</w:t>
            </w:r>
          </w:p>
        </w:tc>
        <w:tc>
          <w:tcPr>
            <w:tcW w:w="324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default" w:ascii="宋体" w:hAnsi="Times New Roman" w:eastAsia="Times New Roman"/>
                <w:sz w:val="24"/>
                <w:szCs w:val="24"/>
              </w:rPr>
            </w:pPr>
            <w:r>
              <w:rPr>
                <w:rFonts w:hint="eastAsia" w:ascii="宋体" w:hAnsi="Times New Roman"/>
                <w:sz w:val="24"/>
                <w:szCs w:val="24"/>
              </w:rPr>
              <w:t>新疆乌鲁木齐市水磨沟区安全生产监察大队</w:t>
            </w:r>
          </w:p>
        </w:tc>
        <w:tc>
          <w:tcPr>
            <w:tcW w:w="3187"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default" w:ascii="宋体"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3037"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default" w:ascii="宋体" w:hAnsi="Times New Roman"/>
                <w:sz w:val="24"/>
                <w:szCs w:val="24"/>
              </w:rPr>
            </w:pPr>
          </w:p>
        </w:tc>
        <w:tc>
          <w:tcPr>
            <w:tcW w:w="324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default" w:ascii="宋体" w:hAnsi="Times New Roman"/>
                <w:sz w:val="24"/>
                <w:szCs w:val="24"/>
              </w:rPr>
            </w:pPr>
          </w:p>
        </w:tc>
        <w:tc>
          <w:tcPr>
            <w:tcW w:w="3187"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default" w:ascii="宋体" w:hAnsi="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wBefore w:w="0" w:type="dxa"/>
          <w:wAfter w:w="0" w:type="dxa"/>
          <w:jc w:val="center"/>
        </w:trPr>
        <w:tc>
          <w:tcPr>
            <w:tcW w:w="3037"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default" w:ascii="宋体" w:hAnsi="Times New Roman"/>
                <w:sz w:val="24"/>
                <w:szCs w:val="24"/>
              </w:rPr>
            </w:pPr>
          </w:p>
        </w:tc>
        <w:tc>
          <w:tcPr>
            <w:tcW w:w="3240"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default" w:ascii="宋体" w:hAnsi="Times New Roman"/>
                <w:sz w:val="24"/>
                <w:szCs w:val="24"/>
              </w:rPr>
            </w:pPr>
          </w:p>
        </w:tc>
        <w:tc>
          <w:tcPr>
            <w:tcW w:w="3187" w:type="dxa"/>
            <w:tcBorders>
              <w:top w:val="single" w:color="auto" w:sz="6" w:space="0"/>
              <w:left w:val="single" w:color="auto" w:sz="6" w:space="0"/>
              <w:bottom w:val="single" w:color="auto" w:sz="6" w:space="0"/>
              <w:right w:val="single" w:color="auto" w:sz="6" w:space="0"/>
              <w:tl2br w:val="nil"/>
              <w:tr2bl w:val="nil"/>
            </w:tcBorders>
            <w:noWrap w:val="0"/>
            <w:vAlign w:val="top"/>
          </w:tcPr>
          <w:p>
            <w:pPr>
              <w:autoSpaceDE w:val="0"/>
              <w:autoSpaceDN w:val="0"/>
              <w:adjustRightInd w:val="0"/>
              <w:spacing w:beforeLines="0" w:afterLines="0"/>
              <w:jc w:val="left"/>
              <w:rPr>
                <w:rFonts w:hint="default" w:ascii="宋体" w:hAnsi="Times New Roman"/>
                <w:sz w:val="24"/>
                <w:szCs w:val="24"/>
              </w:rPr>
            </w:pPr>
          </w:p>
        </w:tc>
      </w:tr>
    </w:tbl>
    <w:p>
      <w:pPr>
        <w:shd w:val="clear" w:color="auto" w:fill="FFFFFF"/>
        <w:autoSpaceDE w:val="0"/>
        <w:autoSpaceDN w:val="0"/>
        <w:adjustRightInd w:val="0"/>
        <w:spacing w:before="100" w:beforeLines="0" w:afterLines="0" w:line="520" w:lineRule="exact"/>
        <w:ind w:firstLine="480"/>
        <w:rPr>
          <w:rFonts w:hint="default" w:ascii="Times New Roman" w:hAnsi="Times New Roman"/>
          <w:kern w:val="0"/>
          <w:sz w:val="24"/>
          <w:szCs w:val="24"/>
        </w:rPr>
      </w:pPr>
    </w:p>
    <w:p>
      <w:pPr>
        <w:shd w:val="clear" w:color="auto" w:fill="FFFFFF"/>
        <w:autoSpaceDE w:val="0"/>
        <w:autoSpaceDN w:val="0"/>
        <w:adjustRightInd w:val="0"/>
        <w:spacing w:before="100" w:beforeLines="0" w:after="240" w:afterLines="0"/>
        <w:jc w:val="center"/>
        <w:rPr>
          <w:rFonts w:hint="default" w:ascii="Times New Roman" w:hAnsi="Times New Roman"/>
          <w:kern w:val="0"/>
          <w:sz w:val="28"/>
          <w:szCs w:val="24"/>
        </w:rPr>
      </w:pPr>
      <w:r>
        <w:rPr>
          <w:rFonts w:hint="eastAsia" w:ascii="宋体" w:hAnsi="Times New Roman"/>
          <w:b/>
          <w:kern w:val="0"/>
          <w:sz w:val="28"/>
          <w:szCs w:val="24"/>
        </w:rPr>
        <w:t>第二部分  部门决算情况说明</w:t>
      </w:r>
    </w:p>
    <w:p>
      <w:pPr>
        <w:shd w:val="clear" w:color="auto" w:fill="FFFFFF"/>
        <w:autoSpaceDE w:val="0"/>
        <w:autoSpaceDN w:val="0"/>
        <w:adjustRightInd w:val="0"/>
        <w:spacing w:before="100" w:beforeLines="0" w:after="240" w:afterLines="0"/>
        <w:rPr>
          <w:rFonts w:hint="default" w:ascii="Times New Roman" w:hAnsi="Times New Roman"/>
          <w:b/>
          <w:kern w:val="0"/>
          <w:sz w:val="24"/>
          <w:szCs w:val="24"/>
        </w:rPr>
      </w:pPr>
      <w:r>
        <w:rPr>
          <w:rFonts w:hint="eastAsia" w:ascii="宋体" w:hAnsi="Times New Roman"/>
          <w:b/>
          <w:kern w:val="0"/>
          <w:sz w:val="24"/>
          <w:szCs w:val="24"/>
        </w:rPr>
        <w:t>一、部门收支总体情况</w:t>
      </w:r>
    </w:p>
    <w:p>
      <w:pPr>
        <w:shd w:val="clear" w:color="auto" w:fill="FFFFFF"/>
        <w:autoSpaceDE w:val="0"/>
        <w:autoSpaceDN w:val="0"/>
        <w:adjustRightInd w:val="0"/>
        <w:spacing w:before="100" w:beforeLines="0" w:after="240" w:afterLines="0"/>
        <w:rPr>
          <w:rFonts w:hint="default" w:ascii="Times New Roman" w:hAnsi="Times New Roman"/>
          <w:b/>
          <w:kern w:val="0"/>
          <w:sz w:val="24"/>
          <w:szCs w:val="24"/>
        </w:rPr>
      </w:pPr>
      <w:r>
        <w:rPr>
          <w:rFonts w:hint="eastAsia" w:ascii="宋体" w:hAnsi="Times New Roman"/>
          <w:b/>
          <w:kern w:val="0"/>
          <w:sz w:val="24"/>
          <w:szCs w:val="24"/>
        </w:rPr>
        <w:t>(一)部门收入支出决算总体情况说明</w:t>
      </w:r>
    </w:p>
    <w:p>
      <w:pPr>
        <w:autoSpaceDE w:val="0"/>
        <w:autoSpaceDN w:val="0"/>
        <w:adjustRightInd w:val="0"/>
        <w:spacing w:beforeLines="0" w:afterLines="0" w:line="520" w:lineRule="exact"/>
        <w:ind w:firstLine="480"/>
        <w:rPr>
          <w:rFonts w:hint="default" w:ascii="Times New Roman" w:hAnsi="Times New Roman"/>
          <w:kern w:val="0"/>
          <w:sz w:val="24"/>
          <w:szCs w:val="24"/>
        </w:rPr>
      </w:pPr>
      <w:r>
        <w:rPr>
          <w:rFonts w:hint="eastAsia" w:ascii="宋体" w:hAnsi="Times New Roman"/>
          <w:kern w:val="0"/>
          <w:sz w:val="24"/>
          <w:szCs w:val="24"/>
        </w:rPr>
        <w:t>2018年度收入469.87万元，与上年相比，</w:t>
      </w:r>
      <w:r>
        <w:rPr>
          <w:rFonts w:hint="eastAsia" w:ascii="宋体" w:hAnsi="Times New Roman"/>
          <w:color w:val="000000"/>
          <w:kern w:val="0"/>
          <w:sz w:val="24"/>
          <w:szCs w:val="24"/>
        </w:rPr>
        <w:t>减少</w:t>
      </w:r>
      <w:r>
        <w:rPr>
          <w:rFonts w:hint="eastAsia" w:ascii="宋体" w:hAnsi="Times New Roman"/>
          <w:kern w:val="0"/>
          <w:sz w:val="24"/>
          <w:szCs w:val="24"/>
        </w:rPr>
        <w:t>136.78万元，</w:t>
      </w:r>
      <w:r>
        <w:rPr>
          <w:rFonts w:hint="eastAsia" w:ascii="宋体" w:hAnsi="Times New Roman"/>
          <w:color w:val="000000"/>
          <w:kern w:val="0"/>
          <w:sz w:val="24"/>
          <w:szCs w:val="24"/>
        </w:rPr>
        <w:t>降低</w:t>
      </w:r>
      <w:r>
        <w:rPr>
          <w:rFonts w:hint="eastAsia" w:ascii="宋体" w:hAnsi="Times New Roman"/>
          <w:kern w:val="0"/>
          <w:sz w:val="24"/>
          <w:szCs w:val="24"/>
        </w:rPr>
        <w:t>22.55%，增减变化主要原因是其他安</w:t>
      </w:r>
      <w:r>
        <w:rPr>
          <w:rFonts w:hint="eastAsia" w:ascii="宋体" w:hAnsi="Times New Roman"/>
          <w:kern w:val="0"/>
          <w:sz w:val="24"/>
          <w:szCs w:val="24"/>
          <w:lang w:eastAsia="zh-CN"/>
        </w:rPr>
        <w:t>全</w:t>
      </w:r>
      <w:r>
        <w:rPr>
          <w:rFonts w:hint="eastAsia" w:ascii="宋体" w:hAnsi="Times New Roman"/>
          <w:kern w:val="0"/>
          <w:sz w:val="24"/>
          <w:szCs w:val="24"/>
        </w:rPr>
        <w:t>生产监督收入减少140万；支出526.44万元，与上年相比，</w:t>
      </w:r>
      <w:r>
        <w:rPr>
          <w:rFonts w:hint="eastAsia" w:ascii="宋体" w:hAnsi="Times New Roman"/>
          <w:color w:val="000000"/>
          <w:kern w:val="0"/>
          <w:sz w:val="24"/>
          <w:szCs w:val="24"/>
        </w:rPr>
        <w:t>减少</w:t>
      </w:r>
      <w:r>
        <w:rPr>
          <w:rFonts w:hint="eastAsia" w:ascii="宋体" w:hAnsi="Times New Roman"/>
          <w:kern w:val="0"/>
          <w:sz w:val="24"/>
          <w:szCs w:val="24"/>
        </w:rPr>
        <w:t>66.01万元，</w:t>
      </w:r>
      <w:r>
        <w:rPr>
          <w:rFonts w:hint="eastAsia" w:ascii="宋体" w:hAnsi="Times New Roman"/>
          <w:color w:val="000000"/>
          <w:kern w:val="0"/>
          <w:sz w:val="24"/>
          <w:szCs w:val="24"/>
        </w:rPr>
        <w:t>降低</w:t>
      </w:r>
      <w:r>
        <w:rPr>
          <w:rFonts w:hint="eastAsia" w:ascii="宋体" w:hAnsi="Times New Roman"/>
          <w:kern w:val="0"/>
          <w:sz w:val="24"/>
          <w:szCs w:val="24"/>
        </w:rPr>
        <w:t>11.14%，增减变化主要原因是</w:t>
      </w:r>
      <w:r>
        <w:rPr>
          <w:rFonts w:hint="eastAsia" w:ascii="宋体"/>
          <w:kern w:val="0"/>
          <w:sz w:val="24"/>
          <w:szCs w:val="24"/>
        </w:rPr>
        <w:t>机关事业养老保险</w:t>
      </w:r>
      <w:r>
        <w:rPr>
          <w:rFonts w:hint="eastAsia" w:ascii="宋体" w:hAnsi="Times New Roman"/>
          <w:kern w:val="0"/>
          <w:sz w:val="24"/>
          <w:szCs w:val="24"/>
        </w:rPr>
        <w:t>减少34.58万元，其他安</w:t>
      </w:r>
      <w:r>
        <w:rPr>
          <w:rFonts w:hint="eastAsia" w:ascii="宋体" w:hAnsi="Times New Roman"/>
          <w:kern w:val="0"/>
          <w:sz w:val="24"/>
          <w:szCs w:val="24"/>
          <w:lang w:eastAsia="zh-CN"/>
        </w:rPr>
        <w:t>全</w:t>
      </w:r>
      <w:r>
        <w:rPr>
          <w:rFonts w:hint="eastAsia" w:ascii="宋体" w:hAnsi="Times New Roman"/>
          <w:kern w:val="0"/>
          <w:sz w:val="24"/>
          <w:szCs w:val="24"/>
        </w:rPr>
        <w:t>生产监督支出减少56.95万元，访惠聚经费增加29.61万元；结余27.38万元，与上年相比，</w:t>
      </w:r>
      <w:r>
        <w:rPr>
          <w:rFonts w:hint="eastAsia" w:ascii="宋体" w:hAnsi="Times New Roman"/>
          <w:color w:val="000000"/>
          <w:kern w:val="0"/>
          <w:sz w:val="24"/>
          <w:szCs w:val="24"/>
        </w:rPr>
        <w:t>减少</w:t>
      </w:r>
      <w:r>
        <w:rPr>
          <w:rFonts w:hint="eastAsia" w:ascii="宋体" w:hAnsi="Times New Roman"/>
          <w:kern w:val="0"/>
          <w:sz w:val="24"/>
          <w:szCs w:val="24"/>
        </w:rPr>
        <w:t>75.57万元，</w:t>
      </w:r>
      <w:r>
        <w:rPr>
          <w:rFonts w:hint="eastAsia" w:ascii="宋体" w:hAnsi="Times New Roman"/>
          <w:color w:val="000000"/>
          <w:kern w:val="0"/>
          <w:sz w:val="24"/>
          <w:szCs w:val="24"/>
        </w:rPr>
        <w:t>降低</w:t>
      </w:r>
      <w:r>
        <w:rPr>
          <w:rFonts w:hint="eastAsia" w:ascii="宋体" w:hAnsi="Times New Roman"/>
          <w:kern w:val="0"/>
          <w:sz w:val="24"/>
          <w:szCs w:val="24"/>
        </w:rPr>
        <w:t>73.41%，增减变化主要原因是财政局盘活资金，结余减少。</w:t>
      </w:r>
    </w:p>
    <w:p>
      <w:pPr>
        <w:shd w:val="clear" w:color="auto" w:fill="FFFFFF"/>
        <w:autoSpaceDE w:val="0"/>
        <w:autoSpaceDN w:val="0"/>
        <w:adjustRightInd w:val="0"/>
        <w:spacing w:before="100" w:beforeLines="0" w:after="240" w:afterLines="0"/>
        <w:jc w:val="left"/>
        <w:rPr>
          <w:rFonts w:hint="default" w:ascii="Times New Roman" w:hAnsi="Times New Roman"/>
          <w:kern w:val="0"/>
          <w:sz w:val="24"/>
          <w:szCs w:val="24"/>
        </w:rPr>
      </w:pPr>
      <w:r>
        <w:rPr>
          <w:rFonts w:hint="eastAsia" w:ascii="宋体" w:hAnsi="Times New Roman"/>
          <w:b/>
          <w:kern w:val="0"/>
          <w:sz w:val="24"/>
          <w:szCs w:val="24"/>
        </w:rPr>
        <w:t>（二）部门收入总体情况说明</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本年收入合计469.87万元，其中：财政拨款收入469.74万元，占99.97%；上级补助收入</w:t>
      </w:r>
      <w:r>
        <w:rPr>
          <w:rFonts w:hint="default" w:ascii="宋体" w:hAnsi="Times New Roman"/>
          <w:kern w:val="0"/>
          <w:sz w:val="24"/>
          <w:szCs w:val="24"/>
        </w:rPr>
        <w:t>0</w:t>
      </w:r>
      <w:r>
        <w:rPr>
          <w:rFonts w:hint="eastAsia" w:ascii="宋体" w:hAnsi="Times New Roman"/>
          <w:kern w:val="0"/>
          <w:sz w:val="24"/>
          <w:szCs w:val="24"/>
        </w:rPr>
        <w:t>万元，占0%；事业收入</w:t>
      </w:r>
      <w:r>
        <w:rPr>
          <w:rFonts w:hint="default" w:ascii="宋体" w:hAnsi="Times New Roman"/>
          <w:kern w:val="0"/>
          <w:sz w:val="24"/>
          <w:szCs w:val="24"/>
        </w:rPr>
        <w:t>0</w:t>
      </w:r>
      <w:r>
        <w:rPr>
          <w:rFonts w:hint="eastAsia" w:ascii="宋体" w:hAnsi="Times New Roman"/>
          <w:kern w:val="0"/>
          <w:sz w:val="24"/>
          <w:szCs w:val="24"/>
        </w:rPr>
        <w:t>万元，占0%；经营收入</w:t>
      </w:r>
      <w:r>
        <w:rPr>
          <w:rFonts w:hint="default" w:ascii="宋体" w:hAnsi="Times New Roman"/>
          <w:kern w:val="0"/>
          <w:sz w:val="24"/>
          <w:szCs w:val="24"/>
        </w:rPr>
        <w:t>0</w:t>
      </w:r>
      <w:r>
        <w:rPr>
          <w:rFonts w:hint="eastAsia" w:ascii="宋体" w:hAnsi="Times New Roman"/>
          <w:kern w:val="0"/>
          <w:sz w:val="24"/>
          <w:szCs w:val="24"/>
        </w:rPr>
        <w:t>万元，占0%；附属单位缴款</w:t>
      </w:r>
      <w:r>
        <w:rPr>
          <w:rFonts w:hint="default" w:ascii="宋体" w:hAnsi="Times New Roman"/>
          <w:kern w:val="0"/>
          <w:sz w:val="24"/>
          <w:szCs w:val="24"/>
        </w:rPr>
        <w:t>0</w:t>
      </w:r>
      <w:r>
        <w:rPr>
          <w:rFonts w:hint="eastAsia" w:ascii="宋体" w:hAnsi="Times New Roman"/>
          <w:kern w:val="0"/>
          <w:sz w:val="24"/>
          <w:szCs w:val="24"/>
        </w:rPr>
        <w:t>万元，占0%；其他收入0.13万元，占0.03%。</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与年初预算数相比情况：本年收入年初预算数532.19万元，决算数469.87万元，预决算差异对比，减少62.32万元，降低11.71%，差异主要原因是安全生产及各类宣传等专项经费减少127.15万元，增加8个消防临聘人员，28个专职安全员经费59.27万元。</w:t>
      </w:r>
    </w:p>
    <w:p>
      <w:pPr>
        <w:shd w:val="clear" w:color="auto" w:fill="FFFFFF"/>
        <w:autoSpaceDE w:val="0"/>
        <w:autoSpaceDN w:val="0"/>
        <w:adjustRightInd w:val="0"/>
        <w:spacing w:before="100" w:beforeLines="0" w:after="240" w:afterLines="0"/>
        <w:jc w:val="left"/>
        <w:rPr>
          <w:rFonts w:hint="default" w:ascii="Times New Roman" w:hAnsi="Times New Roman"/>
          <w:kern w:val="0"/>
          <w:sz w:val="24"/>
          <w:szCs w:val="24"/>
        </w:rPr>
      </w:pPr>
      <w:r>
        <w:rPr>
          <w:rFonts w:hint="eastAsia" w:ascii="宋体" w:hAnsi="Times New Roman"/>
          <w:b/>
          <w:kern w:val="0"/>
          <w:sz w:val="24"/>
          <w:szCs w:val="24"/>
        </w:rPr>
        <w:t>（三）部门支出总体情况说明</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本年支出合计526.44万元，其中，基本支出226.13万元，占42.95%；项目支出300.31万元</w:t>
      </w:r>
      <w:r>
        <w:rPr>
          <w:rFonts w:hint="default" w:ascii="宋体" w:hAnsi="Times New Roman"/>
          <w:kern w:val="0"/>
          <w:sz w:val="24"/>
          <w:szCs w:val="24"/>
        </w:rPr>
        <w:t>,</w:t>
      </w:r>
      <w:r>
        <w:rPr>
          <w:rFonts w:hint="eastAsia" w:ascii="宋体" w:hAnsi="Times New Roman"/>
          <w:kern w:val="0"/>
          <w:sz w:val="24"/>
          <w:szCs w:val="24"/>
        </w:rPr>
        <w:t>占57.05%；上缴上级支出</w:t>
      </w:r>
      <w:r>
        <w:rPr>
          <w:rFonts w:hint="default" w:ascii="宋体" w:hAnsi="Times New Roman"/>
          <w:kern w:val="0"/>
          <w:sz w:val="24"/>
          <w:szCs w:val="24"/>
        </w:rPr>
        <w:t>0</w:t>
      </w:r>
      <w:r>
        <w:rPr>
          <w:rFonts w:hint="eastAsia" w:ascii="宋体" w:hAnsi="Times New Roman"/>
          <w:kern w:val="0"/>
          <w:sz w:val="24"/>
          <w:szCs w:val="24"/>
        </w:rPr>
        <w:t>万元，占0%；经营支出</w:t>
      </w:r>
      <w:r>
        <w:rPr>
          <w:rFonts w:hint="default" w:ascii="宋体" w:hAnsi="Times New Roman"/>
          <w:kern w:val="0"/>
          <w:sz w:val="24"/>
          <w:szCs w:val="24"/>
        </w:rPr>
        <w:t>0</w:t>
      </w:r>
      <w:r>
        <w:rPr>
          <w:rFonts w:hint="eastAsia" w:ascii="宋体" w:hAnsi="Times New Roman"/>
          <w:kern w:val="0"/>
          <w:sz w:val="24"/>
          <w:szCs w:val="24"/>
        </w:rPr>
        <w:t>万元，占0%；对附属单位补助支出</w:t>
      </w:r>
      <w:r>
        <w:rPr>
          <w:rFonts w:hint="default" w:ascii="宋体" w:hAnsi="Times New Roman"/>
          <w:kern w:val="0"/>
          <w:sz w:val="24"/>
          <w:szCs w:val="24"/>
        </w:rPr>
        <w:t>0</w:t>
      </w:r>
      <w:r>
        <w:rPr>
          <w:rFonts w:hint="eastAsia" w:ascii="宋体" w:hAnsi="Times New Roman"/>
          <w:kern w:val="0"/>
          <w:sz w:val="24"/>
          <w:szCs w:val="24"/>
        </w:rPr>
        <w:t>万元，占0%。</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与年初预算数相比情况：本年支出年初预算数534.19万元，决算数526.44万元，预决算差异对比，减少7.75万元，降低1.45%，差异主要原因是安全生产及各类宣传专项经费减少127.15万元，增加奖励金经费8万元、安全生产专项资金8.98万元、安全、消防员临聘人员经费59.27万元、访惠聚经费增加29.61万元、代理记账费2万元。</w:t>
      </w:r>
    </w:p>
    <w:p>
      <w:pPr>
        <w:shd w:val="clear" w:color="auto" w:fill="FFFFFF"/>
        <w:autoSpaceDE w:val="0"/>
        <w:autoSpaceDN w:val="0"/>
        <w:adjustRightInd w:val="0"/>
        <w:spacing w:before="100" w:beforeLines="0" w:after="240" w:afterLines="0"/>
        <w:jc w:val="left"/>
        <w:rPr>
          <w:rFonts w:hint="default" w:ascii="Times New Roman" w:hAnsi="Times New Roman"/>
          <w:b/>
          <w:kern w:val="0"/>
          <w:sz w:val="24"/>
          <w:szCs w:val="24"/>
        </w:rPr>
      </w:pPr>
      <w:r>
        <w:rPr>
          <w:rFonts w:hint="eastAsia" w:ascii="宋体" w:hAnsi="Times New Roman"/>
          <w:b/>
          <w:kern w:val="0"/>
          <w:sz w:val="24"/>
          <w:szCs w:val="24"/>
        </w:rPr>
        <w:t>二、部门财政拨款收支情况</w:t>
      </w:r>
    </w:p>
    <w:p>
      <w:pPr>
        <w:shd w:val="clear" w:color="auto" w:fill="FFFFFF"/>
        <w:autoSpaceDE w:val="0"/>
        <w:autoSpaceDN w:val="0"/>
        <w:adjustRightInd w:val="0"/>
        <w:spacing w:before="100" w:beforeLines="0" w:after="240" w:afterLines="0"/>
        <w:jc w:val="left"/>
        <w:rPr>
          <w:rFonts w:hint="default" w:ascii="Times New Roman" w:hAnsi="Times New Roman"/>
          <w:b/>
          <w:kern w:val="0"/>
          <w:sz w:val="24"/>
          <w:szCs w:val="24"/>
        </w:rPr>
      </w:pPr>
      <w:r>
        <w:rPr>
          <w:rFonts w:hint="eastAsia" w:ascii="宋体" w:hAnsi="Times New Roman"/>
          <w:b/>
          <w:kern w:val="0"/>
          <w:sz w:val="24"/>
          <w:szCs w:val="24"/>
        </w:rPr>
        <w:t>（一）财政拨款收支总体情况说明</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2018年度财政拨款收入469.74万元，与上年相比，减少136.27万元，降低22.49%，增减变化主要原因是2080505款养老金经费收入减少34.58万元，2080208款访惠聚经费增加15.05万，2150601款增加2.34万元，2150605款安全专项资金、17年度考核奖励金及安全生产网格化会议费经费增加20万元，2150699款减少安全事故专项调查及专项整治326.81万元，安全生产及各类宣传经费增加172.85万元。财政拨款支出521.93万元，与上年相比，减少66.23万元，降低11.26%，增减变化主要原因是机关事业养老保险减少34.58万元，其他</w:t>
      </w:r>
      <w:bookmarkStart w:id="0" w:name="_GoBack"/>
      <w:bookmarkEnd w:id="0"/>
      <w:r>
        <w:rPr>
          <w:rFonts w:hint="eastAsia" w:ascii="宋体" w:hAnsi="Times New Roman"/>
          <w:kern w:val="0"/>
          <w:sz w:val="24"/>
          <w:szCs w:val="24"/>
          <w:lang w:eastAsia="zh-CN"/>
        </w:rPr>
        <w:t>安全生产</w:t>
      </w:r>
      <w:r>
        <w:rPr>
          <w:rFonts w:hint="eastAsia" w:ascii="宋体" w:hAnsi="Times New Roman"/>
          <w:kern w:val="0"/>
          <w:sz w:val="24"/>
          <w:szCs w:val="24"/>
        </w:rPr>
        <w:t>监督支出减少56.95万元，访惠聚经费增加29.61万元。其中：基本支出221.62万元，项目支出300.31万元。财政拨款结转结余15.44万元，与上年相比，减少71.19万元，降低82.17%，增减变化主要原因是财政局盘活资金，结余减少。</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与年初预算数相比情况:财政拨款收入年初预算数532.19万元</w:t>
      </w:r>
      <w:r>
        <w:rPr>
          <w:rFonts w:hint="default" w:ascii="宋体" w:hAnsi="Times New Roman"/>
          <w:kern w:val="0"/>
          <w:sz w:val="24"/>
          <w:szCs w:val="24"/>
        </w:rPr>
        <w:t>,</w:t>
      </w:r>
      <w:r>
        <w:rPr>
          <w:rFonts w:hint="eastAsia" w:ascii="宋体" w:hAnsi="Times New Roman"/>
          <w:kern w:val="0"/>
          <w:sz w:val="24"/>
          <w:szCs w:val="24"/>
        </w:rPr>
        <w:t>决算数469.74万元，预决算差异对比，减少62.45万元，降低11.74%，差异主要原因是安全生产及各类宣传等专项经费减少127.15万元，增加8个消防临聘人员，28个专职安全员经费59.27万元。财政拨款支出年初预算数534.19万元，决算数521.93万元，预决算差异对比，减少12.26万元，降低2.3%，差异主要原因是访惠聚经费增加39.47万元，安全生产及各类宣传专项经费减少52.19万元。</w:t>
      </w:r>
    </w:p>
    <w:p>
      <w:pPr>
        <w:shd w:val="clear" w:color="auto" w:fill="FFFFFF"/>
        <w:autoSpaceDE w:val="0"/>
        <w:autoSpaceDN w:val="0"/>
        <w:adjustRightInd w:val="0"/>
        <w:spacing w:before="100" w:beforeLines="0" w:after="240" w:afterLines="0"/>
        <w:jc w:val="left"/>
        <w:rPr>
          <w:rFonts w:hint="default" w:ascii="Times New Roman" w:hAnsi="Times New Roman"/>
          <w:b/>
          <w:kern w:val="0"/>
          <w:sz w:val="24"/>
          <w:szCs w:val="24"/>
        </w:rPr>
      </w:pPr>
      <w:r>
        <w:rPr>
          <w:rFonts w:hint="eastAsia" w:ascii="宋体" w:hAnsi="Times New Roman"/>
          <w:b/>
          <w:kern w:val="0"/>
          <w:sz w:val="24"/>
          <w:szCs w:val="24"/>
        </w:rPr>
        <w:t>（二）一般公共预算收支决算情况说明</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2018年度一般公共预算财政拨款收入469.74万元，与上年相比，减少136.27万元，降低22.49%，增减变化主要原因是2080505款养老金经费收入减少34.58万元，2080208款访惠聚经费增加15.05万，2150601款增加2.34万元，2150605款安全专项资金、17年度考核奖励金及安全生产网格化会议费经费增加20万元， 2150699款减少安全事故专项调查及专项整治326.81万元，安全生产及各类宣传经费增加172.85万元。一般公共预算财政拨款支出521.93万元，与上年相比，减少66.23万元，降低11.26%，增减变化主要原因是安全生产及各类宣传等专项经费减少127.15万元，增加8个消防临聘人员，28个专职安全员经费59.27万元。其中：按功能分类科目。2080208基层政权和社区建设支出39.47万元，2080505机关事业单位基本养老保险缴费支出19.24万元，2150601行政运行支出202.38万元，2150605安全监管监察专项支出16.98万元，2150699其他安全生产监管支出240.62万元，2299901其他支出3.24万元。按经济分类科目，工资福利支出166.76万元，商品和服务支出288.6万元</w:t>
      </w:r>
      <w:r>
        <w:rPr>
          <w:rFonts w:hint="default" w:ascii="宋体" w:hAnsi="Times New Roman"/>
          <w:kern w:val="0"/>
          <w:sz w:val="24"/>
          <w:szCs w:val="24"/>
        </w:rPr>
        <w:t>,</w:t>
      </w:r>
      <w:r>
        <w:rPr>
          <w:rFonts w:hint="eastAsia" w:ascii="宋体" w:hAnsi="Times New Roman"/>
          <w:kern w:val="0"/>
          <w:sz w:val="24"/>
          <w:szCs w:val="24"/>
        </w:rPr>
        <w:t>对个人和家庭的补助66.57万元</w:t>
      </w:r>
      <w:r>
        <w:rPr>
          <w:rFonts w:hint="default" w:ascii="宋体" w:hAnsi="Times New Roman"/>
          <w:kern w:val="0"/>
          <w:sz w:val="24"/>
          <w:szCs w:val="24"/>
        </w:rPr>
        <w:t>,</w:t>
      </w:r>
      <w:r>
        <w:rPr>
          <w:rFonts w:hint="eastAsia" w:ascii="宋体" w:hAnsi="Times New Roman"/>
          <w:kern w:val="0"/>
          <w:sz w:val="24"/>
          <w:szCs w:val="24"/>
        </w:rPr>
        <w:t>债务利息及费用支出</w:t>
      </w:r>
      <w:r>
        <w:rPr>
          <w:rFonts w:hint="default" w:ascii="宋体" w:hAnsi="Times New Roman"/>
          <w:kern w:val="0"/>
          <w:sz w:val="24"/>
          <w:szCs w:val="24"/>
        </w:rPr>
        <w:t>0</w:t>
      </w:r>
      <w:r>
        <w:rPr>
          <w:rFonts w:hint="eastAsia" w:ascii="宋体" w:hAnsi="Times New Roman"/>
          <w:kern w:val="0"/>
          <w:sz w:val="24"/>
          <w:szCs w:val="24"/>
        </w:rPr>
        <w:t>万元</w:t>
      </w:r>
      <w:r>
        <w:rPr>
          <w:rFonts w:hint="default" w:ascii="宋体" w:hAnsi="Times New Roman"/>
          <w:kern w:val="0"/>
          <w:sz w:val="24"/>
          <w:szCs w:val="24"/>
        </w:rPr>
        <w:t>,</w:t>
      </w:r>
      <w:r>
        <w:rPr>
          <w:rFonts w:hint="eastAsia" w:ascii="宋体" w:hAnsi="Times New Roman"/>
          <w:kern w:val="0"/>
          <w:sz w:val="24"/>
          <w:szCs w:val="24"/>
        </w:rPr>
        <w:t>资本性支出（基本建设）</w:t>
      </w:r>
      <w:r>
        <w:rPr>
          <w:rFonts w:hint="default" w:ascii="宋体" w:hAnsi="Times New Roman"/>
          <w:kern w:val="0"/>
          <w:sz w:val="24"/>
          <w:szCs w:val="24"/>
        </w:rPr>
        <w:t>0</w:t>
      </w:r>
      <w:r>
        <w:rPr>
          <w:rFonts w:hint="eastAsia" w:ascii="宋体" w:hAnsi="Times New Roman"/>
          <w:kern w:val="0"/>
          <w:sz w:val="24"/>
          <w:szCs w:val="24"/>
        </w:rPr>
        <w:t>万元</w:t>
      </w:r>
      <w:r>
        <w:rPr>
          <w:rFonts w:hint="default" w:ascii="宋体" w:hAnsi="Times New Roman"/>
          <w:kern w:val="0"/>
          <w:sz w:val="24"/>
          <w:szCs w:val="24"/>
        </w:rPr>
        <w:t>,</w:t>
      </w:r>
      <w:r>
        <w:rPr>
          <w:rFonts w:hint="eastAsia" w:ascii="宋体" w:hAnsi="Times New Roman"/>
          <w:kern w:val="0"/>
          <w:sz w:val="24"/>
          <w:szCs w:val="24"/>
        </w:rPr>
        <w:t>资本性支出</w:t>
      </w:r>
      <w:r>
        <w:rPr>
          <w:rFonts w:hint="default" w:ascii="宋体" w:hAnsi="Times New Roman"/>
          <w:kern w:val="0"/>
          <w:sz w:val="24"/>
          <w:szCs w:val="24"/>
        </w:rPr>
        <w:t>0</w:t>
      </w:r>
      <w:r>
        <w:rPr>
          <w:rFonts w:hint="eastAsia" w:ascii="宋体" w:hAnsi="Times New Roman"/>
          <w:kern w:val="0"/>
          <w:sz w:val="24"/>
          <w:szCs w:val="24"/>
        </w:rPr>
        <w:t>万元</w:t>
      </w:r>
      <w:r>
        <w:rPr>
          <w:rFonts w:hint="default" w:ascii="宋体" w:hAnsi="Times New Roman"/>
          <w:kern w:val="0"/>
          <w:sz w:val="24"/>
          <w:szCs w:val="24"/>
        </w:rPr>
        <w:t>,</w:t>
      </w:r>
      <w:r>
        <w:rPr>
          <w:rFonts w:hint="eastAsia" w:ascii="宋体" w:hAnsi="Times New Roman"/>
          <w:kern w:val="0"/>
          <w:sz w:val="24"/>
          <w:szCs w:val="24"/>
        </w:rPr>
        <w:t>对企业补助（基本建设）</w:t>
      </w:r>
      <w:r>
        <w:rPr>
          <w:rFonts w:hint="default" w:ascii="宋体" w:hAnsi="Times New Roman"/>
          <w:kern w:val="0"/>
          <w:sz w:val="24"/>
          <w:szCs w:val="24"/>
        </w:rPr>
        <w:t>0</w:t>
      </w:r>
      <w:r>
        <w:rPr>
          <w:rFonts w:hint="eastAsia" w:ascii="宋体" w:hAnsi="Times New Roman"/>
          <w:kern w:val="0"/>
          <w:sz w:val="24"/>
          <w:szCs w:val="24"/>
        </w:rPr>
        <w:t>万元</w:t>
      </w:r>
      <w:r>
        <w:rPr>
          <w:rFonts w:hint="default" w:ascii="宋体" w:hAnsi="Times New Roman"/>
          <w:kern w:val="0"/>
          <w:sz w:val="24"/>
          <w:szCs w:val="24"/>
        </w:rPr>
        <w:t>,</w:t>
      </w:r>
      <w:r>
        <w:rPr>
          <w:rFonts w:hint="eastAsia" w:ascii="宋体" w:hAnsi="Times New Roman"/>
          <w:kern w:val="0"/>
          <w:sz w:val="24"/>
          <w:szCs w:val="24"/>
        </w:rPr>
        <w:t>对企业补助</w:t>
      </w:r>
      <w:r>
        <w:rPr>
          <w:rFonts w:hint="default" w:ascii="宋体" w:hAnsi="Times New Roman"/>
          <w:kern w:val="0"/>
          <w:sz w:val="24"/>
          <w:szCs w:val="24"/>
        </w:rPr>
        <w:t>0</w:t>
      </w:r>
      <w:r>
        <w:rPr>
          <w:rFonts w:hint="eastAsia" w:ascii="宋体" w:hAnsi="Times New Roman"/>
          <w:kern w:val="0"/>
          <w:sz w:val="24"/>
          <w:szCs w:val="24"/>
        </w:rPr>
        <w:t>万元，对社会保障基金补助</w:t>
      </w:r>
      <w:r>
        <w:rPr>
          <w:rFonts w:hint="default" w:ascii="宋体" w:hAnsi="Times New Roman"/>
          <w:kern w:val="0"/>
          <w:sz w:val="24"/>
          <w:szCs w:val="24"/>
        </w:rPr>
        <w:t>0</w:t>
      </w:r>
      <w:r>
        <w:rPr>
          <w:rFonts w:hint="eastAsia" w:ascii="宋体" w:hAnsi="Times New Roman"/>
          <w:kern w:val="0"/>
          <w:sz w:val="24"/>
          <w:szCs w:val="24"/>
        </w:rPr>
        <w:t>万元</w:t>
      </w:r>
      <w:r>
        <w:rPr>
          <w:rFonts w:hint="default" w:ascii="宋体" w:hAnsi="Times New Roman"/>
          <w:kern w:val="0"/>
          <w:sz w:val="24"/>
          <w:szCs w:val="24"/>
        </w:rPr>
        <w:t>,</w:t>
      </w:r>
      <w:r>
        <w:rPr>
          <w:rFonts w:hint="eastAsia" w:ascii="宋体" w:hAnsi="Times New Roman"/>
          <w:kern w:val="0"/>
          <w:sz w:val="24"/>
          <w:szCs w:val="24"/>
        </w:rPr>
        <w:t>其他支出</w:t>
      </w:r>
      <w:r>
        <w:rPr>
          <w:rFonts w:hint="default" w:ascii="宋体" w:hAnsi="Times New Roman"/>
          <w:kern w:val="0"/>
          <w:sz w:val="24"/>
          <w:szCs w:val="24"/>
        </w:rPr>
        <w:t>0</w:t>
      </w:r>
      <w:r>
        <w:rPr>
          <w:rFonts w:hint="eastAsia" w:ascii="宋体" w:hAnsi="Times New Roman"/>
          <w:kern w:val="0"/>
          <w:sz w:val="24"/>
          <w:szCs w:val="24"/>
        </w:rPr>
        <w:t>万元。</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与年初预算数相比情况:一般公共预算财政拨款收入年初预算数532.19万元，决算数469.74万元，预决算差异对比，减少62.45万元，降低11.74%，差异主要原因是安全生产及各类宣传等专项经费减少127.15万元，增加8个消防临聘人员，28个专职安全员经费59.27万元。一般公共预算财政拨款支出年初预算数534.19万元，决算数521.93万元，预决算差异对比，减少12.26万元，降低2.3%，差异主要原因是访惠聚经费增加39.47万元，安全生产及各类宣传专项经费减少52.19万元。</w:t>
      </w:r>
    </w:p>
    <w:p>
      <w:pPr>
        <w:shd w:val="clear" w:color="auto" w:fill="FFFFFF"/>
        <w:autoSpaceDE w:val="0"/>
        <w:autoSpaceDN w:val="0"/>
        <w:adjustRightInd w:val="0"/>
        <w:spacing w:before="100" w:beforeLines="0" w:after="240" w:afterLines="0"/>
        <w:jc w:val="left"/>
        <w:rPr>
          <w:rFonts w:hint="default" w:ascii="Times New Roman" w:hAnsi="Times New Roman"/>
          <w:b/>
          <w:kern w:val="0"/>
          <w:sz w:val="24"/>
          <w:szCs w:val="24"/>
        </w:rPr>
      </w:pPr>
      <w:r>
        <w:rPr>
          <w:rFonts w:hint="eastAsia" w:ascii="宋体" w:hAnsi="Times New Roman"/>
          <w:b/>
          <w:kern w:val="0"/>
          <w:sz w:val="24"/>
          <w:szCs w:val="24"/>
        </w:rPr>
        <w:t>（三）政府性基金预算收支决算情况说明</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2018年度政府性基金预算财政拨款收入</w:t>
      </w:r>
      <w:r>
        <w:rPr>
          <w:rFonts w:hint="default" w:ascii="宋体" w:hAnsi="Times New Roman"/>
          <w:kern w:val="0"/>
          <w:sz w:val="24"/>
          <w:szCs w:val="24"/>
        </w:rPr>
        <w:t>0</w:t>
      </w:r>
      <w:r>
        <w:rPr>
          <w:rFonts w:hint="eastAsia" w:ascii="宋体" w:hAnsi="Times New Roman"/>
          <w:kern w:val="0"/>
          <w:sz w:val="24"/>
          <w:szCs w:val="24"/>
        </w:rPr>
        <w:t>万元，与上年相比，增加</w:t>
      </w:r>
      <w:r>
        <w:rPr>
          <w:rFonts w:hint="default" w:ascii="宋体" w:hAnsi="Times New Roman"/>
          <w:kern w:val="0"/>
          <w:sz w:val="24"/>
          <w:szCs w:val="24"/>
        </w:rPr>
        <w:t>0</w:t>
      </w:r>
      <w:r>
        <w:rPr>
          <w:rFonts w:hint="eastAsia" w:ascii="宋体" w:hAnsi="Times New Roman"/>
          <w:kern w:val="0"/>
          <w:sz w:val="24"/>
          <w:szCs w:val="24"/>
        </w:rPr>
        <w:t>万元，增长0%，增减变化的主要原因是本单位无此情况。政府性基金预算财政拨款支出</w:t>
      </w:r>
      <w:r>
        <w:rPr>
          <w:rFonts w:hint="default" w:ascii="宋体" w:hAnsi="Times New Roman"/>
          <w:kern w:val="0"/>
          <w:sz w:val="24"/>
          <w:szCs w:val="24"/>
        </w:rPr>
        <w:t>0</w:t>
      </w:r>
      <w:r>
        <w:rPr>
          <w:rFonts w:hint="eastAsia" w:ascii="宋体" w:hAnsi="Times New Roman"/>
          <w:kern w:val="0"/>
          <w:sz w:val="24"/>
          <w:szCs w:val="24"/>
        </w:rPr>
        <w:t>万元，与上年相比，增加</w:t>
      </w:r>
      <w:r>
        <w:rPr>
          <w:rFonts w:hint="default" w:ascii="宋体" w:hAnsi="Times New Roman"/>
          <w:kern w:val="0"/>
          <w:sz w:val="24"/>
          <w:szCs w:val="24"/>
        </w:rPr>
        <w:t>0</w:t>
      </w:r>
      <w:r>
        <w:rPr>
          <w:rFonts w:hint="eastAsia" w:ascii="宋体" w:hAnsi="Times New Roman"/>
          <w:kern w:val="0"/>
          <w:sz w:val="24"/>
          <w:szCs w:val="24"/>
        </w:rPr>
        <w:t>万元，增长0%，增减变化的主要原因是本单位无此情况。其中：按功能分类科目。</w:t>
      </w:r>
      <w:r>
        <w:rPr>
          <w:rFonts w:hint="default" w:ascii="宋体" w:hAnsi="Times New Roman"/>
          <w:kern w:val="0"/>
          <w:sz w:val="24"/>
          <w:szCs w:val="24"/>
        </w:rPr>
        <w:t>0</w:t>
      </w:r>
      <w:r>
        <w:rPr>
          <w:rFonts w:hint="eastAsia" w:ascii="宋体" w:hAnsi="Times New Roman"/>
          <w:kern w:val="0"/>
          <w:sz w:val="24"/>
          <w:szCs w:val="24"/>
        </w:rPr>
        <w:t>支出</w:t>
      </w:r>
      <w:r>
        <w:rPr>
          <w:rFonts w:hint="default" w:ascii="宋体" w:hAnsi="Times New Roman"/>
          <w:kern w:val="0"/>
          <w:sz w:val="24"/>
          <w:szCs w:val="24"/>
        </w:rPr>
        <w:t>0</w:t>
      </w:r>
      <w:r>
        <w:rPr>
          <w:rFonts w:hint="eastAsia" w:ascii="宋体" w:hAnsi="Times New Roman"/>
          <w:kern w:val="0"/>
          <w:sz w:val="24"/>
          <w:szCs w:val="24"/>
        </w:rPr>
        <w:t>万元。按经济分类科目，工资福利支出</w:t>
      </w:r>
      <w:r>
        <w:rPr>
          <w:rFonts w:hint="default" w:ascii="宋体" w:hAnsi="Times New Roman"/>
          <w:kern w:val="0"/>
          <w:sz w:val="24"/>
          <w:szCs w:val="24"/>
        </w:rPr>
        <w:t>0</w:t>
      </w:r>
      <w:r>
        <w:rPr>
          <w:rFonts w:hint="eastAsia" w:ascii="宋体" w:hAnsi="Times New Roman"/>
          <w:kern w:val="0"/>
          <w:sz w:val="24"/>
          <w:szCs w:val="24"/>
        </w:rPr>
        <w:t>万元，商品和服务支出</w:t>
      </w:r>
      <w:r>
        <w:rPr>
          <w:rFonts w:hint="default" w:ascii="宋体" w:hAnsi="Times New Roman"/>
          <w:kern w:val="0"/>
          <w:sz w:val="24"/>
          <w:szCs w:val="24"/>
        </w:rPr>
        <w:t>0</w:t>
      </w:r>
      <w:r>
        <w:rPr>
          <w:rFonts w:hint="eastAsia" w:ascii="宋体" w:hAnsi="Times New Roman"/>
          <w:kern w:val="0"/>
          <w:sz w:val="24"/>
          <w:szCs w:val="24"/>
        </w:rPr>
        <w:t>万元</w:t>
      </w:r>
      <w:r>
        <w:rPr>
          <w:rFonts w:hint="default" w:ascii="宋体" w:hAnsi="Times New Roman"/>
          <w:kern w:val="0"/>
          <w:sz w:val="24"/>
          <w:szCs w:val="24"/>
        </w:rPr>
        <w:t>,</w:t>
      </w:r>
      <w:r>
        <w:rPr>
          <w:rFonts w:hint="eastAsia" w:ascii="宋体" w:hAnsi="Times New Roman"/>
          <w:kern w:val="0"/>
          <w:sz w:val="24"/>
          <w:szCs w:val="24"/>
        </w:rPr>
        <w:t>对个人和家庭的补助</w:t>
      </w:r>
      <w:r>
        <w:rPr>
          <w:rFonts w:hint="default" w:ascii="宋体" w:hAnsi="Times New Roman"/>
          <w:kern w:val="0"/>
          <w:sz w:val="24"/>
          <w:szCs w:val="24"/>
        </w:rPr>
        <w:t>0</w:t>
      </w:r>
      <w:r>
        <w:rPr>
          <w:rFonts w:hint="eastAsia" w:ascii="宋体" w:hAnsi="Times New Roman"/>
          <w:kern w:val="0"/>
          <w:sz w:val="24"/>
          <w:szCs w:val="24"/>
        </w:rPr>
        <w:t>万元</w:t>
      </w:r>
      <w:r>
        <w:rPr>
          <w:rFonts w:hint="default" w:ascii="宋体" w:hAnsi="Times New Roman"/>
          <w:kern w:val="0"/>
          <w:sz w:val="24"/>
          <w:szCs w:val="24"/>
        </w:rPr>
        <w:t>,</w:t>
      </w:r>
      <w:r>
        <w:rPr>
          <w:rFonts w:hint="eastAsia" w:ascii="宋体" w:hAnsi="Times New Roman"/>
          <w:kern w:val="0"/>
          <w:sz w:val="24"/>
          <w:szCs w:val="24"/>
        </w:rPr>
        <w:t>债务利息及费用支出</w:t>
      </w:r>
      <w:r>
        <w:rPr>
          <w:rFonts w:hint="default" w:ascii="宋体" w:hAnsi="Times New Roman"/>
          <w:kern w:val="0"/>
          <w:sz w:val="24"/>
          <w:szCs w:val="24"/>
        </w:rPr>
        <w:t>0</w:t>
      </w:r>
      <w:r>
        <w:rPr>
          <w:rFonts w:hint="eastAsia" w:ascii="宋体" w:hAnsi="Times New Roman"/>
          <w:kern w:val="0"/>
          <w:sz w:val="24"/>
          <w:szCs w:val="24"/>
        </w:rPr>
        <w:t>万元</w:t>
      </w:r>
      <w:r>
        <w:rPr>
          <w:rFonts w:hint="default" w:ascii="宋体" w:hAnsi="Times New Roman"/>
          <w:kern w:val="0"/>
          <w:sz w:val="24"/>
          <w:szCs w:val="24"/>
        </w:rPr>
        <w:t>,</w:t>
      </w:r>
      <w:r>
        <w:rPr>
          <w:rFonts w:hint="eastAsia" w:ascii="宋体" w:hAnsi="Times New Roman"/>
          <w:kern w:val="0"/>
          <w:sz w:val="24"/>
          <w:szCs w:val="24"/>
        </w:rPr>
        <w:t>资本性支出（基本建设）</w:t>
      </w:r>
      <w:r>
        <w:rPr>
          <w:rFonts w:hint="default" w:ascii="宋体" w:hAnsi="Times New Roman"/>
          <w:kern w:val="0"/>
          <w:sz w:val="24"/>
          <w:szCs w:val="24"/>
        </w:rPr>
        <w:t>0</w:t>
      </w:r>
      <w:r>
        <w:rPr>
          <w:rFonts w:hint="eastAsia" w:ascii="宋体" w:hAnsi="Times New Roman"/>
          <w:kern w:val="0"/>
          <w:sz w:val="24"/>
          <w:szCs w:val="24"/>
        </w:rPr>
        <w:t>万元</w:t>
      </w:r>
      <w:r>
        <w:rPr>
          <w:rFonts w:hint="default" w:ascii="宋体" w:hAnsi="Times New Roman"/>
          <w:kern w:val="0"/>
          <w:sz w:val="24"/>
          <w:szCs w:val="24"/>
        </w:rPr>
        <w:t>,</w:t>
      </w:r>
      <w:r>
        <w:rPr>
          <w:rFonts w:hint="eastAsia" w:ascii="宋体" w:hAnsi="Times New Roman"/>
          <w:kern w:val="0"/>
          <w:sz w:val="24"/>
          <w:szCs w:val="24"/>
        </w:rPr>
        <w:t>资本性支出</w:t>
      </w:r>
      <w:r>
        <w:rPr>
          <w:rFonts w:hint="default" w:ascii="宋体" w:hAnsi="Times New Roman"/>
          <w:kern w:val="0"/>
          <w:sz w:val="24"/>
          <w:szCs w:val="24"/>
        </w:rPr>
        <w:t>0</w:t>
      </w:r>
      <w:r>
        <w:rPr>
          <w:rFonts w:hint="eastAsia" w:ascii="宋体" w:hAnsi="Times New Roman"/>
          <w:kern w:val="0"/>
          <w:sz w:val="24"/>
          <w:szCs w:val="24"/>
        </w:rPr>
        <w:t>万元</w:t>
      </w:r>
      <w:r>
        <w:rPr>
          <w:rFonts w:hint="default" w:ascii="宋体" w:hAnsi="Times New Roman"/>
          <w:kern w:val="0"/>
          <w:sz w:val="24"/>
          <w:szCs w:val="24"/>
        </w:rPr>
        <w:t>,</w:t>
      </w:r>
      <w:r>
        <w:rPr>
          <w:rFonts w:hint="eastAsia" w:ascii="宋体" w:hAnsi="Times New Roman"/>
          <w:kern w:val="0"/>
          <w:sz w:val="24"/>
          <w:szCs w:val="24"/>
        </w:rPr>
        <w:t>对企业补助（基本建设）</w:t>
      </w:r>
      <w:r>
        <w:rPr>
          <w:rFonts w:hint="default" w:ascii="宋体" w:hAnsi="Times New Roman"/>
          <w:kern w:val="0"/>
          <w:sz w:val="24"/>
          <w:szCs w:val="24"/>
        </w:rPr>
        <w:t>0</w:t>
      </w:r>
      <w:r>
        <w:rPr>
          <w:rFonts w:hint="eastAsia" w:ascii="宋体" w:hAnsi="Times New Roman"/>
          <w:kern w:val="0"/>
          <w:sz w:val="24"/>
          <w:szCs w:val="24"/>
        </w:rPr>
        <w:t>万元</w:t>
      </w:r>
      <w:r>
        <w:rPr>
          <w:rFonts w:hint="default" w:ascii="宋体" w:hAnsi="Times New Roman"/>
          <w:kern w:val="0"/>
          <w:sz w:val="24"/>
          <w:szCs w:val="24"/>
        </w:rPr>
        <w:t>,</w:t>
      </w:r>
      <w:r>
        <w:rPr>
          <w:rFonts w:hint="eastAsia" w:ascii="宋体" w:hAnsi="Times New Roman"/>
          <w:kern w:val="0"/>
          <w:sz w:val="24"/>
          <w:szCs w:val="24"/>
        </w:rPr>
        <w:t>对企业补助</w:t>
      </w:r>
      <w:r>
        <w:rPr>
          <w:rFonts w:hint="default" w:ascii="宋体" w:hAnsi="Times New Roman"/>
          <w:kern w:val="0"/>
          <w:sz w:val="24"/>
          <w:szCs w:val="24"/>
        </w:rPr>
        <w:t>0</w:t>
      </w:r>
      <w:r>
        <w:rPr>
          <w:rFonts w:hint="eastAsia" w:ascii="宋体" w:hAnsi="Times New Roman"/>
          <w:kern w:val="0"/>
          <w:sz w:val="24"/>
          <w:szCs w:val="24"/>
        </w:rPr>
        <w:t>万元，对社会保障基金补助</w:t>
      </w:r>
      <w:r>
        <w:rPr>
          <w:rFonts w:hint="default" w:ascii="宋体" w:hAnsi="Times New Roman"/>
          <w:kern w:val="0"/>
          <w:sz w:val="24"/>
          <w:szCs w:val="24"/>
        </w:rPr>
        <w:t>0</w:t>
      </w:r>
      <w:r>
        <w:rPr>
          <w:rFonts w:hint="eastAsia" w:ascii="宋体" w:hAnsi="Times New Roman"/>
          <w:kern w:val="0"/>
          <w:sz w:val="24"/>
          <w:szCs w:val="24"/>
        </w:rPr>
        <w:t>万元</w:t>
      </w:r>
      <w:r>
        <w:rPr>
          <w:rFonts w:hint="default" w:ascii="宋体" w:hAnsi="Times New Roman"/>
          <w:kern w:val="0"/>
          <w:sz w:val="24"/>
          <w:szCs w:val="24"/>
        </w:rPr>
        <w:t>,</w:t>
      </w:r>
      <w:r>
        <w:rPr>
          <w:rFonts w:hint="eastAsia" w:ascii="宋体" w:hAnsi="Times New Roman"/>
          <w:kern w:val="0"/>
          <w:sz w:val="24"/>
          <w:szCs w:val="24"/>
        </w:rPr>
        <w:t>其他支出</w:t>
      </w:r>
      <w:r>
        <w:rPr>
          <w:rFonts w:hint="default" w:ascii="宋体" w:hAnsi="Times New Roman"/>
          <w:kern w:val="0"/>
          <w:sz w:val="24"/>
          <w:szCs w:val="24"/>
        </w:rPr>
        <w:t>0</w:t>
      </w:r>
      <w:r>
        <w:rPr>
          <w:rFonts w:hint="eastAsia" w:ascii="宋体" w:hAnsi="Times New Roman"/>
          <w:kern w:val="0"/>
          <w:sz w:val="24"/>
          <w:szCs w:val="24"/>
        </w:rPr>
        <w:t>万元。</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与年初预算数相比情况:政府性基金预算财政拨款收入年初预算数</w:t>
      </w:r>
      <w:r>
        <w:rPr>
          <w:rFonts w:hint="default" w:ascii="宋体" w:hAnsi="Times New Roman"/>
          <w:kern w:val="0"/>
          <w:sz w:val="24"/>
          <w:szCs w:val="24"/>
        </w:rPr>
        <w:t>0</w:t>
      </w:r>
      <w:r>
        <w:rPr>
          <w:rFonts w:hint="eastAsia" w:ascii="宋体" w:hAnsi="Times New Roman"/>
          <w:kern w:val="0"/>
          <w:sz w:val="24"/>
          <w:szCs w:val="24"/>
        </w:rPr>
        <w:t>万元，决算数</w:t>
      </w:r>
      <w:r>
        <w:rPr>
          <w:rFonts w:hint="default" w:ascii="宋体" w:hAnsi="Times New Roman"/>
          <w:kern w:val="0"/>
          <w:sz w:val="24"/>
          <w:szCs w:val="24"/>
        </w:rPr>
        <w:t>0</w:t>
      </w:r>
      <w:r>
        <w:rPr>
          <w:rFonts w:hint="eastAsia" w:ascii="宋体" w:hAnsi="Times New Roman"/>
          <w:kern w:val="0"/>
          <w:sz w:val="24"/>
          <w:szCs w:val="24"/>
        </w:rPr>
        <w:t>万元，预决算差异相比，增加</w:t>
      </w:r>
      <w:r>
        <w:rPr>
          <w:rFonts w:hint="default" w:ascii="宋体" w:hAnsi="Times New Roman"/>
          <w:kern w:val="0"/>
          <w:sz w:val="24"/>
          <w:szCs w:val="24"/>
        </w:rPr>
        <w:t>0</w:t>
      </w:r>
      <w:r>
        <w:rPr>
          <w:rFonts w:hint="eastAsia" w:ascii="宋体" w:hAnsi="Times New Roman"/>
          <w:kern w:val="0"/>
          <w:sz w:val="24"/>
          <w:szCs w:val="24"/>
        </w:rPr>
        <w:t>万元，增长0%，差异主要原因是本单位无此情况。政府性基金预算财政拨款支出年初预算数</w:t>
      </w:r>
      <w:r>
        <w:rPr>
          <w:rFonts w:hint="default" w:ascii="宋体" w:hAnsi="Times New Roman"/>
          <w:kern w:val="0"/>
          <w:sz w:val="24"/>
          <w:szCs w:val="24"/>
        </w:rPr>
        <w:t>0</w:t>
      </w:r>
      <w:r>
        <w:rPr>
          <w:rFonts w:hint="eastAsia" w:ascii="宋体" w:hAnsi="Times New Roman"/>
          <w:kern w:val="0"/>
          <w:sz w:val="24"/>
          <w:szCs w:val="24"/>
        </w:rPr>
        <w:t>万元，决算数</w:t>
      </w:r>
      <w:r>
        <w:rPr>
          <w:rFonts w:hint="default" w:ascii="宋体" w:hAnsi="Times New Roman"/>
          <w:kern w:val="0"/>
          <w:sz w:val="24"/>
          <w:szCs w:val="24"/>
        </w:rPr>
        <w:t>0</w:t>
      </w:r>
      <w:r>
        <w:rPr>
          <w:rFonts w:hint="eastAsia" w:ascii="宋体" w:hAnsi="Times New Roman"/>
          <w:kern w:val="0"/>
          <w:sz w:val="24"/>
          <w:szCs w:val="24"/>
        </w:rPr>
        <w:t>万元，预决算差异相比，增加</w:t>
      </w:r>
      <w:r>
        <w:rPr>
          <w:rFonts w:hint="default" w:ascii="宋体" w:hAnsi="Times New Roman"/>
          <w:kern w:val="0"/>
          <w:sz w:val="24"/>
          <w:szCs w:val="24"/>
        </w:rPr>
        <w:t>0</w:t>
      </w:r>
      <w:r>
        <w:rPr>
          <w:rFonts w:hint="eastAsia" w:ascii="宋体" w:hAnsi="Times New Roman"/>
          <w:kern w:val="0"/>
          <w:sz w:val="24"/>
          <w:szCs w:val="24"/>
        </w:rPr>
        <w:t>万元，增长0%，差异主要原因是本单位无此情况。</w:t>
      </w:r>
    </w:p>
    <w:p>
      <w:pPr>
        <w:shd w:val="clear" w:color="auto" w:fill="FFFFFF"/>
        <w:autoSpaceDE w:val="0"/>
        <w:autoSpaceDN w:val="0"/>
        <w:adjustRightInd w:val="0"/>
        <w:spacing w:before="100" w:beforeLines="0" w:after="240" w:afterLines="0"/>
        <w:jc w:val="left"/>
        <w:rPr>
          <w:rFonts w:hint="default" w:ascii="Times New Roman" w:hAnsi="Times New Roman"/>
          <w:b/>
          <w:kern w:val="0"/>
          <w:sz w:val="24"/>
          <w:szCs w:val="24"/>
        </w:rPr>
      </w:pPr>
      <w:r>
        <w:rPr>
          <w:rFonts w:hint="eastAsia" w:ascii="宋体" w:hAnsi="Times New Roman"/>
          <w:b/>
          <w:kern w:val="0"/>
          <w:sz w:val="24"/>
          <w:szCs w:val="24"/>
        </w:rPr>
        <w:t>三、部门结转结余情况</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年末结转结余27.38万元。与上年相比，减少75.57万元，降低73.41%。</w:t>
      </w:r>
    </w:p>
    <w:p>
      <w:pPr>
        <w:autoSpaceDE w:val="0"/>
        <w:autoSpaceDN w:val="0"/>
        <w:adjustRightInd w:val="0"/>
        <w:spacing w:beforeLines="0" w:afterLines="0" w:line="520" w:lineRule="exact"/>
        <w:ind w:firstLine="480"/>
        <w:rPr>
          <w:rFonts w:hint="default" w:ascii="Times New Roman" w:hAnsi="Times New Roman"/>
          <w:kern w:val="0"/>
          <w:sz w:val="24"/>
          <w:szCs w:val="24"/>
        </w:rPr>
      </w:pPr>
      <w:r>
        <w:rPr>
          <w:rFonts w:hint="eastAsia" w:ascii="宋体" w:hAnsi="Times New Roman"/>
          <w:kern w:val="0"/>
          <w:sz w:val="24"/>
          <w:szCs w:val="24"/>
        </w:rPr>
        <w:t>其中财政拨款结转结余15.44万元。与上年相比，减少71.19万元，降低82.17%。</w:t>
      </w:r>
    </w:p>
    <w:p>
      <w:pPr>
        <w:shd w:val="clear" w:color="auto" w:fill="FFFFFF"/>
        <w:autoSpaceDE w:val="0"/>
        <w:autoSpaceDN w:val="0"/>
        <w:adjustRightInd w:val="0"/>
        <w:spacing w:before="100" w:beforeLines="0" w:after="240" w:afterLines="0"/>
        <w:jc w:val="left"/>
        <w:rPr>
          <w:rFonts w:hint="default" w:ascii="Times New Roman" w:hAnsi="Times New Roman"/>
          <w:b/>
          <w:kern w:val="0"/>
          <w:sz w:val="24"/>
          <w:szCs w:val="24"/>
        </w:rPr>
      </w:pPr>
      <w:r>
        <w:rPr>
          <w:rFonts w:hint="eastAsia" w:ascii="宋体" w:hAnsi="Times New Roman"/>
          <w:b/>
          <w:kern w:val="0"/>
          <w:sz w:val="24"/>
          <w:szCs w:val="24"/>
        </w:rPr>
        <w:t>四、一般公共预算三公经费支出情况</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2018年度，一般公共预算三公经费支出决算数7.5万元，比上年减少0.03万元，降低0.4%，减少原因是今年没有公务接待发生。其中，因公出国（境）费支出</w:t>
      </w:r>
      <w:r>
        <w:rPr>
          <w:rFonts w:hint="default" w:ascii="宋体" w:hAnsi="Times New Roman"/>
          <w:kern w:val="0"/>
          <w:sz w:val="24"/>
          <w:szCs w:val="24"/>
        </w:rPr>
        <w:t>0</w:t>
      </w:r>
      <w:r>
        <w:rPr>
          <w:rFonts w:hint="eastAsia" w:ascii="宋体" w:hAnsi="Times New Roman"/>
          <w:kern w:val="0"/>
          <w:sz w:val="24"/>
          <w:szCs w:val="24"/>
        </w:rPr>
        <w:t>万元，占0%，比上年增加</w:t>
      </w:r>
      <w:r>
        <w:rPr>
          <w:rFonts w:hint="default" w:ascii="宋体" w:hAnsi="Times New Roman"/>
          <w:kern w:val="0"/>
          <w:sz w:val="24"/>
          <w:szCs w:val="24"/>
        </w:rPr>
        <w:t>0</w:t>
      </w:r>
      <w:r>
        <w:rPr>
          <w:rFonts w:hint="eastAsia" w:ascii="宋体" w:hAnsi="Times New Roman"/>
          <w:kern w:val="0"/>
          <w:sz w:val="24"/>
          <w:szCs w:val="24"/>
        </w:rPr>
        <w:t>万元，增长0%，增加原因是本单位无此情况；公务用车购置及运行维护费7.5万元，占100%，比上年增加</w:t>
      </w:r>
      <w:r>
        <w:rPr>
          <w:rFonts w:hint="default" w:ascii="宋体" w:hAnsi="Times New Roman"/>
          <w:kern w:val="0"/>
          <w:sz w:val="24"/>
          <w:szCs w:val="24"/>
        </w:rPr>
        <w:t>0</w:t>
      </w:r>
      <w:r>
        <w:rPr>
          <w:rFonts w:hint="eastAsia" w:ascii="宋体" w:hAnsi="Times New Roman"/>
          <w:kern w:val="0"/>
          <w:sz w:val="24"/>
          <w:szCs w:val="24"/>
        </w:rPr>
        <w:t>万元，增长0%，增加原因是与上年持平；公务接待费</w:t>
      </w:r>
      <w:r>
        <w:rPr>
          <w:rFonts w:hint="default" w:ascii="宋体" w:hAnsi="Times New Roman"/>
          <w:kern w:val="0"/>
          <w:sz w:val="24"/>
          <w:szCs w:val="24"/>
        </w:rPr>
        <w:t>0</w:t>
      </w:r>
      <w:r>
        <w:rPr>
          <w:rFonts w:hint="eastAsia" w:ascii="宋体" w:hAnsi="Times New Roman"/>
          <w:kern w:val="0"/>
          <w:sz w:val="24"/>
          <w:szCs w:val="24"/>
        </w:rPr>
        <w:t>万元，占0%，比上年减少0.03万元，降低100%，减少原因是今年没有公务接待发生；具体情况如下：</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因公出国（境）费支出</w:t>
      </w:r>
      <w:r>
        <w:rPr>
          <w:rFonts w:hint="default" w:ascii="宋体" w:hAnsi="Times New Roman"/>
          <w:kern w:val="0"/>
          <w:sz w:val="24"/>
          <w:szCs w:val="24"/>
        </w:rPr>
        <w:t>0</w:t>
      </w:r>
      <w:r>
        <w:rPr>
          <w:rFonts w:hint="eastAsia" w:ascii="宋体" w:hAnsi="Times New Roman"/>
          <w:kern w:val="0"/>
          <w:sz w:val="24"/>
          <w:szCs w:val="24"/>
        </w:rPr>
        <w:t>万元，新疆乌鲁木齐市水磨沟区安全生产监督管理局单位全年使用一般公共预算财政拨款安排的出国（境）团组</w:t>
      </w:r>
      <w:r>
        <w:rPr>
          <w:rFonts w:hint="default" w:ascii="宋体" w:hAnsi="Times New Roman"/>
          <w:kern w:val="0"/>
          <w:sz w:val="24"/>
          <w:szCs w:val="24"/>
        </w:rPr>
        <w:t>0</w:t>
      </w:r>
      <w:r>
        <w:rPr>
          <w:rFonts w:hint="eastAsia" w:ascii="宋体" w:hAnsi="Times New Roman"/>
          <w:kern w:val="0"/>
          <w:sz w:val="24"/>
          <w:szCs w:val="24"/>
        </w:rPr>
        <w:t>个，累积</w:t>
      </w:r>
      <w:r>
        <w:rPr>
          <w:rFonts w:hint="default" w:ascii="宋体" w:hAnsi="Times New Roman"/>
          <w:kern w:val="0"/>
          <w:sz w:val="24"/>
          <w:szCs w:val="24"/>
        </w:rPr>
        <w:t>0</w:t>
      </w:r>
      <w:r>
        <w:rPr>
          <w:rFonts w:hint="eastAsia" w:ascii="宋体" w:hAnsi="Times New Roman"/>
          <w:kern w:val="0"/>
          <w:sz w:val="24"/>
          <w:szCs w:val="24"/>
        </w:rPr>
        <w:t>人次。开支内容包括：本单位无此情况。</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公务用车购置及运行维护费7.5万元，其中，公务用车购置</w:t>
      </w:r>
      <w:r>
        <w:rPr>
          <w:rFonts w:hint="default" w:ascii="宋体" w:hAnsi="Times New Roman"/>
          <w:kern w:val="0"/>
          <w:sz w:val="24"/>
          <w:szCs w:val="24"/>
        </w:rPr>
        <w:t>0</w:t>
      </w:r>
      <w:r>
        <w:rPr>
          <w:rFonts w:hint="eastAsia" w:ascii="宋体" w:hAnsi="Times New Roman"/>
          <w:kern w:val="0"/>
          <w:sz w:val="24"/>
          <w:szCs w:val="24"/>
        </w:rPr>
        <w:t>万元，公务用车运行维护费7.5万元。主要用于车辆油料支出、车辆维修支出、保险审验支出等。2018年，单位一般公共财政拨款安排的公务用车购置量</w:t>
      </w:r>
      <w:r>
        <w:rPr>
          <w:rFonts w:hint="default" w:ascii="宋体" w:hAnsi="Times New Roman"/>
          <w:kern w:val="0"/>
          <w:sz w:val="24"/>
          <w:szCs w:val="24"/>
        </w:rPr>
        <w:t>0</w:t>
      </w:r>
      <w:r>
        <w:rPr>
          <w:rFonts w:hint="eastAsia" w:ascii="宋体" w:hAnsi="Times New Roman"/>
          <w:kern w:val="0"/>
          <w:sz w:val="24"/>
          <w:szCs w:val="24"/>
        </w:rPr>
        <w:t>辆，保有量为2辆。</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公务接待费</w:t>
      </w:r>
      <w:r>
        <w:rPr>
          <w:rFonts w:hint="default" w:ascii="宋体" w:hAnsi="Times New Roman"/>
          <w:kern w:val="0"/>
          <w:sz w:val="24"/>
          <w:szCs w:val="24"/>
        </w:rPr>
        <w:t>0</w:t>
      </w:r>
      <w:r>
        <w:rPr>
          <w:rFonts w:hint="eastAsia" w:ascii="宋体" w:hAnsi="Times New Roman"/>
          <w:kern w:val="0"/>
          <w:sz w:val="24"/>
          <w:szCs w:val="24"/>
        </w:rPr>
        <w:t>万元。具体是：国内公务接待支出</w:t>
      </w:r>
      <w:r>
        <w:rPr>
          <w:rFonts w:hint="default" w:ascii="宋体" w:hAnsi="Times New Roman"/>
          <w:kern w:val="0"/>
          <w:sz w:val="24"/>
          <w:szCs w:val="24"/>
        </w:rPr>
        <w:t>0</w:t>
      </w:r>
      <w:r>
        <w:rPr>
          <w:rFonts w:hint="eastAsia" w:ascii="宋体" w:hAnsi="Times New Roman"/>
          <w:kern w:val="0"/>
          <w:sz w:val="24"/>
          <w:szCs w:val="24"/>
        </w:rPr>
        <w:t>万元，主要是本单位无此情况。新疆乌鲁木齐市水磨沟区安全生产监督管理局单位国内公务接待</w:t>
      </w:r>
      <w:r>
        <w:rPr>
          <w:rFonts w:hint="default" w:ascii="宋体" w:hAnsi="Times New Roman"/>
          <w:kern w:val="0"/>
          <w:sz w:val="24"/>
          <w:szCs w:val="24"/>
        </w:rPr>
        <w:t>0</w:t>
      </w:r>
      <w:r>
        <w:rPr>
          <w:rFonts w:hint="eastAsia" w:ascii="宋体" w:hAnsi="Times New Roman"/>
          <w:kern w:val="0"/>
          <w:sz w:val="24"/>
          <w:szCs w:val="24"/>
        </w:rPr>
        <w:t>批次，</w:t>
      </w:r>
      <w:r>
        <w:rPr>
          <w:rFonts w:hint="default" w:ascii="宋体" w:hAnsi="Times New Roman"/>
          <w:kern w:val="0"/>
          <w:sz w:val="24"/>
          <w:szCs w:val="24"/>
        </w:rPr>
        <w:t>0</w:t>
      </w:r>
      <w:r>
        <w:rPr>
          <w:rFonts w:hint="eastAsia" w:ascii="宋体" w:hAnsi="Times New Roman"/>
          <w:kern w:val="0"/>
          <w:sz w:val="24"/>
          <w:szCs w:val="24"/>
        </w:rPr>
        <w:t>人次。</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与预算相比情况:一般公共预算三公经费支出年初预算数7.63万元，决算数7.5万元，预决算差异对比，减少0.13万元，降低1.7%，差异主要原因是今年没有公务接待发生。其中，因公出国（境）费支出预算数</w:t>
      </w:r>
      <w:r>
        <w:rPr>
          <w:rFonts w:hint="default" w:ascii="宋体" w:hAnsi="Times New Roman"/>
          <w:kern w:val="0"/>
          <w:sz w:val="24"/>
          <w:szCs w:val="24"/>
        </w:rPr>
        <w:t>0</w:t>
      </w:r>
      <w:r>
        <w:rPr>
          <w:rFonts w:hint="eastAsia" w:ascii="宋体" w:hAnsi="Times New Roman"/>
          <w:kern w:val="0"/>
          <w:sz w:val="24"/>
          <w:szCs w:val="24"/>
        </w:rPr>
        <w:t>万元，决算数</w:t>
      </w:r>
      <w:r>
        <w:rPr>
          <w:rFonts w:hint="default" w:ascii="宋体" w:hAnsi="Times New Roman"/>
          <w:kern w:val="0"/>
          <w:sz w:val="24"/>
          <w:szCs w:val="24"/>
        </w:rPr>
        <w:t>0</w:t>
      </w:r>
      <w:r>
        <w:rPr>
          <w:rFonts w:hint="eastAsia" w:ascii="宋体" w:hAnsi="Times New Roman"/>
          <w:kern w:val="0"/>
          <w:sz w:val="24"/>
          <w:szCs w:val="24"/>
        </w:rPr>
        <w:t>万元，预决算差异对比，增加</w:t>
      </w:r>
      <w:r>
        <w:rPr>
          <w:rFonts w:hint="default" w:ascii="宋体" w:hAnsi="Times New Roman"/>
          <w:kern w:val="0"/>
          <w:sz w:val="24"/>
          <w:szCs w:val="24"/>
        </w:rPr>
        <w:t>0</w:t>
      </w:r>
      <w:r>
        <w:rPr>
          <w:rFonts w:hint="eastAsia" w:ascii="宋体" w:hAnsi="Times New Roman"/>
          <w:kern w:val="0"/>
          <w:sz w:val="24"/>
          <w:szCs w:val="24"/>
        </w:rPr>
        <w:t>万元，增长0%，差异主要原因是本单位无此情况；公务用车购置预算数</w:t>
      </w:r>
      <w:r>
        <w:rPr>
          <w:rFonts w:hint="default" w:ascii="宋体" w:hAnsi="Times New Roman"/>
          <w:kern w:val="0"/>
          <w:sz w:val="24"/>
          <w:szCs w:val="24"/>
        </w:rPr>
        <w:t>0</w:t>
      </w:r>
      <w:r>
        <w:rPr>
          <w:rFonts w:hint="eastAsia" w:ascii="宋体" w:hAnsi="Times New Roman"/>
          <w:kern w:val="0"/>
          <w:sz w:val="24"/>
          <w:szCs w:val="24"/>
        </w:rPr>
        <w:t>万元，决算数</w:t>
      </w:r>
      <w:r>
        <w:rPr>
          <w:rFonts w:hint="default" w:ascii="宋体" w:hAnsi="Times New Roman"/>
          <w:kern w:val="0"/>
          <w:sz w:val="24"/>
          <w:szCs w:val="24"/>
        </w:rPr>
        <w:t>0</w:t>
      </w:r>
      <w:r>
        <w:rPr>
          <w:rFonts w:hint="eastAsia" w:ascii="宋体" w:hAnsi="Times New Roman"/>
          <w:kern w:val="0"/>
          <w:sz w:val="24"/>
          <w:szCs w:val="24"/>
        </w:rPr>
        <w:t>万元，预决算差异对比，增加</w:t>
      </w:r>
      <w:r>
        <w:rPr>
          <w:rFonts w:hint="default" w:ascii="宋体" w:hAnsi="Times New Roman"/>
          <w:kern w:val="0"/>
          <w:sz w:val="24"/>
          <w:szCs w:val="24"/>
        </w:rPr>
        <w:t>0</w:t>
      </w:r>
      <w:r>
        <w:rPr>
          <w:rFonts w:hint="eastAsia" w:ascii="宋体" w:hAnsi="Times New Roman"/>
          <w:kern w:val="0"/>
          <w:sz w:val="24"/>
          <w:szCs w:val="24"/>
        </w:rPr>
        <w:t>万元，增长0%，差异主要原因：本单位无此情况；公务用车运行维护费支出预算数7.6万元，决算数7.5万元，预决算差异对比，减少0.1万元，降低1.32%，差异主要原因是厉行节约，严控车辆维修费用；公务接待费支出预算数0.03万元，决算数</w:t>
      </w:r>
      <w:r>
        <w:rPr>
          <w:rFonts w:hint="default" w:ascii="宋体" w:hAnsi="Times New Roman"/>
          <w:kern w:val="0"/>
          <w:sz w:val="24"/>
          <w:szCs w:val="24"/>
        </w:rPr>
        <w:t>0</w:t>
      </w:r>
      <w:r>
        <w:rPr>
          <w:rFonts w:hint="eastAsia" w:ascii="宋体" w:hAnsi="Times New Roman"/>
          <w:kern w:val="0"/>
          <w:sz w:val="24"/>
          <w:szCs w:val="24"/>
        </w:rPr>
        <w:t>万元，预决算差异对比，减少0.03万元，降低100%，差异主要原因是今年没有公务接待发生。</w:t>
      </w:r>
    </w:p>
    <w:p>
      <w:pPr>
        <w:shd w:val="clear" w:color="auto" w:fill="FFFFFF"/>
        <w:autoSpaceDE w:val="0"/>
        <w:autoSpaceDN w:val="0"/>
        <w:adjustRightInd w:val="0"/>
        <w:spacing w:before="100" w:beforeLines="0" w:after="240" w:afterLines="0"/>
        <w:jc w:val="left"/>
        <w:rPr>
          <w:rFonts w:hint="default" w:ascii="Times New Roman" w:hAnsi="Times New Roman"/>
          <w:b/>
          <w:kern w:val="0"/>
          <w:sz w:val="24"/>
          <w:szCs w:val="24"/>
        </w:rPr>
      </w:pPr>
      <w:r>
        <w:rPr>
          <w:rFonts w:hint="eastAsia" w:ascii="宋体" w:hAnsi="Times New Roman"/>
          <w:b/>
          <w:kern w:val="0"/>
          <w:sz w:val="24"/>
          <w:szCs w:val="24"/>
        </w:rPr>
        <w:t>五、机关运行经费支出情况</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2018年度新疆乌鲁木齐市水磨沟区安全生产监督管理局单位机关运行经费支出10.8万元，比上年减少4.06万元，降低27.34%。主要原因是减少了办公经费、印刷费、培训费、车辆经费的支出。</w:t>
      </w:r>
    </w:p>
    <w:p>
      <w:pPr>
        <w:shd w:val="clear" w:color="auto" w:fill="FFFFFF"/>
        <w:autoSpaceDE w:val="0"/>
        <w:autoSpaceDN w:val="0"/>
        <w:adjustRightInd w:val="0"/>
        <w:spacing w:before="100" w:beforeLines="0" w:after="240" w:afterLines="0"/>
        <w:jc w:val="left"/>
        <w:rPr>
          <w:rFonts w:hint="default" w:ascii="Times New Roman" w:hAnsi="Times New Roman"/>
          <w:b/>
          <w:kern w:val="0"/>
          <w:sz w:val="24"/>
          <w:szCs w:val="24"/>
        </w:rPr>
      </w:pPr>
      <w:r>
        <w:rPr>
          <w:rFonts w:hint="eastAsia" w:ascii="宋体" w:hAnsi="Times New Roman"/>
          <w:b/>
          <w:kern w:val="0"/>
          <w:sz w:val="24"/>
          <w:szCs w:val="24"/>
        </w:rPr>
        <w:t>六、政府采购情况</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2018年度政府采购支出总额</w:t>
      </w:r>
      <w:r>
        <w:rPr>
          <w:rFonts w:hint="default" w:ascii="宋体" w:hAnsi="Times New Roman"/>
          <w:kern w:val="0"/>
          <w:sz w:val="24"/>
          <w:szCs w:val="24"/>
        </w:rPr>
        <w:t>0</w:t>
      </w:r>
      <w:r>
        <w:rPr>
          <w:rFonts w:hint="eastAsia" w:ascii="宋体" w:hAnsi="Times New Roman"/>
          <w:kern w:val="0"/>
          <w:sz w:val="24"/>
          <w:szCs w:val="24"/>
        </w:rPr>
        <w:t>万元，其中：政府采购货物支出</w:t>
      </w:r>
      <w:r>
        <w:rPr>
          <w:rFonts w:hint="default" w:ascii="宋体" w:hAnsi="Times New Roman"/>
          <w:kern w:val="0"/>
          <w:sz w:val="24"/>
          <w:szCs w:val="24"/>
        </w:rPr>
        <w:t>0</w:t>
      </w:r>
      <w:r>
        <w:rPr>
          <w:rFonts w:hint="eastAsia" w:ascii="宋体" w:hAnsi="Times New Roman"/>
          <w:kern w:val="0"/>
          <w:sz w:val="24"/>
          <w:szCs w:val="24"/>
        </w:rPr>
        <w:t>万元，政府采购工程支出</w:t>
      </w:r>
      <w:r>
        <w:rPr>
          <w:rFonts w:hint="default" w:ascii="宋体" w:hAnsi="Times New Roman"/>
          <w:kern w:val="0"/>
          <w:sz w:val="24"/>
          <w:szCs w:val="24"/>
        </w:rPr>
        <w:t>0</w:t>
      </w:r>
      <w:r>
        <w:rPr>
          <w:rFonts w:hint="eastAsia" w:ascii="宋体" w:hAnsi="Times New Roman"/>
          <w:kern w:val="0"/>
          <w:sz w:val="24"/>
          <w:szCs w:val="24"/>
        </w:rPr>
        <w:t>万元，政府采购服务支出</w:t>
      </w:r>
      <w:r>
        <w:rPr>
          <w:rFonts w:hint="default" w:ascii="宋体" w:hAnsi="Times New Roman"/>
          <w:kern w:val="0"/>
          <w:sz w:val="24"/>
          <w:szCs w:val="24"/>
        </w:rPr>
        <w:t>0</w:t>
      </w:r>
      <w:r>
        <w:rPr>
          <w:rFonts w:hint="eastAsia" w:ascii="宋体" w:hAnsi="Times New Roman"/>
          <w:kern w:val="0"/>
          <w:sz w:val="24"/>
          <w:szCs w:val="24"/>
        </w:rPr>
        <w:t>万元。</w:t>
      </w:r>
    </w:p>
    <w:p>
      <w:pPr>
        <w:shd w:val="clear" w:color="auto" w:fill="FFFFFF"/>
        <w:autoSpaceDE w:val="0"/>
        <w:autoSpaceDN w:val="0"/>
        <w:adjustRightInd w:val="0"/>
        <w:spacing w:before="100" w:beforeLines="0" w:after="240" w:afterLines="0"/>
        <w:jc w:val="left"/>
        <w:rPr>
          <w:rFonts w:hint="default" w:ascii="Times New Roman" w:hAnsi="Times New Roman"/>
          <w:b/>
          <w:kern w:val="0"/>
          <w:sz w:val="24"/>
          <w:szCs w:val="24"/>
        </w:rPr>
      </w:pPr>
      <w:r>
        <w:rPr>
          <w:rFonts w:hint="eastAsia" w:ascii="宋体" w:hAnsi="Times New Roman"/>
          <w:b/>
          <w:kern w:val="0"/>
          <w:sz w:val="24"/>
          <w:szCs w:val="24"/>
        </w:rPr>
        <w:t>七、其他重要事项的情况</w:t>
      </w:r>
    </w:p>
    <w:p>
      <w:pPr>
        <w:shd w:val="clear" w:color="auto" w:fill="FFFFFF"/>
        <w:autoSpaceDE w:val="0"/>
        <w:autoSpaceDN w:val="0"/>
        <w:adjustRightInd w:val="0"/>
        <w:spacing w:before="100" w:beforeLines="0" w:after="240" w:afterLines="0"/>
        <w:jc w:val="left"/>
        <w:rPr>
          <w:rFonts w:hint="default" w:ascii="Times New Roman" w:hAnsi="Times New Roman"/>
          <w:b/>
          <w:kern w:val="0"/>
          <w:sz w:val="24"/>
          <w:szCs w:val="24"/>
        </w:rPr>
      </w:pPr>
      <w:r>
        <w:rPr>
          <w:rFonts w:hint="eastAsia" w:ascii="宋体" w:hAnsi="Times New Roman"/>
          <w:b/>
          <w:kern w:val="0"/>
          <w:sz w:val="24"/>
          <w:szCs w:val="24"/>
        </w:rPr>
        <w:t>（一）国有资产占用情况说明</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截至2018年12月31日，单位共有车辆2辆，价值31.03万元，其中：省部级领导干部用车</w:t>
      </w:r>
      <w:r>
        <w:rPr>
          <w:rFonts w:hint="default" w:ascii="宋体" w:hAnsi="Times New Roman"/>
          <w:kern w:val="0"/>
          <w:sz w:val="24"/>
          <w:szCs w:val="24"/>
        </w:rPr>
        <w:t>0</w:t>
      </w:r>
      <w:r>
        <w:rPr>
          <w:rFonts w:hint="eastAsia" w:ascii="宋体" w:hAnsi="Times New Roman"/>
          <w:kern w:val="0"/>
          <w:sz w:val="24"/>
          <w:szCs w:val="24"/>
        </w:rPr>
        <w:t>辆、主要领导干部用车</w:t>
      </w:r>
      <w:r>
        <w:rPr>
          <w:rFonts w:hint="default" w:ascii="宋体" w:hAnsi="Times New Roman"/>
          <w:kern w:val="0"/>
          <w:sz w:val="24"/>
          <w:szCs w:val="24"/>
        </w:rPr>
        <w:t>0</w:t>
      </w:r>
      <w:r>
        <w:rPr>
          <w:rFonts w:hint="eastAsia" w:ascii="宋体" w:hAnsi="Times New Roman"/>
          <w:kern w:val="0"/>
          <w:sz w:val="24"/>
          <w:szCs w:val="24"/>
        </w:rPr>
        <w:t>辆、机要通信用车</w:t>
      </w:r>
      <w:r>
        <w:rPr>
          <w:rFonts w:hint="default" w:ascii="宋体" w:hAnsi="Times New Roman"/>
          <w:kern w:val="0"/>
          <w:sz w:val="24"/>
          <w:szCs w:val="24"/>
        </w:rPr>
        <w:t>0</w:t>
      </w:r>
      <w:r>
        <w:rPr>
          <w:rFonts w:hint="eastAsia" w:ascii="宋体" w:hAnsi="Times New Roman"/>
          <w:kern w:val="0"/>
          <w:sz w:val="24"/>
          <w:szCs w:val="24"/>
        </w:rPr>
        <w:t>辆、应急保障用车</w:t>
      </w:r>
      <w:r>
        <w:rPr>
          <w:rFonts w:hint="default" w:ascii="宋体" w:hAnsi="Times New Roman"/>
          <w:kern w:val="0"/>
          <w:sz w:val="24"/>
          <w:szCs w:val="24"/>
        </w:rPr>
        <w:t>0</w:t>
      </w:r>
      <w:r>
        <w:rPr>
          <w:rFonts w:hint="eastAsia" w:ascii="宋体" w:hAnsi="Times New Roman"/>
          <w:kern w:val="0"/>
          <w:sz w:val="24"/>
          <w:szCs w:val="24"/>
        </w:rPr>
        <w:t>辆、执法执勤用车2辆、特种专业技术用车</w:t>
      </w:r>
      <w:r>
        <w:rPr>
          <w:rFonts w:hint="default" w:ascii="宋体" w:hAnsi="Times New Roman"/>
          <w:kern w:val="0"/>
          <w:sz w:val="24"/>
          <w:szCs w:val="24"/>
        </w:rPr>
        <w:t>0</w:t>
      </w:r>
      <w:r>
        <w:rPr>
          <w:rFonts w:hint="eastAsia" w:ascii="宋体" w:hAnsi="Times New Roman"/>
          <w:kern w:val="0"/>
          <w:sz w:val="24"/>
          <w:szCs w:val="24"/>
        </w:rPr>
        <w:t>辆、离退休干部用车</w:t>
      </w:r>
      <w:r>
        <w:rPr>
          <w:rFonts w:hint="default" w:ascii="宋体" w:hAnsi="Times New Roman"/>
          <w:kern w:val="0"/>
          <w:sz w:val="24"/>
          <w:szCs w:val="24"/>
        </w:rPr>
        <w:t>0</w:t>
      </w:r>
      <w:r>
        <w:rPr>
          <w:rFonts w:hint="eastAsia" w:ascii="宋体" w:hAnsi="Times New Roman"/>
          <w:kern w:val="0"/>
          <w:sz w:val="24"/>
          <w:szCs w:val="24"/>
        </w:rPr>
        <w:t>辆、其他用车</w:t>
      </w:r>
      <w:r>
        <w:rPr>
          <w:rFonts w:hint="default" w:ascii="宋体" w:hAnsi="Times New Roman"/>
          <w:kern w:val="0"/>
          <w:sz w:val="24"/>
          <w:szCs w:val="24"/>
        </w:rPr>
        <w:t>0</w:t>
      </w:r>
      <w:r>
        <w:rPr>
          <w:rFonts w:hint="eastAsia" w:ascii="宋体" w:hAnsi="Times New Roman"/>
          <w:kern w:val="0"/>
          <w:sz w:val="24"/>
          <w:szCs w:val="24"/>
        </w:rPr>
        <w:t>辆，其他用车主要是：本单位无其他用车；单位价值50万元以上通用设备</w:t>
      </w:r>
      <w:r>
        <w:rPr>
          <w:rFonts w:hint="default" w:ascii="宋体" w:hAnsi="Times New Roman"/>
          <w:kern w:val="0"/>
          <w:sz w:val="24"/>
          <w:szCs w:val="24"/>
        </w:rPr>
        <w:t>0</w:t>
      </w:r>
      <w:r>
        <w:rPr>
          <w:rFonts w:hint="eastAsia" w:ascii="宋体" w:hAnsi="Times New Roman"/>
          <w:kern w:val="0"/>
          <w:sz w:val="24"/>
          <w:szCs w:val="24"/>
        </w:rPr>
        <w:t>台（套），单位价值100万元以上专用设备</w:t>
      </w:r>
      <w:r>
        <w:rPr>
          <w:rFonts w:hint="default" w:ascii="宋体" w:hAnsi="Times New Roman"/>
          <w:kern w:val="0"/>
          <w:sz w:val="24"/>
          <w:szCs w:val="24"/>
        </w:rPr>
        <w:t>0</w:t>
      </w:r>
      <w:r>
        <w:rPr>
          <w:rFonts w:hint="eastAsia" w:ascii="宋体" w:hAnsi="Times New Roman"/>
          <w:kern w:val="0"/>
          <w:sz w:val="24"/>
          <w:szCs w:val="24"/>
        </w:rPr>
        <w:t>台（套）。</w:t>
      </w:r>
    </w:p>
    <w:p>
      <w:pPr>
        <w:shd w:val="clear" w:color="auto" w:fill="FFFFFF"/>
        <w:autoSpaceDE w:val="0"/>
        <w:autoSpaceDN w:val="0"/>
        <w:adjustRightInd w:val="0"/>
        <w:spacing w:before="100" w:beforeLines="0" w:after="240" w:afterLines="0"/>
        <w:jc w:val="left"/>
        <w:rPr>
          <w:rFonts w:hint="default" w:ascii="Times New Roman" w:hAnsi="Times New Roman"/>
          <w:b/>
          <w:kern w:val="0"/>
          <w:sz w:val="24"/>
          <w:szCs w:val="24"/>
        </w:rPr>
      </w:pPr>
      <w:r>
        <w:rPr>
          <w:rFonts w:hint="eastAsia" w:ascii="宋体" w:hAnsi="Times New Roman"/>
          <w:b/>
          <w:kern w:val="0"/>
          <w:sz w:val="24"/>
          <w:szCs w:val="24"/>
        </w:rPr>
        <w:t>（二）预算绩效情况的说明</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2018年度，本部门单位预算绩效自评情况：自述有关预算绩效管理和绩效自评开展情况。</w:t>
      </w:r>
    </w:p>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访惠聚工作组经费项目绩效自评综述：根据年初设定的绩效目标，项目绩效自评得分为85分。访惠聚驻村工作经费项目全年预算数为15.78万元，执行数为11.50万元，完成预算的72.87%。主要产出和效果：完成2018年访惠聚为民办实事经费主要用于群众工作，开展60场活动；全覆盖宣讲、分类宣讲；解决群众困难诉求；开展四学；建立基层党组织；开展民族团结一家亲活动。发现的问题及原因：访惠聚工作组活动可以更丰富。下一步改进措施：访民情、惠民生、聚民心活动形式多样化。</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18"/>
        <w:gridCol w:w="744"/>
        <w:gridCol w:w="8"/>
        <w:gridCol w:w="1288"/>
        <w:gridCol w:w="2071"/>
        <w:gridCol w:w="1891"/>
        <w:gridCol w:w="2255"/>
        <w:gridCol w:w="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67" w:type="dxa"/>
          <w:trHeight w:val="445" w:hRule="atLeast"/>
          <w:jc w:val="center"/>
        </w:trPr>
        <w:tc>
          <w:tcPr>
            <w:tcW w:w="9175" w:type="dxa"/>
            <w:gridSpan w:val="7"/>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ind w:firstLine="2529" w:firstLineChars="700"/>
              <w:rPr>
                <w:rFonts w:hint="default" w:eastAsia="Times New Roman"/>
                <w:b/>
                <w:sz w:val="36"/>
                <w:szCs w:val="24"/>
              </w:rPr>
            </w:pPr>
            <w:r>
              <w:rPr>
                <w:rFonts w:hint="eastAsia"/>
                <w:b/>
                <w:sz w:val="36"/>
                <w:szCs w:val="24"/>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67" w:type="dxa"/>
          <w:trHeight w:val="282" w:hRule="atLeast"/>
          <w:jc w:val="center"/>
        </w:trPr>
        <w:tc>
          <w:tcPr>
            <w:tcW w:w="9175" w:type="dxa"/>
            <w:gridSpan w:val="7"/>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w:t>
            </w:r>
            <w:r>
              <w:rPr>
                <w:rFonts w:hint="default"/>
                <w:sz w:val="21"/>
                <w:szCs w:val="24"/>
              </w:rPr>
              <w:t xml:space="preserve">   2018 </w:t>
            </w:r>
            <w:r>
              <w:rPr>
                <w:rFonts w:hint="eastAsia"/>
                <w:sz w:val="21"/>
                <w:szCs w:val="24"/>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2" w:hRule="atLeast"/>
          <w:jc w:val="center"/>
        </w:trPr>
        <w:tc>
          <w:tcPr>
            <w:tcW w:w="918" w:type="dxa"/>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744" w:type="dxa"/>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3367" w:type="dxa"/>
            <w:gridSpan w:val="3"/>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1891" w:type="dxa"/>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2422" w:type="dxa"/>
            <w:gridSpan w:val="2"/>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2958" w:type="dxa"/>
            <w:gridSpan w:val="4"/>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预算单位</w:t>
            </w:r>
          </w:p>
        </w:tc>
        <w:tc>
          <w:tcPr>
            <w:tcW w:w="6384"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水区安监局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2958" w:type="dxa"/>
            <w:gridSpan w:val="4"/>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项目名称</w:t>
            </w:r>
          </w:p>
        </w:tc>
        <w:tc>
          <w:tcPr>
            <w:tcW w:w="6384" w:type="dxa"/>
            <w:gridSpan w:val="4"/>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访惠聚工作组经费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918" w:type="dxa"/>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预算</w:t>
            </w:r>
            <w:r>
              <w:rPr>
                <w:rFonts w:hint="default" w:eastAsia="Times New Roman"/>
                <w:sz w:val="21"/>
                <w:szCs w:val="24"/>
              </w:rPr>
              <w:br w:type="textWrapping"/>
            </w:r>
            <w:r>
              <w:rPr>
                <w:rFonts w:hint="eastAsia"/>
                <w:sz w:val="21"/>
                <w:szCs w:val="24"/>
              </w:rPr>
              <w:t>执行</w:t>
            </w:r>
            <w:r>
              <w:rPr>
                <w:rFonts w:hint="default" w:eastAsia="Times New Roman"/>
                <w:sz w:val="21"/>
                <w:szCs w:val="24"/>
              </w:rPr>
              <w:br w:type="textWrapping"/>
            </w:r>
            <w:r>
              <w:rPr>
                <w:rFonts w:hint="eastAsia"/>
                <w:sz w:val="21"/>
                <w:szCs w:val="24"/>
              </w:rPr>
              <w:t>情况</w:t>
            </w:r>
            <w:r>
              <w:rPr>
                <w:rFonts w:hint="default" w:eastAsia="Times New Roman"/>
                <w:sz w:val="21"/>
                <w:szCs w:val="24"/>
              </w:rPr>
              <w:br w:type="textWrapping"/>
            </w:r>
            <w:r>
              <w:rPr>
                <w:rFonts w:hint="eastAsia"/>
                <w:sz w:val="21"/>
                <w:szCs w:val="24"/>
              </w:rPr>
              <w:t>（万元）</w:t>
            </w:r>
          </w:p>
        </w:tc>
        <w:tc>
          <w:tcPr>
            <w:tcW w:w="4111" w:type="dxa"/>
            <w:gridSpan w:val="4"/>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预算数</w:t>
            </w:r>
          </w:p>
        </w:tc>
        <w:tc>
          <w:tcPr>
            <w:tcW w:w="4313" w:type="dxa"/>
            <w:gridSpan w:val="3"/>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45" w:hRule="atLeast"/>
          <w:jc w:val="center"/>
        </w:trPr>
        <w:tc>
          <w:tcPr>
            <w:tcW w:w="918"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2040" w:type="dxa"/>
            <w:gridSpan w:val="3"/>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其中：财政拨款</w:t>
            </w:r>
          </w:p>
        </w:tc>
        <w:tc>
          <w:tcPr>
            <w:tcW w:w="2071" w:type="dxa"/>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15.78</w:t>
            </w:r>
          </w:p>
        </w:tc>
        <w:tc>
          <w:tcPr>
            <w:tcW w:w="1891" w:type="dxa"/>
            <w:tcBorders>
              <w:top w:val="nil"/>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其中：财政拨款</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98" w:hRule="atLeast"/>
          <w:jc w:val="center"/>
        </w:trPr>
        <w:tc>
          <w:tcPr>
            <w:tcW w:w="918"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2040" w:type="dxa"/>
            <w:gridSpan w:val="3"/>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其他资金</w:t>
            </w:r>
          </w:p>
        </w:tc>
        <w:tc>
          <w:tcPr>
            <w:tcW w:w="2071" w:type="dxa"/>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1891" w:type="dxa"/>
            <w:tcBorders>
              <w:top w:val="single" w:color="auto" w:sz="4" w:space="0"/>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其他资金</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04" w:hRule="atLeast"/>
          <w:jc w:val="center"/>
        </w:trPr>
        <w:tc>
          <w:tcPr>
            <w:tcW w:w="918" w:type="dxa"/>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年度</w:t>
            </w:r>
            <w:r>
              <w:rPr>
                <w:rFonts w:hint="default" w:eastAsia="Times New Roman"/>
                <w:sz w:val="21"/>
                <w:szCs w:val="24"/>
              </w:rPr>
              <w:br w:type="textWrapping"/>
            </w:r>
            <w:r>
              <w:rPr>
                <w:rFonts w:hint="eastAsia"/>
                <w:sz w:val="21"/>
                <w:szCs w:val="24"/>
              </w:rPr>
              <w:t>目标</w:t>
            </w:r>
            <w:r>
              <w:rPr>
                <w:rFonts w:hint="default" w:eastAsia="Times New Roman"/>
                <w:sz w:val="21"/>
                <w:szCs w:val="24"/>
              </w:rPr>
              <w:br w:type="textWrapping"/>
            </w:r>
            <w:r>
              <w:rPr>
                <w:rFonts w:hint="eastAsia"/>
                <w:sz w:val="21"/>
                <w:szCs w:val="24"/>
              </w:rPr>
              <w:t>完成</w:t>
            </w:r>
            <w:r>
              <w:rPr>
                <w:rFonts w:hint="default" w:eastAsia="Times New Roman"/>
                <w:sz w:val="21"/>
                <w:szCs w:val="24"/>
              </w:rPr>
              <w:br w:type="textWrapping"/>
            </w:r>
            <w:r>
              <w:rPr>
                <w:rFonts w:hint="eastAsia"/>
                <w:sz w:val="21"/>
                <w:szCs w:val="24"/>
              </w:rPr>
              <w:t>情况</w:t>
            </w:r>
          </w:p>
        </w:tc>
        <w:tc>
          <w:tcPr>
            <w:tcW w:w="4111"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预期目标</w:t>
            </w:r>
          </w:p>
        </w:tc>
        <w:tc>
          <w:tcPr>
            <w:tcW w:w="4313" w:type="dxa"/>
            <w:gridSpan w:val="3"/>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62" w:hRule="atLeast"/>
          <w:jc w:val="center"/>
        </w:trPr>
        <w:tc>
          <w:tcPr>
            <w:tcW w:w="918"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4111" w:type="dxa"/>
            <w:gridSpan w:val="4"/>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top"/>
          </w:tcPr>
          <w:p>
            <w:pPr>
              <w:spacing w:beforeLines="0" w:afterLines="0"/>
              <w:ind w:firstLine="420" w:firstLineChars="200"/>
              <w:jc w:val="center"/>
              <w:rPr>
                <w:rFonts w:hint="default" w:eastAsia="Times New Roman"/>
                <w:sz w:val="21"/>
                <w:szCs w:val="24"/>
              </w:rPr>
            </w:pPr>
            <w:r>
              <w:rPr>
                <w:rFonts w:hint="default"/>
                <w:sz w:val="21"/>
                <w:szCs w:val="24"/>
              </w:rPr>
              <w:t>2018</w:t>
            </w:r>
            <w:r>
              <w:rPr>
                <w:rFonts w:hint="eastAsia"/>
                <w:sz w:val="21"/>
                <w:szCs w:val="24"/>
              </w:rPr>
              <w:t>年为民办实事经费主要用于群众工作，开展</w:t>
            </w:r>
            <w:r>
              <w:rPr>
                <w:rFonts w:hint="default"/>
                <w:sz w:val="21"/>
                <w:szCs w:val="24"/>
              </w:rPr>
              <w:t>60</w:t>
            </w:r>
            <w:r>
              <w:rPr>
                <w:rFonts w:hint="eastAsia"/>
                <w:sz w:val="21"/>
                <w:szCs w:val="24"/>
              </w:rPr>
              <w:t>场活动；全覆盖宣讲、分类宣讲；解决群众困难诉求；开展四学；建立基层党组织；开展民族团结一家亲活动。</w:t>
            </w:r>
          </w:p>
        </w:tc>
        <w:tc>
          <w:tcPr>
            <w:tcW w:w="4313" w:type="dxa"/>
            <w:gridSpan w:val="3"/>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top"/>
          </w:tcPr>
          <w:p>
            <w:pPr>
              <w:spacing w:beforeLines="0" w:afterLines="0"/>
              <w:ind w:firstLine="420" w:firstLineChars="200"/>
              <w:jc w:val="center"/>
              <w:rPr>
                <w:rFonts w:hint="default" w:eastAsia="Times New Roman"/>
                <w:sz w:val="21"/>
                <w:szCs w:val="24"/>
              </w:rPr>
            </w:pPr>
            <w:r>
              <w:rPr>
                <w:rFonts w:hint="eastAsia"/>
                <w:sz w:val="21"/>
                <w:szCs w:val="24"/>
              </w:rPr>
              <w:t>按照自治区访惠聚工作安排，完成全覆盖宣讲、分类宣讲；解决群众困难诉求；开展四学；建立基层党组织；开展民族团结一家亲活动。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4" w:hRule="atLeast"/>
          <w:jc w:val="center"/>
        </w:trPr>
        <w:tc>
          <w:tcPr>
            <w:tcW w:w="918" w:type="dxa"/>
            <w:vMerge w:val="restart"/>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年度</w:t>
            </w:r>
            <w:r>
              <w:rPr>
                <w:rFonts w:hint="default" w:eastAsia="Times New Roman"/>
                <w:sz w:val="21"/>
                <w:szCs w:val="24"/>
              </w:rPr>
              <w:br w:type="textWrapping"/>
            </w:r>
            <w:r>
              <w:rPr>
                <w:rFonts w:hint="eastAsia"/>
                <w:sz w:val="21"/>
                <w:szCs w:val="24"/>
              </w:rPr>
              <w:t>绩效</w:t>
            </w:r>
            <w:r>
              <w:rPr>
                <w:rFonts w:hint="default" w:eastAsia="Times New Roman"/>
                <w:sz w:val="21"/>
                <w:szCs w:val="24"/>
              </w:rPr>
              <w:br w:type="textWrapping"/>
            </w:r>
            <w:r>
              <w:rPr>
                <w:rFonts w:hint="eastAsia"/>
                <w:sz w:val="21"/>
                <w:szCs w:val="24"/>
              </w:rPr>
              <w:t>指标</w:t>
            </w:r>
            <w:r>
              <w:rPr>
                <w:rFonts w:hint="default" w:eastAsia="Times New Roman"/>
                <w:sz w:val="21"/>
                <w:szCs w:val="24"/>
              </w:rPr>
              <w:br w:type="textWrapping"/>
            </w:r>
            <w:r>
              <w:rPr>
                <w:rFonts w:hint="eastAsia"/>
                <w:sz w:val="21"/>
                <w:szCs w:val="24"/>
              </w:rPr>
              <w:t>完成</w:t>
            </w:r>
            <w:r>
              <w:rPr>
                <w:rFonts w:hint="default" w:eastAsia="Times New Roman"/>
                <w:sz w:val="21"/>
                <w:szCs w:val="24"/>
              </w:rPr>
              <w:br w:type="textWrapping"/>
            </w:r>
            <w:r>
              <w:rPr>
                <w:rFonts w:hint="eastAsia"/>
                <w:sz w:val="21"/>
                <w:szCs w:val="24"/>
              </w:rPr>
              <w:t>情况</w:t>
            </w:r>
          </w:p>
        </w:tc>
        <w:tc>
          <w:tcPr>
            <w:tcW w:w="752" w:type="dxa"/>
            <w:gridSpan w:val="2"/>
            <w:tcBorders>
              <w:top w:val="nil"/>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一级指标</w:t>
            </w:r>
          </w:p>
        </w:tc>
        <w:tc>
          <w:tcPr>
            <w:tcW w:w="1288"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二级指标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三级指标</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预期指标值（包含数字及文字描述）</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34" w:hRule="atLeast"/>
          <w:jc w:val="center"/>
        </w:trPr>
        <w:tc>
          <w:tcPr>
            <w:tcW w:w="918"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752" w:type="dxa"/>
            <w:gridSpan w:val="2"/>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项目完成指标</w:t>
            </w:r>
          </w:p>
        </w:tc>
        <w:tc>
          <w:tcPr>
            <w:tcW w:w="1288"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数量指标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≤15.78</w:t>
            </w:r>
            <w:r>
              <w:rPr>
                <w:rFonts w:hint="eastAsia"/>
                <w:sz w:val="21"/>
                <w:szCs w:val="24"/>
              </w:rPr>
              <w:t>万元</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完成各类活动</w:t>
            </w:r>
            <w:r>
              <w:rPr>
                <w:rFonts w:hint="default"/>
                <w:sz w:val="21"/>
                <w:szCs w:val="24"/>
              </w:rPr>
              <w:t>60</w:t>
            </w:r>
            <w:r>
              <w:rPr>
                <w:rFonts w:hint="eastAsia"/>
                <w:sz w:val="21"/>
                <w:szCs w:val="24"/>
              </w:rPr>
              <w:t>场，全覆盖宣讲</w:t>
            </w:r>
            <w:r>
              <w:rPr>
                <w:rFonts w:hint="default"/>
                <w:sz w:val="21"/>
                <w:szCs w:val="24"/>
              </w:rPr>
              <w:t>12</w:t>
            </w:r>
            <w:r>
              <w:rPr>
                <w:rFonts w:hint="eastAsia"/>
                <w:sz w:val="21"/>
                <w:szCs w:val="24"/>
              </w:rPr>
              <w:t>此，解决群众困难诉求</w:t>
            </w:r>
            <w:r>
              <w:rPr>
                <w:rFonts w:hint="default"/>
                <w:sz w:val="21"/>
                <w:szCs w:val="24"/>
              </w:rPr>
              <w:t>34</w:t>
            </w:r>
            <w:r>
              <w:rPr>
                <w:rFonts w:hint="eastAsia"/>
                <w:sz w:val="21"/>
                <w:szCs w:val="24"/>
              </w:rPr>
              <w:t>件。经费支出</w:t>
            </w:r>
          </w:p>
          <w:p>
            <w:pPr>
              <w:spacing w:beforeLines="0" w:afterLines="0"/>
              <w:jc w:val="center"/>
              <w:rPr>
                <w:rFonts w:hint="default" w:eastAsia="Times New Roman"/>
                <w:sz w:val="21"/>
                <w:szCs w:val="24"/>
              </w:rPr>
            </w:pPr>
            <w:r>
              <w:rPr>
                <w:rFonts w:hint="default"/>
                <w:sz w:val="21"/>
                <w:szCs w:val="24"/>
              </w:rPr>
              <w:t>11.5</w:t>
            </w:r>
            <w:r>
              <w:rPr>
                <w:rFonts w:hint="eastAsia"/>
                <w:sz w:val="21"/>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918"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752"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288"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质量指标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指标</w:t>
            </w:r>
            <w:r>
              <w:rPr>
                <w:rFonts w:hint="default"/>
                <w:sz w:val="21"/>
                <w:szCs w:val="24"/>
              </w:rPr>
              <w:t>1</w:t>
            </w:r>
            <w:r>
              <w:rPr>
                <w:rFonts w:hint="eastAsia"/>
                <w:sz w:val="21"/>
                <w:szCs w:val="24"/>
              </w:rPr>
              <w:t>：完成各项宣教活动，解决群众困难诉求、开展民族团结一家亲等各项工作。</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918"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752"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288"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时效指标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：计划完成率</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ind w:firstLine="840" w:firstLineChars="40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918"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752"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288"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成本指标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　按年度预算完成率</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918"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752" w:type="dxa"/>
            <w:gridSpan w:val="2"/>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项目效果指标</w:t>
            </w:r>
          </w:p>
        </w:tc>
        <w:tc>
          <w:tcPr>
            <w:tcW w:w="1288"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经济效益</w:t>
            </w:r>
            <w:r>
              <w:rPr>
                <w:rFonts w:hint="default" w:eastAsia="Times New Roman"/>
                <w:sz w:val="21"/>
                <w:szCs w:val="24"/>
              </w:rPr>
              <w:br w:type="textWrapping"/>
            </w:r>
            <w:r>
              <w:rPr>
                <w:rFonts w:hint="eastAsia"/>
                <w:sz w:val="21"/>
                <w:szCs w:val="24"/>
              </w:rPr>
              <w:t>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：完成预定计划</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有效拉近群众关系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57" w:hRule="atLeast"/>
          <w:jc w:val="center"/>
        </w:trPr>
        <w:tc>
          <w:tcPr>
            <w:tcW w:w="918"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752"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288"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社会效益</w:t>
            </w:r>
            <w:r>
              <w:rPr>
                <w:rFonts w:hint="default" w:eastAsia="Times New Roman"/>
                <w:sz w:val="21"/>
                <w:szCs w:val="24"/>
              </w:rPr>
              <w:br w:type="textWrapping"/>
            </w:r>
            <w:r>
              <w:rPr>
                <w:rFonts w:hint="eastAsia"/>
                <w:sz w:val="21"/>
                <w:szCs w:val="24"/>
              </w:rPr>
              <w:t>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指标</w:t>
            </w:r>
            <w:r>
              <w:rPr>
                <w:rFonts w:hint="default"/>
                <w:sz w:val="21"/>
                <w:szCs w:val="24"/>
              </w:rPr>
              <w:t>1</w:t>
            </w:r>
            <w:r>
              <w:rPr>
                <w:rFonts w:hint="eastAsia"/>
                <w:sz w:val="21"/>
                <w:szCs w:val="24"/>
              </w:rPr>
              <w:t>：为居民解决困难诉求，开展各项寓教于乐活动</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918"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752"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288"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生态效益</w:t>
            </w:r>
            <w:r>
              <w:rPr>
                <w:rFonts w:hint="default" w:eastAsia="Times New Roman"/>
                <w:sz w:val="21"/>
                <w:szCs w:val="24"/>
              </w:rPr>
              <w:br w:type="textWrapping"/>
            </w:r>
            <w:r>
              <w:rPr>
                <w:rFonts w:hint="eastAsia"/>
                <w:sz w:val="21"/>
                <w:szCs w:val="24"/>
              </w:rPr>
              <w:t>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　</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87" w:hRule="atLeast"/>
          <w:jc w:val="center"/>
        </w:trPr>
        <w:tc>
          <w:tcPr>
            <w:tcW w:w="918"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752"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288"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可持续影响</w:t>
            </w:r>
            <w:r>
              <w:rPr>
                <w:rFonts w:hint="default" w:eastAsia="Times New Roman"/>
                <w:sz w:val="21"/>
                <w:szCs w:val="24"/>
              </w:rPr>
              <w:br w:type="textWrapping"/>
            </w:r>
            <w:r>
              <w:rPr>
                <w:rFonts w:hint="eastAsia"/>
                <w:sz w:val="21"/>
                <w:szCs w:val="24"/>
              </w:rPr>
              <w:t>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：后期将继续开展访惠聚工作</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继续有效开展访惠聚工作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2" w:hRule="atLeast"/>
          <w:jc w:val="center"/>
        </w:trPr>
        <w:tc>
          <w:tcPr>
            <w:tcW w:w="918" w:type="dxa"/>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752" w:type="dxa"/>
            <w:gridSpan w:val="2"/>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满意度</w:t>
            </w:r>
            <w:r>
              <w:rPr>
                <w:rFonts w:hint="default" w:eastAsia="Times New Roman"/>
                <w:sz w:val="21"/>
                <w:szCs w:val="24"/>
              </w:rPr>
              <w:br w:type="textWrapping"/>
            </w:r>
            <w:r>
              <w:rPr>
                <w:rFonts w:hint="eastAsia"/>
                <w:sz w:val="21"/>
                <w:szCs w:val="24"/>
              </w:rPr>
              <w:t>指标</w:t>
            </w:r>
          </w:p>
        </w:tc>
        <w:tc>
          <w:tcPr>
            <w:tcW w:w="1288"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满意度指标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指标</w:t>
            </w:r>
            <w:r>
              <w:rPr>
                <w:rFonts w:hint="default"/>
                <w:sz w:val="21"/>
                <w:szCs w:val="24"/>
              </w:rPr>
              <w:t>1</w:t>
            </w:r>
            <w:r>
              <w:rPr>
                <w:rFonts w:hint="eastAsia"/>
                <w:sz w:val="21"/>
                <w:szCs w:val="24"/>
              </w:rPr>
              <w:t>：辖区居民、所在社区满意率</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r>
    </w:tbl>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访惠聚工作队员补助经费项目绩效自评综述：根据年初设定的绩效目标，项目绩效自评得分为90分。访惠聚工作队员补助经费项目全年预算数为21.6万元</w:t>
      </w:r>
      <w:r>
        <w:rPr>
          <w:rFonts w:hint="default" w:ascii="宋体" w:hAnsi="Times New Roman"/>
          <w:kern w:val="0"/>
          <w:sz w:val="24"/>
          <w:szCs w:val="24"/>
        </w:rPr>
        <w:t>,</w:t>
      </w:r>
      <w:r>
        <w:rPr>
          <w:rFonts w:hint="eastAsia" w:ascii="宋体" w:hAnsi="Times New Roman"/>
          <w:kern w:val="0"/>
          <w:sz w:val="24"/>
          <w:szCs w:val="24"/>
        </w:rPr>
        <w:t>执行数为16.02万元，完成预算的74.16%。主要产出和效果：每名访惠聚工作队员生活上，工作上得到关心，确保访惠聚工作有效开展，工作队员无后顾之忧。发现的问题及原因：访惠聚工作队员补助更有实效性、针对性。下一步改进措施：切实考虑访惠聚工作队员生活需求，解决实际问题，更好的保障日后访惠聚工作队员日常工作。</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5"/>
        <w:gridCol w:w="7"/>
        <w:gridCol w:w="850"/>
        <w:gridCol w:w="8"/>
        <w:gridCol w:w="1288"/>
        <w:gridCol w:w="2071"/>
        <w:gridCol w:w="1891"/>
        <w:gridCol w:w="2255"/>
        <w:gridCol w:w="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67" w:type="dxa"/>
          <w:trHeight w:val="445" w:hRule="atLeast"/>
          <w:jc w:val="center"/>
        </w:trPr>
        <w:tc>
          <w:tcPr>
            <w:tcW w:w="9175" w:type="dxa"/>
            <w:gridSpan w:val="8"/>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line="340" w:lineRule="exact"/>
              <w:ind w:firstLine="2529" w:firstLineChars="700"/>
              <w:rPr>
                <w:rFonts w:hint="default" w:eastAsia="Times New Roman"/>
                <w:b/>
                <w:sz w:val="36"/>
                <w:szCs w:val="24"/>
              </w:rPr>
            </w:pPr>
            <w:r>
              <w:rPr>
                <w:rFonts w:hint="eastAsia"/>
                <w:b/>
                <w:sz w:val="36"/>
                <w:szCs w:val="24"/>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67" w:type="dxa"/>
          <w:trHeight w:val="282" w:hRule="atLeast"/>
          <w:jc w:val="center"/>
        </w:trPr>
        <w:tc>
          <w:tcPr>
            <w:tcW w:w="9175" w:type="dxa"/>
            <w:gridSpan w:val="8"/>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line="340" w:lineRule="exact"/>
              <w:jc w:val="center"/>
              <w:rPr>
                <w:rFonts w:hint="default" w:eastAsia="Times New Roman"/>
                <w:sz w:val="21"/>
                <w:szCs w:val="24"/>
              </w:rPr>
            </w:pPr>
            <w:r>
              <w:rPr>
                <w:rFonts w:hint="eastAsia"/>
                <w:sz w:val="21"/>
                <w:szCs w:val="24"/>
              </w:rPr>
              <w:t>（</w:t>
            </w:r>
            <w:r>
              <w:rPr>
                <w:rFonts w:hint="default"/>
                <w:sz w:val="21"/>
                <w:szCs w:val="24"/>
              </w:rPr>
              <w:t xml:space="preserve">   2018 </w:t>
            </w:r>
            <w:r>
              <w:rPr>
                <w:rFonts w:hint="eastAsia"/>
                <w:sz w:val="21"/>
                <w:szCs w:val="24"/>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2" w:hRule="atLeast"/>
          <w:jc w:val="center"/>
        </w:trPr>
        <w:tc>
          <w:tcPr>
            <w:tcW w:w="805" w:type="dxa"/>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line="340" w:lineRule="exact"/>
              <w:jc w:val="center"/>
              <w:rPr>
                <w:rFonts w:hint="default" w:eastAsia="Times New Roman"/>
                <w:sz w:val="21"/>
                <w:szCs w:val="24"/>
              </w:rPr>
            </w:pPr>
          </w:p>
        </w:tc>
        <w:tc>
          <w:tcPr>
            <w:tcW w:w="857" w:type="dxa"/>
            <w:gridSpan w:val="2"/>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line="340" w:lineRule="exact"/>
              <w:jc w:val="center"/>
              <w:rPr>
                <w:rFonts w:hint="default" w:eastAsia="Times New Roman"/>
                <w:sz w:val="21"/>
                <w:szCs w:val="24"/>
              </w:rPr>
            </w:pPr>
          </w:p>
        </w:tc>
        <w:tc>
          <w:tcPr>
            <w:tcW w:w="3367" w:type="dxa"/>
            <w:gridSpan w:val="3"/>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line="340" w:lineRule="exact"/>
              <w:jc w:val="center"/>
              <w:rPr>
                <w:rFonts w:hint="default" w:eastAsia="Times New Roman"/>
                <w:sz w:val="21"/>
                <w:szCs w:val="24"/>
              </w:rPr>
            </w:pPr>
          </w:p>
        </w:tc>
        <w:tc>
          <w:tcPr>
            <w:tcW w:w="1891" w:type="dxa"/>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line="340" w:lineRule="exact"/>
              <w:jc w:val="center"/>
              <w:rPr>
                <w:rFonts w:hint="default" w:eastAsia="Times New Roman"/>
                <w:sz w:val="21"/>
                <w:szCs w:val="24"/>
              </w:rPr>
            </w:pPr>
          </w:p>
        </w:tc>
        <w:tc>
          <w:tcPr>
            <w:tcW w:w="2422" w:type="dxa"/>
            <w:gridSpan w:val="2"/>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line="340" w:lineRule="exact"/>
              <w:jc w:val="center"/>
              <w:rPr>
                <w:rFonts w:hint="default" w:eastAsia="Times New Roman"/>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2958" w:type="dxa"/>
            <w:gridSpan w:val="5"/>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line="340" w:lineRule="exact"/>
              <w:jc w:val="center"/>
              <w:rPr>
                <w:rFonts w:hint="default" w:eastAsia="Times New Roman"/>
                <w:sz w:val="21"/>
                <w:szCs w:val="24"/>
              </w:rPr>
            </w:pPr>
            <w:r>
              <w:rPr>
                <w:rFonts w:hint="eastAsia"/>
                <w:sz w:val="21"/>
                <w:szCs w:val="24"/>
              </w:rPr>
              <w:t>预算单位</w:t>
            </w:r>
          </w:p>
        </w:tc>
        <w:tc>
          <w:tcPr>
            <w:tcW w:w="6384"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line="340" w:lineRule="exact"/>
              <w:jc w:val="center"/>
              <w:rPr>
                <w:rFonts w:hint="default" w:eastAsia="Times New Roman"/>
                <w:sz w:val="20"/>
                <w:szCs w:val="24"/>
              </w:rPr>
            </w:pPr>
            <w:r>
              <w:rPr>
                <w:rFonts w:hint="eastAsia"/>
                <w:sz w:val="20"/>
                <w:szCs w:val="24"/>
              </w:rPr>
              <w:t>水区安监局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2958" w:type="dxa"/>
            <w:gridSpan w:val="5"/>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line="340" w:lineRule="exact"/>
              <w:jc w:val="center"/>
              <w:rPr>
                <w:rFonts w:hint="default" w:eastAsia="Times New Roman"/>
                <w:sz w:val="21"/>
                <w:szCs w:val="24"/>
              </w:rPr>
            </w:pPr>
            <w:r>
              <w:rPr>
                <w:rFonts w:hint="eastAsia"/>
                <w:sz w:val="21"/>
                <w:szCs w:val="24"/>
              </w:rPr>
              <w:t>项目名称</w:t>
            </w:r>
          </w:p>
        </w:tc>
        <w:tc>
          <w:tcPr>
            <w:tcW w:w="6384" w:type="dxa"/>
            <w:gridSpan w:val="4"/>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line="340" w:lineRule="exact"/>
              <w:jc w:val="center"/>
              <w:rPr>
                <w:rFonts w:hint="default" w:eastAsia="Times New Roman"/>
                <w:sz w:val="20"/>
                <w:szCs w:val="24"/>
              </w:rPr>
            </w:pPr>
            <w:r>
              <w:rPr>
                <w:rFonts w:hint="eastAsia" w:ascii="宋体" w:hAnsi="Times New Roman"/>
                <w:sz w:val="24"/>
                <w:szCs w:val="24"/>
              </w:rPr>
              <w:t>访惠聚工作队员补助经费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48" w:hRule="atLeast"/>
          <w:jc w:val="center"/>
        </w:trPr>
        <w:tc>
          <w:tcPr>
            <w:tcW w:w="805" w:type="dxa"/>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预算</w:t>
            </w:r>
            <w:r>
              <w:rPr>
                <w:rFonts w:hint="default" w:eastAsia="Times New Roman"/>
                <w:sz w:val="21"/>
                <w:szCs w:val="24"/>
              </w:rPr>
              <w:br w:type="textWrapping"/>
            </w:r>
            <w:r>
              <w:rPr>
                <w:rFonts w:hint="eastAsia"/>
                <w:sz w:val="21"/>
                <w:szCs w:val="24"/>
              </w:rPr>
              <w:t>执行</w:t>
            </w:r>
            <w:r>
              <w:rPr>
                <w:rFonts w:hint="default" w:eastAsia="Times New Roman"/>
                <w:sz w:val="21"/>
                <w:szCs w:val="24"/>
              </w:rPr>
              <w:br w:type="textWrapping"/>
            </w:r>
            <w:r>
              <w:rPr>
                <w:rFonts w:hint="eastAsia"/>
                <w:sz w:val="21"/>
                <w:szCs w:val="24"/>
              </w:rPr>
              <w:t>情况</w:t>
            </w:r>
            <w:r>
              <w:rPr>
                <w:rFonts w:hint="default" w:eastAsia="Times New Roman"/>
                <w:sz w:val="21"/>
                <w:szCs w:val="24"/>
              </w:rPr>
              <w:br w:type="textWrapping"/>
            </w:r>
            <w:r>
              <w:rPr>
                <w:rFonts w:hint="eastAsia"/>
                <w:sz w:val="16"/>
                <w:szCs w:val="24"/>
              </w:rPr>
              <w:t>（万元）</w:t>
            </w:r>
          </w:p>
        </w:tc>
        <w:tc>
          <w:tcPr>
            <w:tcW w:w="4224" w:type="dxa"/>
            <w:gridSpan w:val="5"/>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预算数</w:t>
            </w:r>
          </w:p>
        </w:tc>
        <w:tc>
          <w:tcPr>
            <w:tcW w:w="4313" w:type="dxa"/>
            <w:gridSpan w:val="3"/>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84" w:hRule="atLeast"/>
          <w:jc w:val="center"/>
        </w:trPr>
        <w:tc>
          <w:tcPr>
            <w:tcW w:w="80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rPr>
                <w:rFonts w:hint="default" w:eastAsia="Times New Roman"/>
                <w:sz w:val="21"/>
                <w:szCs w:val="24"/>
              </w:rPr>
            </w:pPr>
          </w:p>
        </w:tc>
        <w:tc>
          <w:tcPr>
            <w:tcW w:w="2153"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rPr>
                <w:rFonts w:hint="default" w:eastAsia="Times New Roman"/>
                <w:sz w:val="22"/>
                <w:szCs w:val="24"/>
              </w:rPr>
            </w:pPr>
            <w:r>
              <w:rPr>
                <w:rFonts w:hint="eastAsia"/>
                <w:sz w:val="22"/>
                <w:szCs w:val="24"/>
              </w:rPr>
              <w:t>其中：财政拨款</w:t>
            </w:r>
          </w:p>
        </w:tc>
        <w:tc>
          <w:tcPr>
            <w:tcW w:w="2071" w:type="dxa"/>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21.6</w:t>
            </w:r>
          </w:p>
        </w:tc>
        <w:tc>
          <w:tcPr>
            <w:tcW w:w="1891" w:type="dxa"/>
            <w:tcBorders>
              <w:top w:val="nil"/>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rPr>
                <w:rFonts w:hint="default" w:eastAsia="Times New Roman"/>
                <w:sz w:val="22"/>
                <w:szCs w:val="24"/>
              </w:rPr>
            </w:pPr>
            <w:r>
              <w:rPr>
                <w:rFonts w:hint="eastAsia"/>
                <w:sz w:val="22"/>
                <w:szCs w:val="24"/>
              </w:rPr>
              <w:t>其中：财政拨款</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0"/>
                <w:szCs w:val="24"/>
              </w:rPr>
            </w:pPr>
            <w:r>
              <w:rPr>
                <w:rFonts w:hint="default"/>
                <w:sz w:val="20"/>
                <w:szCs w:val="24"/>
              </w:rPr>
              <w:t>16.02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08" w:hRule="atLeast"/>
          <w:jc w:val="center"/>
        </w:trPr>
        <w:tc>
          <w:tcPr>
            <w:tcW w:w="80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rPr>
                <w:rFonts w:hint="default" w:eastAsia="Times New Roman"/>
                <w:sz w:val="21"/>
                <w:szCs w:val="24"/>
              </w:rPr>
            </w:pPr>
          </w:p>
        </w:tc>
        <w:tc>
          <w:tcPr>
            <w:tcW w:w="2153"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rPr>
                <w:rFonts w:hint="default" w:eastAsia="Times New Roman"/>
                <w:sz w:val="22"/>
                <w:szCs w:val="24"/>
              </w:rPr>
            </w:pPr>
            <w:r>
              <w:rPr>
                <w:rFonts w:hint="eastAsia"/>
                <w:sz w:val="22"/>
                <w:szCs w:val="24"/>
              </w:rPr>
              <w:t>其他资金</w:t>
            </w:r>
          </w:p>
        </w:tc>
        <w:tc>
          <w:tcPr>
            <w:tcW w:w="2071" w:type="dxa"/>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1891" w:type="dxa"/>
            <w:tcBorders>
              <w:top w:val="single" w:color="auto" w:sz="4" w:space="0"/>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rPr>
                <w:rFonts w:hint="default" w:eastAsia="Times New Roman"/>
                <w:sz w:val="22"/>
                <w:szCs w:val="24"/>
              </w:rPr>
            </w:pPr>
            <w:r>
              <w:rPr>
                <w:rFonts w:hint="eastAsia"/>
                <w:sz w:val="22"/>
                <w:szCs w:val="24"/>
              </w:rPr>
              <w:t>其他资金</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right"/>
              <w:rPr>
                <w:rFonts w:hint="default" w:eastAsia="Times New Roman"/>
                <w:sz w:val="21"/>
                <w:szCs w:val="24"/>
              </w:rPr>
            </w:pPr>
            <w:r>
              <w:rPr>
                <w:rFonts w:hint="eastAsia"/>
                <w:sz w:val="21"/>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00" w:hRule="atLeast"/>
          <w:jc w:val="center"/>
        </w:trPr>
        <w:tc>
          <w:tcPr>
            <w:tcW w:w="805" w:type="dxa"/>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年度</w:t>
            </w:r>
            <w:r>
              <w:rPr>
                <w:rFonts w:hint="default" w:eastAsia="Times New Roman"/>
                <w:sz w:val="21"/>
                <w:szCs w:val="24"/>
              </w:rPr>
              <w:br w:type="textWrapping"/>
            </w:r>
            <w:r>
              <w:rPr>
                <w:rFonts w:hint="eastAsia"/>
                <w:sz w:val="21"/>
                <w:szCs w:val="24"/>
              </w:rPr>
              <w:t>目标</w:t>
            </w:r>
            <w:r>
              <w:rPr>
                <w:rFonts w:hint="default" w:eastAsia="Times New Roman"/>
                <w:sz w:val="21"/>
                <w:szCs w:val="24"/>
              </w:rPr>
              <w:br w:type="textWrapping"/>
            </w:r>
            <w:r>
              <w:rPr>
                <w:rFonts w:hint="eastAsia"/>
                <w:sz w:val="21"/>
                <w:szCs w:val="24"/>
              </w:rPr>
              <w:t>完成</w:t>
            </w:r>
            <w:r>
              <w:rPr>
                <w:rFonts w:hint="default" w:eastAsia="Times New Roman"/>
                <w:sz w:val="21"/>
                <w:szCs w:val="24"/>
              </w:rPr>
              <w:br w:type="textWrapping"/>
            </w:r>
            <w:r>
              <w:rPr>
                <w:rFonts w:hint="eastAsia"/>
                <w:sz w:val="21"/>
                <w:szCs w:val="24"/>
              </w:rPr>
              <w:t>情况</w:t>
            </w:r>
          </w:p>
        </w:tc>
        <w:tc>
          <w:tcPr>
            <w:tcW w:w="4224" w:type="dxa"/>
            <w:gridSpan w:val="5"/>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预期目标</w:t>
            </w:r>
          </w:p>
        </w:tc>
        <w:tc>
          <w:tcPr>
            <w:tcW w:w="4313" w:type="dxa"/>
            <w:gridSpan w:val="3"/>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815" w:hRule="atLeast"/>
          <w:jc w:val="center"/>
        </w:trPr>
        <w:tc>
          <w:tcPr>
            <w:tcW w:w="80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rPr>
                <w:rFonts w:hint="default" w:eastAsia="Times New Roman"/>
                <w:sz w:val="21"/>
                <w:szCs w:val="24"/>
              </w:rPr>
            </w:pPr>
          </w:p>
        </w:tc>
        <w:tc>
          <w:tcPr>
            <w:tcW w:w="4224" w:type="dxa"/>
            <w:gridSpan w:val="5"/>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top"/>
          </w:tcPr>
          <w:p>
            <w:pPr>
              <w:spacing w:beforeLines="0" w:afterLines="0"/>
              <w:ind w:firstLine="400" w:firstLineChars="200"/>
              <w:rPr>
                <w:rFonts w:hint="default" w:eastAsia="Times New Roman"/>
                <w:sz w:val="20"/>
                <w:szCs w:val="24"/>
              </w:rPr>
            </w:pPr>
            <w:r>
              <w:rPr>
                <w:rFonts w:hint="default"/>
                <w:sz w:val="20"/>
                <w:szCs w:val="24"/>
              </w:rPr>
              <w:t>2018</w:t>
            </w:r>
            <w:r>
              <w:rPr>
                <w:rFonts w:hint="eastAsia"/>
                <w:sz w:val="20"/>
                <w:szCs w:val="24"/>
              </w:rPr>
              <w:t>年访惠聚工作队补助经费，主要用于访惠聚工作队员个人每月伙食补助、通讯费补助、个人生活费补助。</w:t>
            </w:r>
          </w:p>
        </w:tc>
        <w:tc>
          <w:tcPr>
            <w:tcW w:w="4313" w:type="dxa"/>
            <w:gridSpan w:val="3"/>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top"/>
          </w:tcPr>
          <w:p>
            <w:pPr>
              <w:spacing w:beforeLines="0" w:afterLines="0"/>
              <w:ind w:firstLine="400" w:firstLineChars="200"/>
              <w:rPr>
                <w:rFonts w:hint="default" w:eastAsia="Times New Roman"/>
                <w:sz w:val="20"/>
                <w:szCs w:val="24"/>
              </w:rPr>
            </w:pPr>
            <w:r>
              <w:rPr>
                <w:rFonts w:hint="eastAsia"/>
                <w:sz w:val="20"/>
                <w:szCs w:val="24"/>
              </w:rPr>
              <w:t>按照访惠聚工作经费财务规定，每名访惠聚队员每月发放工作队员补助</w:t>
            </w:r>
            <w:r>
              <w:rPr>
                <w:rFonts w:hint="default"/>
                <w:sz w:val="20"/>
                <w:szCs w:val="24"/>
              </w:rPr>
              <w:t>1800</w:t>
            </w:r>
            <w:r>
              <w:rPr>
                <w:rFonts w:hint="eastAsia"/>
                <w:sz w:val="20"/>
                <w:szCs w:val="24"/>
              </w:rPr>
              <w:t>员，按季度发放。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4" w:hRule="atLeast"/>
          <w:jc w:val="center"/>
        </w:trPr>
        <w:tc>
          <w:tcPr>
            <w:tcW w:w="812" w:type="dxa"/>
            <w:gridSpan w:val="2"/>
            <w:vMerge w:val="restart"/>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年度</w:t>
            </w:r>
            <w:r>
              <w:rPr>
                <w:rFonts w:hint="default" w:eastAsia="Times New Roman"/>
                <w:sz w:val="21"/>
                <w:szCs w:val="24"/>
              </w:rPr>
              <w:br w:type="textWrapping"/>
            </w:r>
            <w:r>
              <w:rPr>
                <w:rFonts w:hint="eastAsia"/>
                <w:sz w:val="21"/>
                <w:szCs w:val="24"/>
              </w:rPr>
              <w:t>绩效</w:t>
            </w:r>
            <w:r>
              <w:rPr>
                <w:rFonts w:hint="default" w:eastAsia="Times New Roman"/>
                <w:sz w:val="21"/>
                <w:szCs w:val="24"/>
              </w:rPr>
              <w:br w:type="textWrapping"/>
            </w:r>
            <w:r>
              <w:rPr>
                <w:rFonts w:hint="eastAsia"/>
                <w:sz w:val="21"/>
                <w:szCs w:val="24"/>
              </w:rPr>
              <w:t>指标</w:t>
            </w:r>
            <w:r>
              <w:rPr>
                <w:rFonts w:hint="default" w:eastAsia="Times New Roman"/>
                <w:sz w:val="21"/>
                <w:szCs w:val="24"/>
              </w:rPr>
              <w:br w:type="textWrapping"/>
            </w:r>
            <w:r>
              <w:rPr>
                <w:rFonts w:hint="eastAsia"/>
                <w:sz w:val="21"/>
                <w:szCs w:val="24"/>
              </w:rPr>
              <w:t>完成</w:t>
            </w:r>
            <w:r>
              <w:rPr>
                <w:rFonts w:hint="default" w:eastAsia="Times New Roman"/>
                <w:sz w:val="21"/>
                <w:szCs w:val="24"/>
              </w:rPr>
              <w:br w:type="textWrapping"/>
            </w:r>
            <w:r>
              <w:rPr>
                <w:rFonts w:hint="eastAsia"/>
                <w:sz w:val="21"/>
                <w:szCs w:val="24"/>
              </w:rPr>
              <w:t>情况</w:t>
            </w:r>
          </w:p>
        </w:tc>
        <w:tc>
          <w:tcPr>
            <w:tcW w:w="858" w:type="dxa"/>
            <w:gridSpan w:val="2"/>
            <w:tcBorders>
              <w:top w:val="nil"/>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一级指标</w:t>
            </w:r>
          </w:p>
        </w:tc>
        <w:tc>
          <w:tcPr>
            <w:tcW w:w="1288"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二级指标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三级指标</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预期指标值（包含数字及文字描述）</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846"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rPr>
                <w:rFonts w:hint="default" w:eastAsia="Times New Roman"/>
                <w:sz w:val="21"/>
                <w:szCs w:val="24"/>
              </w:rPr>
            </w:pPr>
          </w:p>
        </w:tc>
        <w:tc>
          <w:tcPr>
            <w:tcW w:w="858" w:type="dxa"/>
            <w:gridSpan w:val="2"/>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项目完成指标</w:t>
            </w:r>
          </w:p>
        </w:tc>
        <w:tc>
          <w:tcPr>
            <w:tcW w:w="1288"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数量指标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0"/>
                <w:szCs w:val="24"/>
              </w:rPr>
            </w:pPr>
            <w:r>
              <w:rPr>
                <w:rFonts w:hint="eastAsia" w:ascii="宋体"/>
                <w:color w:val="000000"/>
                <w:kern w:val="0"/>
                <w:sz w:val="24"/>
                <w:szCs w:val="24"/>
              </w:rPr>
              <w:t>≤</w:t>
            </w:r>
            <w:r>
              <w:rPr>
                <w:rFonts w:hint="eastAsia" w:ascii="宋体" w:hAnsi="宋体"/>
                <w:color w:val="000000"/>
                <w:kern w:val="0"/>
                <w:sz w:val="24"/>
                <w:szCs w:val="24"/>
              </w:rPr>
              <w:t>21.6万元</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0"/>
                <w:szCs w:val="24"/>
              </w:rPr>
            </w:pPr>
            <w:r>
              <w:rPr>
                <w:rFonts w:hint="default"/>
                <w:sz w:val="20"/>
                <w:szCs w:val="24"/>
              </w:rPr>
              <w:t>2018</w:t>
            </w:r>
            <w:r>
              <w:rPr>
                <w:rFonts w:hint="eastAsia"/>
                <w:sz w:val="20"/>
                <w:szCs w:val="24"/>
              </w:rPr>
              <w:t>年访惠聚工作队员</w:t>
            </w:r>
            <w:r>
              <w:rPr>
                <w:rFonts w:hint="default"/>
                <w:sz w:val="20"/>
                <w:szCs w:val="24"/>
              </w:rPr>
              <w:t>9</w:t>
            </w:r>
            <w:r>
              <w:rPr>
                <w:rFonts w:hint="eastAsia"/>
                <w:sz w:val="20"/>
                <w:szCs w:val="24"/>
              </w:rPr>
              <w:t>名，其中</w:t>
            </w:r>
            <w:r>
              <w:rPr>
                <w:rFonts w:hint="default"/>
                <w:sz w:val="20"/>
                <w:szCs w:val="24"/>
              </w:rPr>
              <w:t>2017</w:t>
            </w:r>
            <w:r>
              <w:rPr>
                <w:rFonts w:hint="eastAsia"/>
                <w:sz w:val="20"/>
                <w:szCs w:val="24"/>
              </w:rPr>
              <w:t>年访惠聚队员</w:t>
            </w:r>
            <w:r>
              <w:rPr>
                <w:rFonts w:hint="default"/>
                <w:sz w:val="20"/>
                <w:szCs w:val="24"/>
              </w:rPr>
              <w:t>4</w:t>
            </w:r>
            <w:r>
              <w:rPr>
                <w:rFonts w:hint="eastAsia"/>
                <w:sz w:val="20"/>
                <w:szCs w:val="24"/>
              </w:rPr>
              <w:t>名，补助经费</w:t>
            </w:r>
            <w:r>
              <w:rPr>
                <w:rFonts w:hint="default"/>
                <w:sz w:val="20"/>
                <w:szCs w:val="24"/>
              </w:rPr>
              <w:t>16.02</w:t>
            </w:r>
            <w:r>
              <w:rPr>
                <w:rFonts w:hint="eastAsia"/>
                <w:sz w:val="20"/>
                <w:szCs w:val="24"/>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rPr>
                <w:rFonts w:hint="default" w:eastAsia="Times New Roman"/>
                <w:sz w:val="21"/>
                <w:szCs w:val="24"/>
              </w:rPr>
            </w:pPr>
          </w:p>
        </w:tc>
        <w:tc>
          <w:tcPr>
            <w:tcW w:w="85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eastAsia="Times New Roman"/>
                <w:sz w:val="21"/>
                <w:szCs w:val="24"/>
              </w:rPr>
            </w:pPr>
          </w:p>
        </w:tc>
        <w:tc>
          <w:tcPr>
            <w:tcW w:w="1288"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质量指标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：切实解决工作队队员生活需求</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2"/>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rPr>
                <w:rFonts w:hint="default" w:eastAsia="Times New Roman"/>
                <w:sz w:val="21"/>
                <w:szCs w:val="24"/>
              </w:rPr>
            </w:pPr>
            <w:r>
              <w:rPr>
                <w:rFonts w:hint="eastAsia"/>
                <w:sz w:val="21"/>
                <w:szCs w:val="24"/>
              </w:rPr>
              <w:t>　</w:t>
            </w:r>
            <w:r>
              <w:rPr>
                <w:rFonts w:hint="default"/>
                <w:sz w:val="21"/>
                <w:szCs w:val="24"/>
              </w:rPr>
              <w:t xml:space="preserve">    </w:t>
            </w:r>
            <w:r>
              <w:rPr>
                <w:rFonts w:hint="default"/>
                <w:sz w:val="22"/>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rPr>
                <w:rFonts w:hint="default" w:eastAsia="Times New Roman"/>
                <w:sz w:val="21"/>
                <w:szCs w:val="24"/>
              </w:rPr>
            </w:pPr>
          </w:p>
        </w:tc>
        <w:tc>
          <w:tcPr>
            <w:tcW w:w="85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eastAsia="Times New Roman"/>
                <w:sz w:val="21"/>
                <w:szCs w:val="24"/>
              </w:rPr>
            </w:pPr>
          </w:p>
        </w:tc>
        <w:tc>
          <w:tcPr>
            <w:tcW w:w="1288"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时效指标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：计划完成率</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ind w:firstLine="880" w:firstLineChars="400"/>
              <w:rPr>
                <w:rFonts w:hint="default" w:eastAsia="Times New Roman"/>
                <w:sz w:val="20"/>
                <w:szCs w:val="24"/>
              </w:rPr>
            </w:pPr>
            <w:r>
              <w:rPr>
                <w:rFonts w:hint="default"/>
                <w:sz w:val="22"/>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rPr>
                <w:rFonts w:hint="default" w:eastAsia="Times New Roman"/>
                <w:sz w:val="20"/>
                <w:szCs w:val="24"/>
              </w:rPr>
            </w:pPr>
            <w:r>
              <w:rPr>
                <w:rFonts w:hint="default"/>
                <w:sz w:val="21"/>
                <w:szCs w:val="24"/>
              </w:rPr>
              <w:t xml:space="preserve">       </w:t>
            </w:r>
            <w:r>
              <w:rPr>
                <w:rFonts w:hint="default"/>
                <w:sz w:val="22"/>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rPr>
                <w:rFonts w:hint="default" w:eastAsia="Times New Roman"/>
                <w:sz w:val="21"/>
                <w:szCs w:val="24"/>
              </w:rPr>
            </w:pPr>
          </w:p>
        </w:tc>
        <w:tc>
          <w:tcPr>
            <w:tcW w:w="85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rPr>
                <w:rFonts w:hint="default" w:eastAsia="Times New Roman"/>
                <w:sz w:val="21"/>
                <w:szCs w:val="24"/>
              </w:rPr>
            </w:pPr>
          </w:p>
        </w:tc>
        <w:tc>
          <w:tcPr>
            <w:tcW w:w="1288"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成本指标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　按年度预算完成率</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rPr>
                <w:rFonts w:hint="default" w:eastAsia="Times New Roman"/>
                <w:sz w:val="21"/>
                <w:szCs w:val="24"/>
              </w:rPr>
            </w:pPr>
            <w:r>
              <w:rPr>
                <w:rFonts w:hint="eastAsia"/>
                <w:sz w:val="21"/>
                <w:szCs w:val="24"/>
              </w:rPr>
              <w:t>　</w:t>
            </w:r>
            <w:r>
              <w:rPr>
                <w:rFonts w:hint="default"/>
                <w:sz w:val="21"/>
                <w:szCs w:val="24"/>
              </w:rPr>
              <w:t xml:space="preserve">     </w:t>
            </w:r>
            <w:r>
              <w:rPr>
                <w:rFonts w:hint="default"/>
                <w:sz w:val="22"/>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rPr>
                <w:rFonts w:hint="default" w:eastAsia="Times New Roman"/>
                <w:sz w:val="21"/>
                <w:szCs w:val="24"/>
              </w:rPr>
            </w:pPr>
          </w:p>
        </w:tc>
        <w:tc>
          <w:tcPr>
            <w:tcW w:w="858" w:type="dxa"/>
            <w:gridSpan w:val="2"/>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项目效果指标</w:t>
            </w:r>
          </w:p>
        </w:tc>
        <w:tc>
          <w:tcPr>
            <w:tcW w:w="1288"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经济效益</w:t>
            </w:r>
            <w:r>
              <w:rPr>
                <w:rFonts w:hint="default" w:eastAsia="Times New Roman"/>
                <w:sz w:val="21"/>
                <w:szCs w:val="24"/>
              </w:rPr>
              <w:br w:type="textWrapping"/>
            </w:r>
            <w:r>
              <w:rPr>
                <w:rFonts w:hint="eastAsia"/>
                <w:sz w:val="21"/>
                <w:szCs w:val="24"/>
              </w:rPr>
              <w:t>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：完成预定计划</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有效减少队员在生活上的后顾之忧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57"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rPr>
                <w:rFonts w:hint="default" w:eastAsia="Times New Roman"/>
                <w:sz w:val="21"/>
                <w:szCs w:val="24"/>
              </w:rPr>
            </w:pPr>
          </w:p>
        </w:tc>
        <w:tc>
          <w:tcPr>
            <w:tcW w:w="858"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rPr>
                <w:rFonts w:hint="default" w:eastAsia="Times New Roman"/>
                <w:sz w:val="21"/>
                <w:szCs w:val="24"/>
              </w:rPr>
            </w:pPr>
          </w:p>
        </w:tc>
        <w:tc>
          <w:tcPr>
            <w:tcW w:w="1288"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社会效益</w:t>
            </w:r>
            <w:r>
              <w:rPr>
                <w:rFonts w:hint="default" w:eastAsia="Times New Roman"/>
                <w:sz w:val="21"/>
                <w:szCs w:val="24"/>
              </w:rPr>
              <w:br w:type="textWrapping"/>
            </w:r>
            <w:r>
              <w:rPr>
                <w:rFonts w:hint="eastAsia"/>
                <w:sz w:val="21"/>
                <w:szCs w:val="24"/>
              </w:rPr>
              <w:t>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：切实解决工作队员日常生活开支</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0"/>
                <w:szCs w:val="24"/>
              </w:rPr>
            </w:pPr>
            <w:r>
              <w:rPr>
                <w:rFonts w:hint="default"/>
                <w:sz w:val="22"/>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0"/>
                <w:szCs w:val="24"/>
              </w:rPr>
            </w:pPr>
            <w:r>
              <w:rPr>
                <w:rFonts w:hint="default"/>
                <w:sz w:val="22"/>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rPr>
                <w:rFonts w:hint="default" w:eastAsia="Times New Roman"/>
                <w:sz w:val="21"/>
                <w:szCs w:val="24"/>
              </w:rPr>
            </w:pPr>
          </w:p>
        </w:tc>
        <w:tc>
          <w:tcPr>
            <w:tcW w:w="858"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rPr>
                <w:rFonts w:hint="default" w:eastAsia="Times New Roman"/>
                <w:sz w:val="21"/>
                <w:szCs w:val="24"/>
              </w:rPr>
            </w:pPr>
          </w:p>
        </w:tc>
        <w:tc>
          <w:tcPr>
            <w:tcW w:w="1288"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生态效益</w:t>
            </w:r>
            <w:r>
              <w:rPr>
                <w:rFonts w:hint="default" w:eastAsia="Times New Roman"/>
                <w:sz w:val="21"/>
                <w:szCs w:val="24"/>
              </w:rPr>
              <w:br w:type="textWrapping"/>
            </w:r>
            <w:r>
              <w:rPr>
                <w:rFonts w:hint="eastAsia"/>
                <w:sz w:val="21"/>
                <w:szCs w:val="24"/>
              </w:rPr>
              <w:t>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rPr>
                <w:rFonts w:hint="default" w:eastAsia="Times New Roman"/>
                <w:sz w:val="21"/>
                <w:szCs w:val="24"/>
              </w:rPr>
            </w:pPr>
            <w:r>
              <w:rPr>
                <w:rFonts w:hint="eastAsia"/>
                <w:sz w:val="21"/>
                <w:szCs w:val="24"/>
              </w:rPr>
              <w:t>　</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rPr>
                <w:rFonts w:hint="default" w:eastAsia="Times New Roman"/>
                <w:sz w:val="21"/>
                <w:szCs w:val="24"/>
              </w:rPr>
            </w:pPr>
            <w:r>
              <w:rPr>
                <w:rFonts w:hint="eastAsia"/>
                <w:sz w:val="21"/>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87"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rPr>
                <w:rFonts w:hint="default" w:eastAsia="Times New Roman"/>
                <w:sz w:val="21"/>
                <w:szCs w:val="24"/>
              </w:rPr>
            </w:pPr>
          </w:p>
        </w:tc>
        <w:tc>
          <w:tcPr>
            <w:tcW w:w="858"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rPr>
                <w:rFonts w:hint="default" w:eastAsia="Times New Roman"/>
                <w:sz w:val="21"/>
                <w:szCs w:val="24"/>
              </w:rPr>
            </w:pPr>
          </w:p>
        </w:tc>
        <w:tc>
          <w:tcPr>
            <w:tcW w:w="1288"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可持续影响</w:t>
            </w:r>
            <w:r>
              <w:rPr>
                <w:rFonts w:hint="default" w:eastAsia="Times New Roman"/>
                <w:sz w:val="21"/>
                <w:szCs w:val="24"/>
              </w:rPr>
              <w:br w:type="textWrapping"/>
            </w:r>
            <w:r>
              <w:rPr>
                <w:rFonts w:hint="eastAsia"/>
                <w:sz w:val="21"/>
                <w:szCs w:val="24"/>
              </w:rPr>
              <w:t>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：后期将继续开展访惠聚工作</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0"/>
                <w:szCs w:val="24"/>
              </w:rPr>
            </w:pPr>
            <w:r>
              <w:rPr>
                <w:rFonts w:hint="eastAsia"/>
                <w:sz w:val="21"/>
                <w:szCs w:val="24"/>
              </w:rPr>
              <w:t>有效</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0"/>
                <w:szCs w:val="24"/>
              </w:rPr>
            </w:pPr>
            <w:r>
              <w:rPr>
                <w:rFonts w:hint="default"/>
                <w:sz w:val="21"/>
                <w:szCs w:val="24"/>
              </w:rPr>
              <w:t xml:space="preserve"> </w:t>
            </w:r>
            <w:r>
              <w:rPr>
                <w:rFonts w:hint="eastAsia"/>
                <w:sz w:val="21"/>
                <w:szCs w:val="24"/>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2"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rPr>
                <w:rFonts w:hint="default" w:eastAsia="Times New Roman"/>
                <w:sz w:val="21"/>
                <w:szCs w:val="24"/>
              </w:rPr>
            </w:pPr>
          </w:p>
        </w:tc>
        <w:tc>
          <w:tcPr>
            <w:tcW w:w="858" w:type="dxa"/>
            <w:gridSpan w:val="2"/>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满意度</w:t>
            </w:r>
            <w:r>
              <w:rPr>
                <w:rFonts w:hint="default" w:eastAsia="Times New Roman"/>
                <w:sz w:val="21"/>
                <w:szCs w:val="24"/>
              </w:rPr>
              <w:br w:type="textWrapping"/>
            </w:r>
            <w:r>
              <w:rPr>
                <w:rFonts w:hint="eastAsia"/>
                <w:sz w:val="21"/>
                <w:szCs w:val="24"/>
              </w:rPr>
              <w:t>指标</w:t>
            </w:r>
          </w:p>
        </w:tc>
        <w:tc>
          <w:tcPr>
            <w:tcW w:w="1288"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满意度指标</w:t>
            </w:r>
          </w:p>
        </w:tc>
        <w:tc>
          <w:tcPr>
            <w:tcW w:w="2071"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：访惠聚工作队员</w:t>
            </w:r>
          </w:p>
        </w:tc>
        <w:tc>
          <w:tcPr>
            <w:tcW w:w="1891"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0"/>
                <w:szCs w:val="24"/>
              </w:rPr>
            </w:pPr>
            <w:r>
              <w:rPr>
                <w:rFonts w:hint="default"/>
                <w:sz w:val="22"/>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0"/>
                <w:szCs w:val="24"/>
              </w:rPr>
            </w:pPr>
            <w:r>
              <w:rPr>
                <w:rFonts w:hint="default"/>
                <w:sz w:val="22"/>
                <w:szCs w:val="24"/>
              </w:rPr>
              <w:t>100%</w:t>
            </w:r>
          </w:p>
        </w:tc>
      </w:tr>
    </w:tbl>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访惠聚第一书记办实事工作经费项目绩效自评综述：根据年初设定的绩效目标，项目绩效自评得分为75分。访惠聚第一书记办实事工作经费项目全年预算数为4.3万元，执行数为1.75万元，完成预算的40.69%。主要产出和效果：有效开展访惠聚各项活动，切实解决群众困难诉求，做好群众服务工作，加强基层党组织建设。发现的问题及原因：访惠聚工作队第一书记办实事更有实效性、针对性。下一步改进措施：切实考虑访惠聚为民办实事的实际需求，解决实际问题，更好的保障访惠聚工作队日常工作落到实处。</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05"/>
        <w:gridCol w:w="7"/>
        <w:gridCol w:w="850"/>
        <w:gridCol w:w="8"/>
        <w:gridCol w:w="1516"/>
        <w:gridCol w:w="1985"/>
        <w:gridCol w:w="1749"/>
        <w:gridCol w:w="2255"/>
        <w:gridCol w:w="1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67" w:type="dxa"/>
          <w:trHeight w:val="445" w:hRule="atLeast"/>
          <w:jc w:val="center"/>
        </w:trPr>
        <w:tc>
          <w:tcPr>
            <w:tcW w:w="9175" w:type="dxa"/>
            <w:gridSpan w:val="8"/>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b/>
                <w:sz w:val="36"/>
                <w:szCs w:val="24"/>
              </w:rPr>
            </w:pPr>
            <w:r>
              <w:rPr>
                <w:rFonts w:hint="eastAsia"/>
                <w:b/>
                <w:sz w:val="36"/>
                <w:szCs w:val="24"/>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67" w:type="dxa"/>
          <w:trHeight w:val="282" w:hRule="atLeast"/>
          <w:jc w:val="center"/>
        </w:trPr>
        <w:tc>
          <w:tcPr>
            <w:tcW w:w="9175" w:type="dxa"/>
            <w:gridSpan w:val="8"/>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w:t>
            </w:r>
            <w:r>
              <w:rPr>
                <w:rFonts w:hint="default"/>
                <w:sz w:val="21"/>
                <w:szCs w:val="24"/>
              </w:rPr>
              <w:t xml:space="preserve">   2018 </w:t>
            </w:r>
            <w:r>
              <w:rPr>
                <w:rFonts w:hint="eastAsia"/>
                <w:sz w:val="21"/>
                <w:szCs w:val="24"/>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2" w:hRule="atLeast"/>
          <w:jc w:val="center"/>
        </w:trPr>
        <w:tc>
          <w:tcPr>
            <w:tcW w:w="805" w:type="dxa"/>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857" w:type="dxa"/>
            <w:gridSpan w:val="2"/>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3509" w:type="dxa"/>
            <w:gridSpan w:val="3"/>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1749" w:type="dxa"/>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2422" w:type="dxa"/>
            <w:gridSpan w:val="2"/>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3186" w:type="dxa"/>
            <w:gridSpan w:val="5"/>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预算单位</w:t>
            </w:r>
          </w:p>
        </w:tc>
        <w:tc>
          <w:tcPr>
            <w:tcW w:w="6156"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0"/>
                <w:szCs w:val="24"/>
              </w:rPr>
            </w:pPr>
            <w:r>
              <w:rPr>
                <w:rFonts w:hint="eastAsia"/>
                <w:sz w:val="20"/>
                <w:szCs w:val="24"/>
              </w:rPr>
              <w:t>水区安监局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3186" w:type="dxa"/>
            <w:gridSpan w:val="5"/>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项目名称</w:t>
            </w:r>
          </w:p>
        </w:tc>
        <w:tc>
          <w:tcPr>
            <w:tcW w:w="6156" w:type="dxa"/>
            <w:gridSpan w:val="4"/>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访惠聚驻村工作经费（第一书记办实事）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805" w:type="dxa"/>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预算</w:t>
            </w:r>
            <w:r>
              <w:rPr>
                <w:rFonts w:hint="default" w:eastAsia="Times New Roman"/>
                <w:sz w:val="21"/>
                <w:szCs w:val="24"/>
              </w:rPr>
              <w:br w:type="textWrapping"/>
            </w:r>
            <w:r>
              <w:rPr>
                <w:rFonts w:hint="eastAsia"/>
                <w:sz w:val="21"/>
                <w:szCs w:val="24"/>
              </w:rPr>
              <w:t>执行</w:t>
            </w:r>
            <w:r>
              <w:rPr>
                <w:rFonts w:hint="default" w:eastAsia="Times New Roman"/>
                <w:sz w:val="21"/>
                <w:szCs w:val="24"/>
              </w:rPr>
              <w:br w:type="textWrapping"/>
            </w:r>
            <w:r>
              <w:rPr>
                <w:rFonts w:hint="eastAsia"/>
                <w:sz w:val="21"/>
                <w:szCs w:val="24"/>
              </w:rPr>
              <w:t>情况</w:t>
            </w:r>
            <w:r>
              <w:rPr>
                <w:rFonts w:hint="default" w:eastAsia="Times New Roman"/>
                <w:sz w:val="21"/>
                <w:szCs w:val="24"/>
              </w:rPr>
              <w:br w:type="textWrapping"/>
            </w:r>
            <w:r>
              <w:rPr>
                <w:rFonts w:hint="eastAsia"/>
                <w:sz w:val="21"/>
                <w:szCs w:val="24"/>
              </w:rPr>
              <w:t>（万元）</w:t>
            </w:r>
          </w:p>
        </w:tc>
        <w:tc>
          <w:tcPr>
            <w:tcW w:w="4366" w:type="dxa"/>
            <w:gridSpan w:val="5"/>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预算数</w:t>
            </w:r>
          </w:p>
        </w:tc>
        <w:tc>
          <w:tcPr>
            <w:tcW w:w="4171" w:type="dxa"/>
            <w:gridSpan w:val="3"/>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84" w:hRule="atLeast"/>
          <w:jc w:val="center"/>
        </w:trPr>
        <w:tc>
          <w:tcPr>
            <w:tcW w:w="80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2381"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其中：财政拨款</w:t>
            </w:r>
          </w:p>
        </w:tc>
        <w:tc>
          <w:tcPr>
            <w:tcW w:w="1985" w:type="dxa"/>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4.3</w:t>
            </w:r>
            <w:r>
              <w:rPr>
                <w:rFonts w:hint="eastAsia"/>
                <w:sz w:val="21"/>
                <w:szCs w:val="24"/>
              </w:rPr>
              <w:t>万</w:t>
            </w:r>
          </w:p>
        </w:tc>
        <w:tc>
          <w:tcPr>
            <w:tcW w:w="1749" w:type="dxa"/>
            <w:tcBorders>
              <w:top w:val="nil"/>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其中：财政拨款</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1.75</w:t>
            </w:r>
            <w:r>
              <w:rPr>
                <w:rFonts w:hint="eastAsia"/>
                <w:sz w:val="21"/>
                <w:szCs w:val="24"/>
              </w:rPr>
              <w:t>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06" w:hRule="atLeast"/>
          <w:jc w:val="center"/>
        </w:trPr>
        <w:tc>
          <w:tcPr>
            <w:tcW w:w="80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2381"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其他资金</w:t>
            </w:r>
          </w:p>
        </w:tc>
        <w:tc>
          <w:tcPr>
            <w:tcW w:w="1985" w:type="dxa"/>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1749" w:type="dxa"/>
            <w:tcBorders>
              <w:top w:val="single" w:color="auto" w:sz="4" w:space="0"/>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其他资金</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83" w:hRule="atLeast"/>
          <w:jc w:val="center"/>
        </w:trPr>
        <w:tc>
          <w:tcPr>
            <w:tcW w:w="805" w:type="dxa"/>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年度</w:t>
            </w:r>
            <w:r>
              <w:rPr>
                <w:rFonts w:hint="default" w:eastAsia="Times New Roman"/>
                <w:sz w:val="21"/>
                <w:szCs w:val="24"/>
              </w:rPr>
              <w:br w:type="textWrapping"/>
            </w:r>
            <w:r>
              <w:rPr>
                <w:rFonts w:hint="eastAsia"/>
                <w:sz w:val="21"/>
                <w:szCs w:val="24"/>
              </w:rPr>
              <w:t>目标</w:t>
            </w:r>
            <w:r>
              <w:rPr>
                <w:rFonts w:hint="default" w:eastAsia="Times New Roman"/>
                <w:sz w:val="21"/>
                <w:szCs w:val="24"/>
              </w:rPr>
              <w:br w:type="textWrapping"/>
            </w:r>
            <w:r>
              <w:rPr>
                <w:rFonts w:hint="eastAsia"/>
                <w:sz w:val="21"/>
                <w:szCs w:val="24"/>
              </w:rPr>
              <w:t>完成</w:t>
            </w:r>
            <w:r>
              <w:rPr>
                <w:rFonts w:hint="default" w:eastAsia="Times New Roman"/>
                <w:sz w:val="21"/>
                <w:szCs w:val="24"/>
              </w:rPr>
              <w:br w:type="textWrapping"/>
            </w:r>
            <w:r>
              <w:rPr>
                <w:rFonts w:hint="eastAsia"/>
                <w:sz w:val="21"/>
                <w:szCs w:val="24"/>
              </w:rPr>
              <w:t>情况</w:t>
            </w:r>
          </w:p>
        </w:tc>
        <w:tc>
          <w:tcPr>
            <w:tcW w:w="4366" w:type="dxa"/>
            <w:gridSpan w:val="5"/>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预期目标</w:t>
            </w:r>
          </w:p>
        </w:tc>
        <w:tc>
          <w:tcPr>
            <w:tcW w:w="4171" w:type="dxa"/>
            <w:gridSpan w:val="3"/>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970" w:hRule="atLeast"/>
          <w:jc w:val="center"/>
        </w:trPr>
        <w:tc>
          <w:tcPr>
            <w:tcW w:w="80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4366" w:type="dxa"/>
            <w:gridSpan w:val="5"/>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top"/>
          </w:tcPr>
          <w:p>
            <w:pPr>
              <w:spacing w:beforeLines="0" w:afterLines="0"/>
              <w:ind w:firstLine="420" w:firstLineChars="200"/>
              <w:jc w:val="center"/>
              <w:rPr>
                <w:rFonts w:hint="default" w:eastAsia="Times New Roman"/>
                <w:sz w:val="21"/>
                <w:szCs w:val="24"/>
              </w:rPr>
            </w:pPr>
            <w:r>
              <w:rPr>
                <w:rFonts w:hint="eastAsia"/>
                <w:sz w:val="21"/>
                <w:szCs w:val="24"/>
              </w:rPr>
              <w:t>访惠聚第一书记工作经费主要是为辖区群众民办实事，开展宣教，解决群众困难诉求，加强基层党组织建设，开展民族团结一家亲等活动。</w:t>
            </w:r>
          </w:p>
        </w:tc>
        <w:tc>
          <w:tcPr>
            <w:tcW w:w="4171" w:type="dxa"/>
            <w:gridSpan w:val="3"/>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top"/>
          </w:tcPr>
          <w:p>
            <w:pPr>
              <w:spacing w:beforeLines="0" w:afterLines="0"/>
              <w:ind w:firstLine="420" w:firstLineChars="200"/>
              <w:jc w:val="center"/>
              <w:rPr>
                <w:rFonts w:hint="default" w:eastAsia="Times New Roman"/>
                <w:sz w:val="21"/>
                <w:szCs w:val="24"/>
              </w:rPr>
            </w:pPr>
            <w:r>
              <w:rPr>
                <w:rFonts w:hint="eastAsia"/>
                <w:sz w:val="21"/>
                <w:szCs w:val="24"/>
              </w:rPr>
              <w:t>通过</w:t>
            </w:r>
            <w:r>
              <w:rPr>
                <w:rFonts w:hint="default"/>
                <w:sz w:val="21"/>
                <w:szCs w:val="24"/>
              </w:rPr>
              <w:t>2018</w:t>
            </w:r>
            <w:r>
              <w:rPr>
                <w:rFonts w:hint="eastAsia"/>
                <w:sz w:val="21"/>
                <w:szCs w:val="24"/>
              </w:rPr>
              <w:t>年访惠聚工作队的努力，圆满完成工作任务，得到群众满意，评为优秀工作队。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4" w:hRule="atLeast"/>
          <w:jc w:val="center"/>
        </w:trPr>
        <w:tc>
          <w:tcPr>
            <w:tcW w:w="812" w:type="dxa"/>
            <w:gridSpan w:val="2"/>
            <w:vMerge w:val="restart"/>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年度</w:t>
            </w:r>
            <w:r>
              <w:rPr>
                <w:rFonts w:hint="default" w:eastAsia="Times New Roman"/>
                <w:sz w:val="21"/>
                <w:szCs w:val="24"/>
              </w:rPr>
              <w:br w:type="textWrapping"/>
            </w:r>
            <w:r>
              <w:rPr>
                <w:rFonts w:hint="eastAsia"/>
                <w:sz w:val="21"/>
                <w:szCs w:val="24"/>
              </w:rPr>
              <w:t>绩效</w:t>
            </w:r>
            <w:r>
              <w:rPr>
                <w:rFonts w:hint="default" w:eastAsia="Times New Roman"/>
                <w:sz w:val="21"/>
                <w:szCs w:val="24"/>
              </w:rPr>
              <w:br w:type="textWrapping"/>
            </w:r>
            <w:r>
              <w:rPr>
                <w:rFonts w:hint="eastAsia"/>
                <w:sz w:val="21"/>
                <w:szCs w:val="24"/>
              </w:rPr>
              <w:t>指标</w:t>
            </w:r>
            <w:r>
              <w:rPr>
                <w:rFonts w:hint="default" w:eastAsia="Times New Roman"/>
                <w:sz w:val="21"/>
                <w:szCs w:val="24"/>
              </w:rPr>
              <w:br w:type="textWrapping"/>
            </w:r>
            <w:r>
              <w:rPr>
                <w:rFonts w:hint="eastAsia"/>
                <w:sz w:val="21"/>
                <w:szCs w:val="24"/>
              </w:rPr>
              <w:t>完成</w:t>
            </w:r>
            <w:r>
              <w:rPr>
                <w:rFonts w:hint="default" w:eastAsia="Times New Roman"/>
                <w:sz w:val="21"/>
                <w:szCs w:val="24"/>
              </w:rPr>
              <w:br w:type="textWrapping"/>
            </w:r>
            <w:r>
              <w:rPr>
                <w:rFonts w:hint="eastAsia"/>
                <w:sz w:val="21"/>
                <w:szCs w:val="24"/>
              </w:rPr>
              <w:t>情况</w:t>
            </w:r>
          </w:p>
        </w:tc>
        <w:tc>
          <w:tcPr>
            <w:tcW w:w="858" w:type="dxa"/>
            <w:gridSpan w:val="2"/>
            <w:tcBorders>
              <w:top w:val="nil"/>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一级指标</w:t>
            </w:r>
          </w:p>
        </w:tc>
        <w:tc>
          <w:tcPr>
            <w:tcW w:w="1516"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二级指标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三级指标</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预期指标值（包含数字及文字描述）</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64"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项目完成指标</w:t>
            </w: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数量指标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：完成各项宣教活动，解决群众困难诉求、开展民族团结一家亲等各项工作。</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≤4.3</w:t>
            </w:r>
            <w:r>
              <w:rPr>
                <w:rFonts w:hint="eastAsia"/>
                <w:sz w:val="21"/>
                <w:szCs w:val="24"/>
              </w:rPr>
              <w:t>万元</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eastAsia"/>
                <w:sz w:val="21"/>
                <w:szCs w:val="24"/>
              </w:rPr>
              <w:t>完成活动</w:t>
            </w:r>
            <w:r>
              <w:rPr>
                <w:rFonts w:hint="default"/>
                <w:sz w:val="21"/>
                <w:szCs w:val="24"/>
              </w:rPr>
              <w:t>≥60</w:t>
            </w:r>
            <w:r>
              <w:rPr>
                <w:rFonts w:hint="eastAsia"/>
                <w:sz w:val="21"/>
                <w:szCs w:val="24"/>
              </w:rPr>
              <w:t>场，解决群众困难诉求</w:t>
            </w:r>
            <w:r>
              <w:rPr>
                <w:rFonts w:hint="default"/>
                <w:sz w:val="21"/>
                <w:szCs w:val="24"/>
              </w:rPr>
              <w:t>34</w:t>
            </w:r>
            <w:r>
              <w:rPr>
                <w:rFonts w:hint="eastAsia"/>
                <w:sz w:val="21"/>
                <w:szCs w:val="24"/>
              </w:rPr>
              <w:t>件，民族团结接亲</w:t>
            </w:r>
            <w:r>
              <w:rPr>
                <w:rFonts w:hint="default"/>
                <w:sz w:val="21"/>
                <w:szCs w:val="24"/>
              </w:rPr>
              <w:t>4</w:t>
            </w:r>
            <w:r>
              <w:rPr>
                <w:rFonts w:hint="eastAsia"/>
                <w:sz w:val="21"/>
                <w:szCs w:val="24"/>
              </w:rPr>
              <w:t>户等，完成</w:t>
            </w: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质量指标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：提高服务群众能力</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时效指标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：计划完成率</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ind w:firstLine="630" w:firstLineChars="30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成本指标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　按年度预算完成率</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项目效果指标</w:t>
            </w: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经济效益</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：完成预定计划</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57"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社会效益</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：切实解决群众困难诉求</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eastAsia"/>
                <w:sz w:val="21"/>
                <w:szCs w:val="24"/>
              </w:rPr>
              <w:t>完成率</w:t>
            </w: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生态效益</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6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可持续影响</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：后期将继续开展访惠聚工作</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2"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满意度</w:t>
            </w:r>
            <w:r>
              <w:rPr>
                <w:rFonts w:hint="default" w:eastAsia="Times New Roman"/>
                <w:sz w:val="21"/>
                <w:szCs w:val="24"/>
              </w:rPr>
              <w:br w:type="textWrapping"/>
            </w:r>
            <w:r>
              <w:rPr>
                <w:rFonts w:hint="eastAsia"/>
                <w:sz w:val="21"/>
                <w:szCs w:val="24"/>
              </w:rPr>
              <w:t>指标</w:t>
            </w: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满意度指标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：群众、社区满意率</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67" w:type="dxa"/>
          <w:trHeight w:val="445" w:hRule="atLeast"/>
          <w:jc w:val="center"/>
        </w:trPr>
        <w:tc>
          <w:tcPr>
            <w:tcW w:w="9175" w:type="dxa"/>
            <w:gridSpan w:val="8"/>
            <w:tcBorders>
              <w:top w:val="nil"/>
              <w:left w:val="nil"/>
              <w:bottom w:val="nil"/>
              <w:right w:val="nil"/>
              <w:tl2br w:val="nil"/>
              <w:tr2bl w:val="nil"/>
            </w:tcBorders>
            <w:noWrap w:val="0"/>
            <w:tcMar>
              <w:top w:w="15" w:type="dxa"/>
              <w:left w:w="15" w:type="dxa"/>
              <w:bottom w:w="0" w:type="dxa"/>
              <w:right w:w="15" w:type="dxa"/>
            </w:tcMar>
            <w:vAlign w:val="center"/>
          </w:tcPr>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2018年临时聘用人员经费项目绩效自评综述：根据年初设定的绩效目标，项目绩效自评得分为100分，2018年临时聘用人员经费项目全年预算数为6.5万元，执行数为6.5万元，完成预算的100%。主要产出和效果：通过临聘人员的努力工作，全区安全生产工作有效开展。</w:t>
            </w:r>
          </w:p>
          <w:p>
            <w:pPr>
              <w:spacing w:beforeLines="0" w:afterLines="0"/>
              <w:jc w:val="center"/>
              <w:rPr>
                <w:rFonts w:hint="default" w:eastAsia="Times New Roman"/>
                <w:b/>
                <w:sz w:val="36"/>
                <w:szCs w:val="24"/>
              </w:rPr>
            </w:pPr>
            <w:r>
              <w:rPr>
                <w:rFonts w:hint="eastAsia"/>
                <w:b/>
                <w:sz w:val="36"/>
                <w:szCs w:val="24"/>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67" w:type="dxa"/>
          <w:trHeight w:val="282" w:hRule="atLeast"/>
          <w:jc w:val="center"/>
        </w:trPr>
        <w:tc>
          <w:tcPr>
            <w:tcW w:w="9175" w:type="dxa"/>
            <w:gridSpan w:val="8"/>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w:t>
            </w:r>
            <w:r>
              <w:rPr>
                <w:rFonts w:hint="default"/>
                <w:sz w:val="21"/>
                <w:szCs w:val="24"/>
              </w:rPr>
              <w:t xml:space="preserve">   2018 </w:t>
            </w:r>
            <w:r>
              <w:rPr>
                <w:rFonts w:hint="eastAsia"/>
                <w:sz w:val="21"/>
                <w:szCs w:val="24"/>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2" w:hRule="atLeast"/>
          <w:jc w:val="center"/>
        </w:trPr>
        <w:tc>
          <w:tcPr>
            <w:tcW w:w="805" w:type="dxa"/>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857" w:type="dxa"/>
            <w:gridSpan w:val="2"/>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3509" w:type="dxa"/>
            <w:gridSpan w:val="3"/>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1749" w:type="dxa"/>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2422" w:type="dxa"/>
            <w:gridSpan w:val="2"/>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3186" w:type="dxa"/>
            <w:gridSpan w:val="5"/>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预算单位</w:t>
            </w:r>
          </w:p>
        </w:tc>
        <w:tc>
          <w:tcPr>
            <w:tcW w:w="6156"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水区安监局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3186" w:type="dxa"/>
            <w:gridSpan w:val="5"/>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项目名称</w:t>
            </w:r>
          </w:p>
        </w:tc>
        <w:tc>
          <w:tcPr>
            <w:tcW w:w="6156" w:type="dxa"/>
            <w:gridSpan w:val="4"/>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2018</w:t>
            </w:r>
            <w:r>
              <w:rPr>
                <w:rFonts w:hint="eastAsia"/>
                <w:sz w:val="21"/>
                <w:szCs w:val="24"/>
              </w:rPr>
              <w:t>年临时聘用人员经费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805" w:type="dxa"/>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预算</w:t>
            </w:r>
            <w:r>
              <w:rPr>
                <w:rFonts w:hint="default" w:eastAsia="Times New Roman"/>
                <w:sz w:val="21"/>
                <w:szCs w:val="24"/>
              </w:rPr>
              <w:br w:type="textWrapping"/>
            </w:r>
            <w:r>
              <w:rPr>
                <w:rFonts w:hint="eastAsia"/>
                <w:sz w:val="21"/>
                <w:szCs w:val="24"/>
              </w:rPr>
              <w:t>执行</w:t>
            </w:r>
            <w:r>
              <w:rPr>
                <w:rFonts w:hint="default" w:eastAsia="Times New Roman"/>
                <w:sz w:val="21"/>
                <w:szCs w:val="24"/>
              </w:rPr>
              <w:br w:type="textWrapping"/>
            </w:r>
            <w:r>
              <w:rPr>
                <w:rFonts w:hint="eastAsia"/>
                <w:sz w:val="21"/>
                <w:szCs w:val="24"/>
              </w:rPr>
              <w:t>情况</w:t>
            </w:r>
            <w:r>
              <w:rPr>
                <w:rFonts w:hint="default" w:eastAsia="Times New Roman"/>
                <w:sz w:val="21"/>
                <w:szCs w:val="24"/>
              </w:rPr>
              <w:br w:type="textWrapping"/>
            </w:r>
            <w:r>
              <w:rPr>
                <w:rFonts w:hint="eastAsia"/>
                <w:sz w:val="21"/>
                <w:szCs w:val="24"/>
              </w:rPr>
              <w:t>（万元）</w:t>
            </w:r>
          </w:p>
        </w:tc>
        <w:tc>
          <w:tcPr>
            <w:tcW w:w="4366" w:type="dxa"/>
            <w:gridSpan w:val="5"/>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预算数</w:t>
            </w:r>
          </w:p>
        </w:tc>
        <w:tc>
          <w:tcPr>
            <w:tcW w:w="4171" w:type="dxa"/>
            <w:gridSpan w:val="3"/>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62" w:hRule="atLeast"/>
          <w:jc w:val="center"/>
        </w:trPr>
        <w:tc>
          <w:tcPr>
            <w:tcW w:w="80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2381"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其中：财政拨款</w:t>
            </w:r>
          </w:p>
        </w:tc>
        <w:tc>
          <w:tcPr>
            <w:tcW w:w="1985" w:type="dxa"/>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6.5</w:t>
            </w:r>
          </w:p>
        </w:tc>
        <w:tc>
          <w:tcPr>
            <w:tcW w:w="1749" w:type="dxa"/>
            <w:tcBorders>
              <w:top w:val="nil"/>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其中：财政拨款</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98" w:hRule="atLeast"/>
          <w:jc w:val="center"/>
        </w:trPr>
        <w:tc>
          <w:tcPr>
            <w:tcW w:w="80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2381"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其他资金</w:t>
            </w:r>
          </w:p>
        </w:tc>
        <w:tc>
          <w:tcPr>
            <w:tcW w:w="1985" w:type="dxa"/>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1749" w:type="dxa"/>
            <w:tcBorders>
              <w:top w:val="single" w:color="auto" w:sz="4" w:space="0"/>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其他资金</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89" w:hRule="atLeast"/>
          <w:jc w:val="center"/>
        </w:trPr>
        <w:tc>
          <w:tcPr>
            <w:tcW w:w="805" w:type="dxa"/>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年度</w:t>
            </w:r>
            <w:r>
              <w:rPr>
                <w:rFonts w:hint="default" w:eastAsia="Times New Roman"/>
                <w:sz w:val="21"/>
                <w:szCs w:val="24"/>
              </w:rPr>
              <w:br w:type="textWrapping"/>
            </w:r>
            <w:r>
              <w:rPr>
                <w:rFonts w:hint="eastAsia"/>
                <w:sz w:val="21"/>
                <w:szCs w:val="24"/>
              </w:rPr>
              <w:t>目标</w:t>
            </w:r>
            <w:r>
              <w:rPr>
                <w:rFonts w:hint="default" w:eastAsia="Times New Roman"/>
                <w:sz w:val="21"/>
                <w:szCs w:val="24"/>
              </w:rPr>
              <w:br w:type="textWrapping"/>
            </w:r>
            <w:r>
              <w:rPr>
                <w:rFonts w:hint="eastAsia"/>
                <w:sz w:val="21"/>
                <w:szCs w:val="24"/>
              </w:rPr>
              <w:t>完成</w:t>
            </w:r>
            <w:r>
              <w:rPr>
                <w:rFonts w:hint="default" w:eastAsia="Times New Roman"/>
                <w:sz w:val="21"/>
                <w:szCs w:val="24"/>
              </w:rPr>
              <w:br w:type="textWrapping"/>
            </w:r>
            <w:r>
              <w:rPr>
                <w:rFonts w:hint="eastAsia"/>
                <w:sz w:val="21"/>
                <w:szCs w:val="24"/>
              </w:rPr>
              <w:t>情况</w:t>
            </w:r>
          </w:p>
        </w:tc>
        <w:tc>
          <w:tcPr>
            <w:tcW w:w="4366" w:type="dxa"/>
            <w:gridSpan w:val="5"/>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预期目标</w:t>
            </w:r>
          </w:p>
        </w:tc>
        <w:tc>
          <w:tcPr>
            <w:tcW w:w="4171" w:type="dxa"/>
            <w:gridSpan w:val="3"/>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693" w:hRule="atLeast"/>
          <w:jc w:val="center"/>
        </w:trPr>
        <w:tc>
          <w:tcPr>
            <w:tcW w:w="80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4366" w:type="dxa"/>
            <w:gridSpan w:val="5"/>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top"/>
          </w:tcPr>
          <w:p>
            <w:pPr>
              <w:spacing w:beforeLines="0" w:afterLines="0"/>
              <w:ind w:firstLine="420" w:firstLineChars="200"/>
              <w:jc w:val="center"/>
              <w:rPr>
                <w:rFonts w:hint="default" w:eastAsia="Times New Roman"/>
                <w:sz w:val="21"/>
                <w:szCs w:val="24"/>
              </w:rPr>
            </w:pPr>
            <w:r>
              <w:rPr>
                <w:rFonts w:hint="eastAsia"/>
                <w:sz w:val="21"/>
                <w:szCs w:val="24"/>
              </w:rPr>
              <w:t>按照年初区人事局临聘人员计划安排，区安监局临聘人员为</w:t>
            </w:r>
            <w:r>
              <w:rPr>
                <w:rFonts w:hint="default"/>
                <w:sz w:val="21"/>
                <w:szCs w:val="24"/>
              </w:rPr>
              <w:t>3</w:t>
            </w:r>
            <w:r>
              <w:rPr>
                <w:rFonts w:hint="eastAsia"/>
                <w:sz w:val="21"/>
                <w:szCs w:val="24"/>
              </w:rPr>
              <w:t>人。</w:t>
            </w:r>
          </w:p>
        </w:tc>
        <w:tc>
          <w:tcPr>
            <w:tcW w:w="4171" w:type="dxa"/>
            <w:gridSpan w:val="3"/>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top"/>
          </w:tcPr>
          <w:p>
            <w:pPr>
              <w:spacing w:beforeLines="0" w:afterLines="0"/>
              <w:ind w:firstLine="420" w:firstLineChars="200"/>
              <w:jc w:val="center"/>
              <w:rPr>
                <w:rFonts w:hint="default" w:eastAsia="Times New Roman"/>
                <w:sz w:val="21"/>
                <w:szCs w:val="24"/>
              </w:rPr>
            </w:pPr>
            <w:r>
              <w:rPr>
                <w:rFonts w:hint="eastAsia"/>
                <w:sz w:val="21"/>
                <w:szCs w:val="24"/>
              </w:rPr>
              <w:t>通过招聘等方式，陆陆续续聘用临时人员</w:t>
            </w:r>
            <w:r>
              <w:rPr>
                <w:rFonts w:hint="default"/>
                <w:sz w:val="21"/>
                <w:szCs w:val="24"/>
              </w:rPr>
              <w:t>3</w:t>
            </w:r>
            <w:r>
              <w:rPr>
                <w:rFonts w:hint="eastAsia"/>
                <w:sz w:val="21"/>
                <w:szCs w:val="24"/>
              </w:rPr>
              <w:t>人，有效开展安全生产各项工作。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4" w:hRule="atLeast"/>
          <w:jc w:val="center"/>
        </w:trPr>
        <w:tc>
          <w:tcPr>
            <w:tcW w:w="812" w:type="dxa"/>
            <w:gridSpan w:val="2"/>
            <w:vMerge w:val="restart"/>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年度</w:t>
            </w:r>
            <w:r>
              <w:rPr>
                <w:rFonts w:hint="default" w:eastAsia="Times New Roman"/>
                <w:sz w:val="21"/>
                <w:szCs w:val="24"/>
              </w:rPr>
              <w:br w:type="textWrapping"/>
            </w:r>
            <w:r>
              <w:rPr>
                <w:rFonts w:hint="eastAsia"/>
                <w:sz w:val="21"/>
                <w:szCs w:val="24"/>
              </w:rPr>
              <w:t>绩效</w:t>
            </w:r>
            <w:r>
              <w:rPr>
                <w:rFonts w:hint="default" w:eastAsia="Times New Roman"/>
                <w:sz w:val="21"/>
                <w:szCs w:val="24"/>
              </w:rPr>
              <w:br w:type="textWrapping"/>
            </w:r>
            <w:r>
              <w:rPr>
                <w:rFonts w:hint="eastAsia"/>
                <w:sz w:val="21"/>
                <w:szCs w:val="24"/>
              </w:rPr>
              <w:t>指标</w:t>
            </w:r>
            <w:r>
              <w:rPr>
                <w:rFonts w:hint="default" w:eastAsia="Times New Roman"/>
                <w:sz w:val="21"/>
                <w:szCs w:val="24"/>
              </w:rPr>
              <w:br w:type="textWrapping"/>
            </w:r>
            <w:r>
              <w:rPr>
                <w:rFonts w:hint="eastAsia"/>
                <w:sz w:val="21"/>
                <w:szCs w:val="24"/>
              </w:rPr>
              <w:t>完成</w:t>
            </w:r>
            <w:r>
              <w:rPr>
                <w:rFonts w:hint="default" w:eastAsia="Times New Roman"/>
                <w:sz w:val="21"/>
                <w:szCs w:val="24"/>
              </w:rPr>
              <w:br w:type="textWrapping"/>
            </w:r>
            <w:r>
              <w:rPr>
                <w:rFonts w:hint="eastAsia"/>
                <w:sz w:val="21"/>
                <w:szCs w:val="24"/>
              </w:rPr>
              <w:t>情况</w:t>
            </w:r>
          </w:p>
        </w:tc>
        <w:tc>
          <w:tcPr>
            <w:tcW w:w="858" w:type="dxa"/>
            <w:gridSpan w:val="2"/>
            <w:tcBorders>
              <w:top w:val="nil"/>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一级指标</w:t>
            </w:r>
          </w:p>
        </w:tc>
        <w:tc>
          <w:tcPr>
            <w:tcW w:w="1516"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二级指标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三级指标</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预期指标值（包含数字及文字描述）</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34"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项目完成指标</w:t>
            </w: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数量指标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：聘用</w:t>
            </w:r>
            <w:r>
              <w:rPr>
                <w:rFonts w:hint="default"/>
                <w:sz w:val="21"/>
                <w:szCs w:val="24"/>
              </w:rPr>
              <w:t>3</w:t>
            </w:r>
            <w:r>
              <w:rPr>
                <w:rFonts w:hint="eastAsia"/>
                <w:sz w:val="21"/>
                <w:szCs w:val="24"/>
              </w:rPr>
              <w:t>人</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≤6.5</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2018</w:t>
            </w:r>
            <w:r>
              <w:rPr>
                <w:rFonts w:hint="eastAsia"/>
                <w:sz w:val="21"/>
                <w:szCs w:val="24"/>
              </w:rPr>
              <w:t>年全年完成聘用人员</w:t>
            </w:r>
            <w:r>
              <w:rPr>
                <w:rFonts w:hint="default"/>
                <w:sz w:val="21"/>
                <w:szCs w:val="24"/>
              </w:rPr>
              <w:t>3</w:t>
            </w:r>
            <w:r>
              <w:rPr>
                <w:rFonts w:hint="eastAsia"/>
                <w:sz w:val="21"/>
                <w:szCs w:val="24"/>
              </w:rPr>
              <w:t>人，完成</w:t>
            </w: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质量指标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：按要求临时聘用人员工资</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时效指标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：计划完成率</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ind w:firstLine="840" w:firstLineChars="40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成本指标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　按年度预算完成率</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项目效果指标</w:t>
            </w: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经济效益</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：完成预定计划</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57"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社会效益</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：临时聘用人员工资的发放</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生态效益</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　</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87"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可持续影响</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：有利于促进安全生产可持续发展</w:t>
            </w:r>
          </w:p>
          <w:p>
            <w:pPr>
              <w:spacing w:beforeLines="0" w:afterLines="0"/>
              <w:jc w:val="center"/>
              <w:rPr>
                <w:rFonts w:hint="default" w:eastAsia="Times New Roman"/>
                <w:sz w:val="21"/>
                <w:szCs w:val="24"/>
              </w:rPr>
            </w:pP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2"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满意度</w:t>
            </w:r>
            <w:r>
              <w:rPr>
                <w:rFonts w:hint="default" w:eastAsia="Times New Roman"/>
                <w:sz w:val="21"/>
                <w:szCs w:val="24"/>
              </w:rPr>
              <w:br w:type="textWrapping"/>
            </w:r>
            <w:r>
              <w:rPr>
                <w:rFonts w:hint="eastAsia"/>
                <w:sz w:val="21"/>
                <w:szCs w:val="24"/>
              </w:rPr>
              <w:t>指标</w:t>
            </w: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满意度指标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：临时聘用人员</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67" w:type="dxa"/>
          <w:trHeight w:val="445" w:hRule="atLeast"/>
          <w:jc w:val="center"/>
        </w:trPr>
        <w:tc>
          <w:tcPr>
            <w:tcW w:w="9175" w:type="dxa"/>
            <w:gridSpan w:val="8"/>
            <w:tcBorders>
              <w:top w:val="nil"/>
              <w:left w:val="nil"/>
              <w:bottom w:val="nil"/>
              <w:right w:val="nil"/>
              <w:tl2br w:val="nil"/>
              <w:tr2bl w:val="nil"/>
            </w:tcBorders>
            <w:noWrap w:val="0"/>
            <w:tcMar>
              <w:top w:w="15" w:type="dxa"/>
              <w:left w:w="15" w:type="dxa"/>
              <w:bottom w:w="0" w:type="dxa"/>
              <w:right w:w="15" w:type="dxa"/>
            </w:tcMar>
            <w:vAlign w:val="center"/>
          </w:tcPr>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访惠聚工作队租房设施、设备经费项目绩效自评综述：根据年初设定的绩效目标，项目绩效自评得分为100分。访惠聚工作队租房设施、设备经费项目全年预算数为13.43万元，执行数为13.43万元，完成预算的100%。主要产出和效果：访惠聚队员租房4套，生活设备设施购置，生活中所需的用气、用电、用水、用暖等费用。</w:t>
            </w:r>
          </w:p>
          <w:p>
            <w:pPr>
              <w:spacing w:beforeLines="0" w:afterLines="0"/>
              <w:jc w:val="center"/>
              <w:rPr>
                <w:rFonts w:hint="default" w:eastAsia="Times New Roman"/>
                <w:b/>
                <w:sz w:val="36"/>
                <w:szCs w:val="24"/>
              </w:rPr>
            </w:pPr>
            <w:r>
              <w:rPr>
                <w:rFonts w:hint="eastAsia"/>
                <w:b/>
                <w:sz w:val="36"/>
                <w:szCs w:val="24"/>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67" w:type="dxa"/>
          <w:trHeight w:val="282" w:hRule="atLeast"/>
          <w:jc w:val="center"/>
        </w:trPr>
        <w:tc>
          <w:tcPr>
            <w:tcW w:w="9175" w:type="dxa"/>
            <w:gridSpan w:val="8"/>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w:t>
            </w:r>
            <w:r>
              <w:rPr>
                <w:rFonts w:hint="default"/>
                <w:sz w:val="21"/>
                <w:szCs w:val="24"/>
              </w:rPr>
              <w:t xml:space="preserve">   2018 </w:t>
            </w:r>
            <w:r>
              <w:rPr>
                <w:rFonts w:hint="eastAsia"/>
                <w:sz w:val="21"/>
                <w:szCs w:val="24"/>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2" w:hRule="atLeast"/>
          <w:jc w:val="center"/>
        </w:trPr>
        <w:tc>
          <w:tcPr>
            <w:tcW w:w="805" w:type="dxa"/>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857" w:type="dxa"/>
            <w:gridSpan w:val="2"/>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3509" w:type="dxa"/>
            <w:gridSpan w:val="3"/>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1749" w:type="dxa"/>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2422" w:type="dxa"/>
            <w:gridSpan w:val="2"/>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3186" w:type="dxa"/>
            <w:gridSpan w:val="5"/>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预算单位</w:t>
            </w:r>
          </w:p>
        </w:tc>
        <w:tc>
          <w:tcPr>
            <w:tcW w:w="6156"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0"/>
                <w:szCs w:val="24"/>
              </w:rPr>
            </w:pPr>
            <w:r>
              <w:rPr>
                <w:rFonts w:hint="eastAsia"/>
                <w:sz w:val="20"/>
                <w:szCs w:val="24"/>
              </w:rPr>
              <w:t>水区安监局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3186" w:type="dxa"/>
            <w:gridSpan w:val="5"/>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项目名称</w:t>
            </w:r>
          </w:p>
        </w:tc>
        <w:tc>
          <w:tcPr>
            <w:tcW w:w="6156" w:type="dxa"/>
            <w:gridSpan w:val="4"/>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访惠聚工作队租房设施、设备经费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805" w:type="dxa"/>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预算</w:t>
            </w:r>
            <w:r>
              <w:rPr>
                <w:rFonts w:hint="default" w:eastAsia="Times New Roman"/>
                <w:sz w:val="21"/>
                <w:szCs w:val="24"/>
              </w:rPr>
              <w:br w:type="textWrapping"/>
            </w:r>
            <w:r>
              <w:rPr>
                <w:rFonts w:hint="eastAsia"/>
                <w:sz w:val="21"/>
                <w:szCs w:val="24"/>
              </w:rPr>
              <w:t>执行</w:t>
            </w:r>
            <w:r>
              <w:rPr>
                <w:rFonts w:hint="default" w:eastAsia="Times New Roman"/>
                <w:sz w:val="21"/>
                <w:szCs w:val="24"/>
              </w:rPr>
              <w:br w:type="textWrapping"/>
            </w:r>
            <w:r>
              <w:rPr>
                <w:rFonts w:hint="eastAsia"/>
                <w:sz w:val="21"/>
                <w:szCs w:val="24"/>
              </w:rPr>
              <w:t>情况</w:t>
            </w:r>
            <w:r>
              <w:rPr>
                <w:rFonts w:hint="default" w:eastAsia="Times New Roman"/>
                <w:sz w:val="21"/>
                <w:szCs w:val="24"/>
              </w:rPr>
              <w:br w:type="textWrapping"/>
            </w:r>
            <w:r>
              <w:rPr>
                <w:rFonts w:hint="eastAsia"/>
                <w:sz w:val="21"/>
                <w:szCs w:val="24"/>
              </w:rPr>
              <w:t>（万元）</w:t>
            </w:r>
          </w:p>
        </w:tc>
        <w:tc>
          <w:tcPr>
            <w:tcW w:w="4366" w:type="dxa"/>
            <w:gridSpan w:val="5"/>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预算数</w:t>
            </w:r>
          </w:p>
        </w:tc>
        <w:tc>
          <w:tcPr>
            <w:tcW w:w="4171" w:type="dxa"/>
            <w:gridSpan w:val="3"/>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84" w:hRule="atLeast"/>
          <w:jc w:val="center"/>
        </w:trPr>
        <w:tc>
          <w:tcPr>
            <w:tcW w:w="80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2381"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其中：财政拨款</w:t>
            </w:r>
          </w:p>
        </w:tc>
        <w:tc>
          <w:tcPr>
            <w:tcW w:w="1985" w:type="dxa"/>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13.43</w:t>
            </w:r>
            <w:r>
              <w:rPr>
                <w:rFonts w:hint="eastAsia"/>
                <w:sz w:val="21"/>
                <w:szCs w:val="24"/>
              </w:rPr>
              <w:t>万</w:t>
            </w:r>
          </w:p>
        </w:tc>
        <w:tc>
          <w:tcPr>
            <w:tcW w:w="1749" w:type="dxa"/>
            <w:tcBorders>
              <w:top w:val="nil"/>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其中：财政拨款</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13.43</w:t>
            </w:r>
            <w:r>
              <w:rPr>
                <w:rFonts w:hint="eastAsia"/>
                <w:sz w:val="21"/>
                <w:szCs w:val="24"/>
              </w:rPr>
              <w:t>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06" w:hRule="atLeast"/>
          <w:jc w:val="center"/>
        </w:trPr>
        <w:tc>
          <w:tcPr>
            <w:tcW w:w="80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2381"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其他资金</w:t>
            </w:r>
          </w:p>
        </w:tc>
        <w:tc>
          <w:tcPr>
            <w:tcW w:w="1985" w:type="dxa"/>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1749" w:type="dxa"/>
            <w:tcBorders>
              <w:top w:val="single" w:color="auto" w:sz="4" w:space="0"/>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其他资金</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83" w:hRule="atLeast"/>
          <w:jc w:val="center"/>
        </w:trPr>
        <w:tc>
          <w:tcPr>
            <w:tcW w:w="805" w:type="dxa"/>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年度</w:t>
            </w:r>
            <w:r>
              <w:rPr>
                <w:rFonts w:hint="default" w:eastAsia="Times New Roman"/>
                <w:sz w:val="21"/>
                <w:szCs w:val="24"/>
              </w:rPr>
              <w:br w:type="textWrapping"/>
            </w:r>
            <w:r>
              <w:rPr>
                <w:rFonts w:hint="eastAsia"/>
                <w:sz w:val="21"/>
                <w:szCs w:val="24"/>
              </w:rPr>
              <w:t>目标</w:t>
            </w:r>
            <w:r>
              <w:rPr>
                <w:rFonts w:hint="default" w:eastAsia="Times New Roman"/>
                <w:sz w:val="21"/>
                <w:szCs w:val="24"/>
              </w:rPr>
              <w:br w:type="textWrapping"/>
            </w:r>
            <w:r>
              <w:rPr>
                <w:rFonts w:hint="eastAsia"/>
                <w:sz w:val="21"/>
                <w:szCs w:val="24"/>
              </w:rPr>
              <w:t>完成</w:t>
            </w:r>
            <w:r>
              <w:rPr>
                <w:rFonts w:hint="default" w:eastAsia="Times New Roman"/>
                <w:sz w:val="21"/>
                <w:szCs w:val="24"/>
              </w:rPr>
              <w:br w:type="textWrapping"/>
            </w:r>
            <w:r>
              <w:rPr>
                <w:rFonts w:hint="eastAsia"/>
                <w:sz w:val="21"/>
                <w:szCs w:val="24"/>
              </w:rPr>
              <w:t>情况</w:t>
            </w:r>
          </w:p>
        </w:tc>
        <w:tc>
          <w:tcPr>
            <w:tcW w:w="4366" w:type="dxa"/>
            <w:gridSpan w:val="5"/>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预期目标</w:t>
            </w:r>
          </w:p>
        </w:tc>
        <w:tc>
          <w:tcPr>
            <w:tcW w:w="4171" w:type="dxa"/>
            <w:gridSpan w:val="3"/>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1112" w:hRule="atLeast"/>
          <w:jc w:val="center"/>
        </w:trPr>
        <w:tc>
          <w:tcPr>
            <w:tcW w:w="80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4366" w:type="dxa"/>
            <w:gridSpan w:val="5"/>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top"/>
          </w:tcPr>
          <w:p>
            <w:pPr>
              <w:spacing w:beforeLines="0" w:afterLines="0"/>
              <w:ind w:firstLine="420" w:firstLineChars="200"/>
              <w:jc w:val="center"/>
              <w:rPr>
                <w:rFonts w:hint="default" w:eastAsia="Times New Roman"/>
                <w:sz w:val="21"/>
                <w:szCs w:val="24"/>
              </w:rPr>
            </w:pPr>
            <w:r>
              <w:rPr>
                <w:rFonts w:hint="default"/>
                <w:sz w:val="21"/>
                <w:szCs w:val="24"/>
              </w:rPr>
              <w:t>2018</w:t>
            </w:r>
            <w:r>
              <w:rPr>
                <w:rFonts w:hint="eastAsia"/>
                <w:sz w:val="21"/>
                <w:szCs w:val="24"/>
              </w:rPr>
              <w:t>年访惠聚工作队租房设施、设备经费主要用于访惠聚队员宿舍房租和工作队员生活设备设施购置，确保工作队员安心下沉基层，切实为民办实事。</w:t>
            </w:r>
          </w:p>
        </w:tc>
        <w:tc>
          <w:tcPr>
            <w:tcW w:w="4171" w:type="dxa"/>
            <w:gridSpan w:val="3"/>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top"/>
          </w:tcPr>
          <w:p>
            <w:pPr>
              <w:spacing w:beforeLines="0" w:afterLines="0"/>
              <w:ind w:firstLine="420" w:firstLineChars="200"/>
              <w:jc w:val="center"/>
              <w:rPr>
                <w:rFonts w:hint="default" w:eastAsia="Times New Roman"/>
                <w:sz w:val="21"/>
                <w:szCs w:val="24"/>
              </w:rPr>
            </w:pPr>
            <w:r>
              <w:rPr>
                <w:rFonts w:hint="default"/>
                <w:sz w:val="21"/>
                <w:szCs w:val="24"/>
              </w:rPr>
              <w:t>2018</w:t>
            </w:r>
            <w:r>
              <w:rPr>
                <w:rFonts w:hint="eastAsia"/>
                <w:sz w:val="21"/>
                <w:szCs w:val="24"/>
              </w:rPr>
              <w:t>年访惠聚队员</w:t>
            </w:r>
            <w:r>
              <w:rPr>
                <w:rFonts w:hint="default"/>
                <w:sz w:val="21"/>
                <w:szCs w:val="24"/>
              </w:rPr>
              <w:t>9</w:t>
            </w:r>
            <w:r>
              <w:rPr>
                <w:rFonts w:hint="eastAsia"/>
                <w:sz w:val="21"/>
                <w:szCs w:val="24"/>
              </w:rPr>
              <w:t>名，分两个工作队，租赁宿舍</w:t>
            </w:r>
            <w:r>
              <w:rPr>
                <w:rFonts w:hint="default"/>
                <w:sz w:val="21"/>
                <w:szCs w:val="24"/>
              </w:rPr>
              <w:t>4</w:t>
            </w:r>
            <w:r>
              <w:rPr>
                <w:rFonts w:hint="eastAsia"/>
                <w:sz w:val="21"/>
                <w:szCs w:val="24"/>
              </w:rPr>
              <w:t>套，简单购置生活设施，生活中使用的电、暖、水、气等经费。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4" w:hRule="atLeast"/>
          <w:jc w:val="center"/>
        </w:trPr>
        <w:tc>
          <w:tcPr>
            <w:tcW w:w="812" w:type="dxa"/>
            <w:gridSpan w:val="2"/>
            <w:vMerge w:val="restart"/>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年度</w:t>
            </w:r>
            <w:r>
              <w:rPr>
                <w:rFonts w:hint="default" w:eastAsia="Times New Roman"/>
                <w:sz w:val="21"/>
                <w:szCs w:val="24"/>
              </w:rPr>
              <w:br w:type="textWrapping"/>
            </w:r>
            <w:r>
              <w:rPr>
                <w:rFonts w:hint="eastAsia"/>
                <w:sz w:val="21"/>
                <w:szCs w:val="24"/>
              </w:rPr>
              <w:t>绩效</w:t>
            </w:r>
            <w:r>
              <w:rPr>
                <w:rFonts w:hint="default" w:eastAsia="Times New Roman"/>
                <w:sz w:val="21"/>
                <w:szCs w:val="24"/>
              </w:rPr>
              <w:br w:type="textWrapping"/>
            </w:r>
            <w:r>
              <w:rPr>
                <w:rFonts w:hint="eastAsia"/>
                <w:sz w:val="21"/>
                <w:szCs w:val="24"/>
              </w:rPr>
              <w:t>指标</w:t>
            </w:r>
            <w:r>
              <w:rPr>
                <w:rFonts w:hint="default" w:eastAsia="Times New Roman"/>
                <w:sz w:val="21"/>
                <w:szCs w:val="24"/>
              </w:rPr>
              <w:br w:type="textWrapping"/>
            </w:r>
            <w:r>
              <w:rPr>
                <w:rFonts w:hint="eastAsia"/>
                <w:sz w:val="21"/>
                <w:szCs w:val="24"/>
              </w:rPr>
              <w:t>完成</w:t>
            </w:r>
            <w:r>
              <w:rPr>
                <w:rFonts w:hint="default" w:eastAsia="Times New Roman"/>
                <w:sz w:val="21"/>
                <w:szCs w:val="24"/>
              </w:rPr>
              <w:br w:type="textWrapping"/>
            </w:r>
            <w:r>
              <w:rPr>
                <w:rFonts w:hint="eastAsia"/>
                <w:sz w:val="21"/>
                <w:szCs w:val="24"/>
              </w:rPr>
              <w:t>情况</w:t>
            </w:r>
          </w:p>
        </w:tc>
        <w:tc>
          <w:tcPr>
            <w:tcW w:w="858" w:type="dxa"/>
            <w:gridSpan w:val="2"/>
            <w:tcBorders>
              <w:top w:val="nil"/>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一级指标</w:t>
            </w:r>
          </w:p>
        </w:tc>
        <w:tc>
          <w:tcPr>
            <w:tcW w:w="1516"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二级指标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三级指标</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预期指标值（包含数字及文字描述）</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34"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项目完成指标</w:t>
            </w: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数量指标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w:t>
            </w:r>
            <w:r>
              <w:rPr>
                <w:rFonts w:hint="default"/>
                <w:sz w:val="21"/>
                <w:szCs w:val="24"/>
              </w:rPr>
              <w:t>2</w:t>
            </w:r>
            <w:r>
              <w:rPr>
                <w:rFonts w:hint="eastAsia"/>
                <w:sz w:val="21"/>
                <w:szCs w:val="24"/>
              </w:rPr>
              <w:t>个工作队房租，生活设备设施购置等。</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≤13.43</w:t>
            </w:r>
            <w:r>
              <w:rPr>
                <w:rFonts w:hint="eastAsia"/>
                <w:sz w:val="21"/>
                <w:szCs w:val="24"/>
              </w:rPr>
              <w:t>万元</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租赁宿舍</w:t>
            </w:r>
            <w:r>
              <w:rPr>
                <w:rFonts w:hint="default"/>
                <w:sz w:val="21"/>
                <w:szCs w:val="24"/>
              </w:rPr>
              <w:t>4</w:t>
            </w:r>
            <w:r>
              <w:rPr>
                <w:rFonts w:hint="eastAsia"/>
                <w:sz w:val="21"/>
                <w:szCs w:val="24"/>
              </w:rPr>
              <w:t>套，简单购置生活设施，生活中使用的电、暖、水、气等经费完成</w:t>
            </w:r>
            <w:r>
              <w:rPr>
                <w:rFonts w:hint="default"/>
                <w:sz w:val="21"/>
                <w:szCs w:val="24"/>
              </w:rPr>
              <w:t>100%</w:t>
            </w:r>
            <w:r>
              <w:rPr>
                <w:rFonts w:hint="eastAsia"/>
                <w:sz w:val="21"/>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质量指标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：切实解决队员生活中问题</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top"/>
          </w:tcPr>
          <w:p>
            <w:pPr>
              <w:spacing w:beforeLines="0" w:afterLines="0"/>
              <w:jc w:val="center"/>
              <w:rPr>
                <w:rFonts w:hint="default" w:eastAsia="Times New Roman"/>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时效指标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：计划完成率</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ind w:firstLine="840" w:firstLineChars="40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top"/>
          </w:tcPr>
          <w:p>
            <w:pPr>
              <w:spacing w:beforeLines="0" w:afterLines="0"/>
              <w:jc w:val="center"/>
              <w:rPr>
                <w:rFonts w:hint="default" w:eastAsia="Times New Roman"/>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成本指标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　按年度预算完成率</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项目效果指标</w:t>
            </w: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经济效益</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：完成预定计划</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57"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社会效益</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：安全员工资的发放</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生态效益</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　</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6"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可持续影响</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：持续解决队员生活中的问题</w:t>
            </w:r>
          </w:p>
          <w:p>
            <w:pPr>
              <w:spacing w:beforeLines="0" w:afterLines="0"/>
              <w:jc w:val="center"/>
              <w:rPr>
                <w:rFonts w:hint="default" w:eastAsia="Times New Roman"/>
                <w:sz w:val="21"/>
                <w:szCs w:val="24"/>
              </w:rPr>
            </w:pP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2"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满意度</w:t>
            </w:r>
            <w:r>
              <w:rPr>
                <w:rFonts w:hint="default" w:eastAsia="Times New Roman"/>
                <w:sz w:val="21"/>
                <w:szCs w:val="24"/>
              </w:rPr>
              <w:br w:type="textWrapping"/>
            </w:r>
            <w:r>
              <w:rPr>
                <w:rFonts w:hint="eastAsia"/>
                <w:sz w:val="21"/>
                <w:szCs w:val="24"/>
              </w:rPr>
              <w:t>指标</w:t>
            </w: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满意度指标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：队员满意率</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67" w:type="dxa"/>
          <w:trHeight w:val="445" w:hRule="atLeast"/>
          <w:jc w:val="center"/>
        </w:trPr>
        <w:tc>
          <w:tcPr>
            <w:tcW w:w="9175" w:type="dxa"/>
            <w:gridSpan w:val="8"/>
            <w:tcBorders>
              <w:top w:val="nil"/>
              <w:left w:val="nil"/>
              <w:bottom w:val="nil"/>
              <w:right w:val="nil"/>
              <w:tl2br w:val="nil"/>
              <w:tr2bl w:val="nil"/>
            </w:tcBorders>
            <w:noWrap w:val="0"/>
            <w:tcMar>
              <w:top w:w="15" w:type="dxa"/>
              <w:left w:w="15" w:type="dxa"/>
              <w:bottom w:w="0" w:type="dxa"/>
              <w:right w:w="15" w:type="dxa"/>
            </w:tcMar>
            <w:vAlign w:val="center"/>
          </w:tcPr>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安全生产及各类宣传等专项经费项目绩效自评综述：根据年初设定的绩效目标，项目绩效自评得分为100分。安全生产及各类宣传等专项经费项目全年预算数为172.84万元，执行数为172.84万元，完成预算的100%。主要产出和效果：有效的开展安全生产各项工作，被市委、市政府评委安全生产先进区县。</w:t>
            </w:r>
          </w:p>
          <w:p>
            <w:pPr>
              <w:autoSpaceDE w:val="0"/>
              <w:autoSpaceDN w:val="0"/>
              <w:adjustRightInd w:val="0"/>
              <w:spacing w:beforeLines="0" w:afterLines="0" w:line="540" w:lineRule="exact"/>
              <w:ind w:firstLine="2349" w:firstLineChars="650"/>
              <w:rPr>
                <w:rFonts w:hint="default" w:eastAsia="Times New Roman"/>
                <w:b/>
                <w:sz w:val="36"/>
                <w:szCs w:val="24"/>
              </w:rPr>
            </w:pPr>
            <w:r>
              <w:rPr>
                <w:rFonts w:hint="eastAsia"/>
                <w:b/>
                <w:sz w:val="36"/>
                <w:szCs w:val="24"/>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67" w:type="dxa"/>
          <w:trHeight w:val="282" w:hRule="atLeast"/>
          <w:jc w:val="center"/>
        </w:trPr>
        <w:tc>
          <w:tcPr>
            <w:tcW w:w="9175" w:type="dxa"/>
            <w:gridSpan w:val="8"/>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w:t>
            </w:r>
            <w:r>
              <w:rPr>
                <w:rFonts w:hint="default"/>
                <w:sz w:val="21"/>
                <w:szCs w:val="24"/>
              </w:rPr>
              <w:t xml:space="preserve">   2018 </w:t>
            </w:r>
            <w:r>
              <w:rPr>
                <w:rFonts w:hint="eastAsia"/>
                <w:sz w:val="21"/>
                <w:szCs w:val="24"/>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65" w:hRule="atLeast"/>
          <w:jc w:val="center"/>
        </w:trPr>
        <w:tc>
          <w:tcPr>
            <w:tcW w:w="805" w:type="dxa"/>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857" w:type="dxa"/>
            <w:gridSpan w:val="2"/>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3509" w:type="dxa"/>
            <w:gridSpan w:val="3"/>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1749" w:type="dxa"/>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2422" w:type="dxa"/>
            <w:gridSpan w:val="2"/>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3186" w:type="dxa"/>
            <w:gridSpan w:val="5"/>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预算单位</w:t>
            </w:r>
          </w:p>
        </w:tc>
        <w:tc>
          <w:tcPr>
            <w:tcW w:w="6156"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水区安监局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3186" w:type="dxa"/>
            <w:gridSpan w:val="5"/>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项目名称</w:t>
            </w:r>
          </w:p>
        </w:tc>
        <w:tc>
          <w:tcPr>
            <w:tcW w:w="6156" w:type="dxa"/>
            <w:gridSpan w:val="4"/>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安全生产及各类宣传等专项经费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52" w:hRule="atLeast"/>
          <w:jc w:val="center"/>
        </w:trPr>
        <w:tc>
          <w:tcPr>
            <w:tcW w:w="805" w:type="dxa"/>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预算</w:t>
            </w:r>
            <w:r>
              <w:rPr>
                <w:rFonts w:hint="default" w:eastAsia="Times New Roman"/>
                <w:sz w:val="21"/>
                <w:szCs w:val="24"/>
              </w:rPr>
              <w:br w:type="textWrapping"/>
            </w:r>
            <w:r>
              <w:rPr>
                <w:rFonts w:hint="eastAsia"/>
                <w:sz w:val="21"/>
                <w:szCs w:val="24"/>
              </w:rPr>
              <w:t>执行</w:t>
            </w:r>
            <w:r>
              <w:rPr>
                <w:rFonts w:hint="default" w:eastAsia="Times New Roman"/>
                <w:sz w:val="21"/>
                <w:szCs w:val="24"/>
              </w:rPr>
              <w:br w:type="textWrapping"/>
            </w:r>
            <w:r>
              <w:rPr>
                <w:rFonts w:hint="eastAsia"/>
                <w:sz w:val="21"/>
                <w:szCs w:val="24"/>
              </w:rPr>
              <w:t>情况</w:t>
            </w:r>
            <w:r>
              <w:rPr>
                <w:rFonts w:hint="default" w:eastAsia="Times New Roman"/>
                <w:sz w:val="21"/>
                <w:szCs w:val="24"/>
              </w:rPr>
              <w:br w:type="textWrapping"/>
            </w:r>
            <w:r>
              <w:rPr>
                <w:rFonts w:hint="eastAsia"/>
                <w:sz w:val="21"/>
                <w:szCs w:val="24"/>
              </w:rPr>
              <w:t>（万元）</w:t>
            </w:r>
          </w:p>
        </w:tc>
        <w:tc>
          <w:tcPr>
            <w:tcW w:w="4366" w:type="dxa"/>
            <w:gridSpan w:val="5"/>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预算数</w:t>
            </w:r>
          </w:p>
        </w:tc>
        <w:tc>
          <w:tcPr>
            <w:tcW w:w="4171" w:type="dxa"/>
            <w:gridSpan w:val="3"/>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78" w:hRule="atLeast"/>
          <w:jc w:val="center"/>
        </w:trPr>
        <w:tc>
          <w:tcPr>
            <w:tcW w:w="80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2381"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其中：财政拨款</w:t>
            </w:r>
          </w:p>
        </w:tc>
        <w:tc>
          <w:tcPr>
            <w:tcW w:w="1985" w:type="dxa"/>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172.84</w:t>
            </w:r>
            <w:r>
              <w:rPr>
                <w:rFonts w:hint="eastAsia"/>
                <w:sz w:val="21"/>
                <w:szCs w:val="24"/>
              </w:rPr>
              <w:t>万</w:t>
            </w:r>
          </w:p>
        </w:tc>
        <w:tc>
          <w:tcPr>
            <w:tcW w:w="1749" w:type="dxa"/>
            <w:tcBorders>
              <w:top w:val="nil"/>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其中：财政拨款</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172.84</w:t>
            </w:r>
            <w:r>
              <w:rPr>
                <w:rFonts w:hint="eastAsia"/>
                <w:sz w:val="21"/>
                <w:szCs w:val="24"/>
              </w:rPr>
              <w:t>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80" w:hRule="atLeast"/>
          <w:jc w:val="center"/>
        </w:trPr>
        <w:tc>
          <w:tcPr>
            <w:tcW w:w="80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2381"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其他资金</w:t>
            </w:r>
          </w:p>
        </w:tc>
        <w:tc>
          <w:tcPr>
            <w:tcW w:w="1985" w:type="dxa"/>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1749" w:type="dxa"/>
            <w:tcBorders>
              <w:top w:val="single" w:color="auto" w:sz="4" w:space="0"/>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其他资金</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11" w:hRule="atLeast"/>
          <w:jc w:val="center"/>
        </w:trPr>
        <w:tc>
          <w:tcPr>
            <w:tcW w:w="805" w:type="dxa"/>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年度</w:t>
            </w:r>
            <w:r>
              <w:rPr>
                <w:rFonts w:hint="default" w:eastAsia="Times New Roman"/>
                <w:sz w:val="21"/>
                <w:szCs w:val="24"/>
              </w:rPr>
              <w:br w:type="textWrapping"/>
            </w:r>
            <w:r>
              <w:rPr>
                <w:rFonts w:hint="eastAsia"/>
                <w:sz w:val="21"/>
                <w:szCs w:val="24"/>
              </w:rPr>
              <w:t>目标</w:t>
            </w:r>
            <w:r>
              <w:rPr>
                <w:rFonts w:hint="default" w:eastAsia="Times New Roman"/>
                <w:sz w:val="21"/>
                <w:szCs w:val="24"/>
              </w:rPr>
              <w:br w:type="textWrapping"/>
            </w:r>
            <w:r>
              <w:rPr>
                <w:rFonts w:hint="eastAsia"/>
                <w:sz w:val="21"/>
                <w:szCs w:val="24"/>
              </w:rPr>
              <w:t>完成</w:t>
            </w:r>
            <w:r>
              <w:rPr>
                <w:rFonts w:hint="default" w:eastAsia="Times New Roman"/>
                <w:sz w:val="21"/>
                <w:szCs w:val="24"/>
              </w:rPr>
              <w:br w:type="textWrapping"/>
            </w:r>
            <w:r>
              <w:rPr>
                <w:rFonts w:hint="eastAsia"/>
                <w:sz w:val="21"/>
                <w:szCs w:val="24"/>
              </w:rPr>
              <w:t>情况</w:t>
            </w:r>
          </w:p>
        </w:tc>
        <w:tc>
          <w:tcPr>
            <w:tcW w:w="4366" w:type="dxa"/>
            <w:gridSpan w:val="5"/>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预期目标</w:t>
            </w:r>
          </w:p>
        </w:tc>
        <w:tc>
          <w:tcPr>
            <w:tcW w:w="4171" w:type="dxa"/>
            <w:gridSpan w:val="3"/>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87" w:hRule="atLeast"/>
          <w:jc w:val="center"/>
        </w:trPr>
        <w:tc>
          <w:tcPr>
            <w:tcW w:w="80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4366" w:type="dxa"/>
            <w:gridSpan w:val="5"/>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top"/>
          </w:tcPr>
          <w:p>
            <w:pPr>
              <w:spacing w:beforeLines="0" w:afterLines="0"/>
              <w:ind w:firstLine="420" w:firstLineChars="200"/>
              <w:jc w:val="center"/>
              <w:rPr>
                <w:rFonts w:hint="default" w:eastAsia="Times New Roman"/>
                <w:sz w:val="21"/>
                <w:szCs w:val="24"/>
              </w:rPr>
            </w:pPr>
            <w:r>
              <w:rPr>
                <w:rFonts w:hint="eastAsia"/>
                <w:sz w:val="21"/>
                <w:szCs w:val="24"/>
              </w:rPr>
              <w:t>开展安全生产领域宣传教育、各项会议、双重风险管控、安全生产网格化监管体系建设、事故调查等工作，确保我区安全生产形势平稳。</w:t>
            </w:r>
          </w:p>
        </w:tc>
        <w:tc>
          <w:tcPr>
            <w:tcW w:w="4171" w:type="dxa"/>
            <w:gridSpan w:val="3"/>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top"/>
          </w:tcPr>
          <w:p>
            <w:pPr>
              <w:spacing w:beforeLines="0" w:afterLines="0"/>
              <w:ind w:firstLine="420" w:firstLineChars="200"/>
              <w:jc w:val="center"/>
              <w:rPr>
                <w:rFonts w:hint="default" w:eastAsia="Times New Roman"/>
                <w:sz w:val="21"/>
                <w:szCs w:val="24"/>
              </w:rPr>
            </w:pPr>
            <w:r>
              <w:rPr>
                <w:rFonts w:hint="eastAsia"/>
                <w:sz w:val="21"/>
                <w:szCs w:val="24"/>
              </w:rPr>
              <w:t>按照区委、政府安全生产工作要求，有效落实安全生产各项工作，创造安全生产良好环境。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4" w:hRule="atLeast"/>
          <w:jc w:val="center"/>
        </w:trPr>
        <w:tc>
          <w:tcPr>
            <w:tcW w:w="812" w:type="dxa"/>
            <w:gridSpan w:val="2"/>
            <w:vMerge w:val="restart"/>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年度</w:t>
            </w:r>
            <w:r>
              <w:rPr>
                <w:rFonts w:hint="default" w:eastAsia="Times New Roman"/>
                <w:sz w:val="21"/>
                <w:szCs w:val="24"/>
              </w:rPr>
              <w:br w:type="textWrapping"/>
            </w:r>
            <w:r>
              <w:rPr>
                <w:rFonts w:hint="eastAsia"/>
                <w:sz w:val="21"/>
                <w:szCs w:val="24"/>
              </w:rPr>
              <w:t>绩效</w:t>
            </w:r>
            <w:r>
              <w:rPr>
                <w:rFonts w:hint="default" w:eastAsia="Times New Roman"/>
                <w:sz w:val="21"/>
                <w:szCs w:val="24"/>
              </w:rPr>
              <w:br w:type="textWrapping"/>
            </w:r>
            <w:r>
              <w:rPr>
                <w:rFonts w:hint="eastAsia"/>
                <w:sz w:val="21"/>
                <w:szCs w:val="24"/>
              </w:rPr>
              <w:t>指标</w:t>
            </w:r>
            <w:r>
              <w:rPr>
                <w:rFonts w:hint="default" w:eastAsia="Times New Roman"/>
                <w:sz w:val="21"/>
                <w:szCs w:val="24"/>
              </w:rPr>
              <w:br w:type="textWrapping"/>
            </w:r>
            <w:r>
              <w:rPr>
                <w:rFonts w:hint="eastAsia"/>
                <w:sz w:val="21"/>
                <w:szCs w:val="24"/>
              </w:rPr>
              <w:t>完成</w:t>
            </w:r>
            <w:r>
              <w:rPr>
                <w:rFonts w:hint="default" w:eastAsia="Times New Roman"/>
                <w:sz w:val="21"/>
                <w:szCs w:val="24"/>
              </w:rPr>
              <w:br w:type="textWrapping"/>
            </w:r>
            <w:r>
              <w:rPr>
                <w:rFonts w:hint="eastAsia"/>
                <w:sz w:val="21"/>
                <w:szCs w:val="24"/>
              </w:rPr>
              <w:t>情况</w:t>
            </w:r>
          </w:p>
        </w:tc>
        <w:tc>
          <w:tcPr>
            <w:tcW w:w="858" w:type="dxa"/>
            <w:gridSpan w:val="2"/>
            <w:tcBorders>
              <w:top w:val="nil"/>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一级指标</w:t>
            </w:r>
          </w:p>
        </w:tc>
        <w:tc>
          <w:tcPr>
            <w:tcW w:w="1516"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二级指标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三级指标</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预期指标值（包含数字及文字描述）</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34"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项目完成指标</w:t>
            </w: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数量指标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：完成各类检查、督查、巡查；事故调查、培训、会议等工作</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≤172.84</w:t>
            </w:r>
            <w:r>
              <w:rPr>
                <w:rFonts w:hint="eastAsia"/>
                <w:sz w:val="21"/>
                <w:szCs w:val="24"/>
              </w:rPr>
              <w:t>万元</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全年完成自治区、市、检查、督查、巡查；召开安全生产全委会、季度例会，安全专干培训、安全月宣教，网格化建设</w:t>
            </w:r>
          </w:p>
          <w:p>
            <w:pPr>
              <w:spacing w:beforeLines="0" w:afterLines="0"/>
              <w:jc w:val="center"/>
              <w:rPr>
                <w:rFonts w:hint="default"/>
                <w:sz w:val="21"/>
                <w:szCs w:val="24"/>
              </w:rPr>
            </w:pPr>
            <w:r>
              <w:rPr>
                <w:rFonts w:hint="eastAsia"/>
                <w:sz w:val="21"/>
                <w:szCs w:val="24"/>
              </w:rPr>
              <w:t>等工作，完成</w:t>
            </w: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质量指标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：切实推进安全生产工作</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时效指标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：计划完成率</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ind w:firstLine="840" w:firstLineChars="40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成本指标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　按年度预算完成率</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项目效果指标</w:t>
            </w: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经济效益</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：完成预定计划</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57"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社会效益</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：减少事故发生率</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60"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生态效益</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　</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87"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可持续影响</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：后期将继续安全生产工作</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300</w:t>
            </w:r>
            <w:r>
              <w:rPr>
                <w:rFonts w:hint="eastAsia"/>
                <w:sz w:val="21"/>
                <w:szCs w:val="24"/>
              </w:rPr>
              <w:t>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2"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满意度</w:t>
            </w:r>
            <w:r>
              <w:rPr>
                <w:rFonts w:hint="default" w:eastAsia="Times New Roman"/>
                <w:sz w:val="21"/>
                <w:szCs w:val="24"/>
              </w:rPr>
              <w:br w:type="textWrapping"/>
            </w:r>
            <w:r>
              <w:rPr>
                <w:rFonts w:hint="eastAsia"/>
                <w:sz w:val="21"/>
                <w:szCs w:val="24"/>
              </w:rPr>
              <w:t>指标</w:t>
            </w: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满意度指标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：确保我区安全生产形势平稳</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300</w:t>
            </w:r>
            <w:r>
              <w:rPr>
                <w:rFonts w:hint="eastAsia"/>
                <w:sz w:val="21"/>
                <w:szCs w:val="24"/>
              </w:rPr>
              <w:t>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67" w:type="dxa"/>
          <w:trHeight w:val="445" w:hRule="atLeast"/>
          <w:jc w:val="center"/>
        </w:trPr>
        <w:tc>
          <w:tcPr>
            <w:tcW w:w="9175" w:type="dxa"/>
            <w:gridSpan w:val="8"/>
            <w:tcBorders>
              <w:top w:val="nil"/>
              <w:left w:val="nil"/>
              <w:bottom w:val="nil"/>
              <w:right w:val="nil"/>
              <w:tl2br w:val="nil"/>
              <w:tr2bl w:val="nil"/>
            </w:tcBorders>
            <w:noWrap w:val="0"/>
            <w:tcMar>
              <w:top w:w="15" w:type="dxa"/>
              <w:left w:w="15" w:type="dxa"/>
              <w:bottom w:w="0" w:type="dxa"/>
              <w:right w:w="15" w:type="dxa"/>
            </w:tcMar>
            <w:vAlign w:val="center"/>
          </w:tcPr>
          <w:p>
            <w:pPr>
              <w:autoSpaceDE w:val="0"/>
              <w:autoSpaceDN w:val="0"/>
              <w:adjustRightInd w:val="0"/>
              <w:spacing w:beforeLines="0" w:afterLines="0" w:line="520" w:lineRule="exact"/>
              <w:ind w:firstLine="480"/>
              <w:rPr>
                <w:rFonts w:hint="default" w:ascii="宋体" w:hAnsi="Times New Roman"/>
                <w:kern w:val="0"/>
                <w:sz w:val="24"/>
                <w:szCs w:val="24"/>
              </w:rPr>
            </w:pPr>
            <w:r>
              <w:rPr>
                <w:rFonts w:hint="eastAsia" w:ascii="宋体" w:hAnsi="Times New Roman"/>
                <w:kern w:val="0"/>
                <w:sz w:val="24"/>
                <w:szCs w:val="24"/>
              </w:rPr>
              <w:t>2018年代理记账经费项目绩效自评综述：根据年初设定的绩效目标，项目绩效自评得分为100分。2018年代理记账经费项目全年预算数为2万元，执行数为2万元，完成预算的100%。主要产出和效果：一是协助我单位完成财务记账；二是监督财政预算资金合理使用等相关工作。</w:t>
            </w:r>
          </w:p>
          <w:p>
            <w:pPr>
              <w:autoSpaceDE w:val="0"/>
              <w:autoSpaceDN w:val="0"/>
              <w:adjustRightInd w:val="0"/>
              <w:spacing w:beforeLines="0" w:afterLines="0" w:line="540" w:lineRule="exact"/>
              <w:ind w:firstLine="2349" w:firstLineChars="650"/>
              <w:rPr>
                <w:rFonts w:hint="default" w:eastAsia="Times New Roman"/>
                <w:sz w:val="21"/>
                <w:szCs w:val="24"/>
              </w:rPr>
            </w:pPr>
            <w:r>
              <w:rPr>
                <w:rFonts w:hint="eastAsia"/>
                <w:b/>
                <w:sz w:val="36"/>
                <w:szCs w:val="24"/>
              </w:rPr>
              <w:t>项目支出绩效目标自评表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Before w:w="0" w:type="dxa"/>
          <w:wAfter w:w="167" w:type="dxa"/>
          <w:trHeight w:val="282" w:hRule="atLeast"/>
          <w:jc w:val="center"/>
        </w:trPr>
        <w:tc>
          <w:tcPr>
            <w:tcW w:w="9175" w:type="dxa"/>
            <w:gridSpan w:val="8"/>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w:t>
            </w:r>
            <w:r>
              <w:rPr>
                <w:rFonts w:hint="default"/>
                <w:sz w:val="21"/>
                <w:szCs w:val="24"/>
              </w:rPr>
              <w:t xml:space="preserve">   2018 </w:t>
            </w:r>
            <w:r>
              <w:rPr>
                <w:rFonts w:hint="eastAsia"/>
                <w:sz w:val="21"/>
                <w:szCs w:val="24"/>
              </w:rPr>
              <w:t>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82" w:hRule="atLeast"/>
          <w:jc w:val="center"/>
        </w:trPr>
        <w:tc>
          <w:tcPr>
            <w:tcW w:w="805" w:type="dxa"/>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857" w:type="dxa"/>
            <w:gridSpan w:val="2"/>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3509" w:type="dxa"/>
            <w:gridSpan w:val="3"/>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1749" w:type="dxa"/>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2422" w:type="dxa"/>
            <w:gridSpan w:val="2"/>
            <w:tcBorders>
              <w:top w:val="nil"/>
              <w:left w:val="nil"/>
              <w:bottom w:val="nil"/>
              <w:right w:val="nil"/>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3186" w:type="dxa"/>
            <w:gridSpan w:val="5"/>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预算单位</w:t>
            </w:r>
          </w:p>
        </w:tc>
        <w:tc>
          <w:tcPr>
            <w:tcW w:w="6156"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水区安监局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3186" w:type="dxa"/>
            <w:gridSpan w:val="5"/>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项目名称</w:t>
            </w:r>
          </w:p>
        </w:tc>
        <w:tc>
          <w:tcPr>
            <w:tcW w:w="6156" w:type="dxa"/>
            <w:gridSpan w:val="4"/>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2018</w:t>
            </w:r>
            <w:r>
              <w:rPr>
                <w:rFonts w:hint="eastAsia"/>
                <w:sz w:val="21"/>
                <w:szCs w:val="24"/>
              </w:rPr>
              <w:t>年代理记账经费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371" w:hRule="atLeast"/>
          <w:jc w:val="center"/>
        </w:trPr>
        <w:tc>
          <w:tcPr>
            <w:tcW w:w="805" w:type="dxa"/>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预算</w:t>
            </w:r>
            <w:r>
              <w:rPr>
                <w:rFonts w:hint="default" w:eastAsia="Times New Roman"/>
                <w:sz w:val="21"/>
                <w:szCs w:val="24"/>
              </w:rPr>
              <w:br w:type="textWrapping"/>
            </w:r>
            <w:r>
              <w:rPr>
                <w:rFonts w:hint="eastAsia"/>
                <w:sz w:val="21"/>
                <w:szCs w:val="24"/>
              </w:rPr>
              <w:t>执行</w:t>
            </w:r>
            <w:r>
              <w:rPr>
                <w:rFonts w:hint="default" w:eastAsia="Times New Roman"/>
                <w:sz w:val="21"/>
                <w:szCs w:val="24"/>
              </w:rPr>
              <w:br w:type="textWrapping"/>
            </w:r>
            <w:r>
              <w:rPr>
                <w:rFonts w:hint="eastAsia"/>
                <w:sz w:val="21"/>
                <w:szCs w:val="24"/>
              </w:rPr>
              <w:t>情况</w:t>
            </w:r>
            <w:r>
              <w:rPr>
                <w:rFonts w:hint="default" w:eastAsia="Times New Roman"/>
                <w:sz w:val="21"/>
                <w:szCs w:val="24"/>
              </w:rPr>
              <w:br w:type="textWrapping"/>
            </w:r>
            <w:r>
              <w:rPr>
                <w:rFonts w:hint="eastAsia"/>
                <w:sz w:val="21"/>
                <w:szCs w:val="24"/>
              </w:rPr>
              <w:t>（万元）</w:t>
            </w:r>
          </w:p>
        </w:tc>
        <w:tc>
          <w:tcPr>
            <w:tcW w:w="4366" w:type="dxa"/>
            <w:gridSpan w:val="5"/>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预算数</w:t>
            </w:r>
          </w:p>
        </w:tc>
        <w:tc>
          <w:tcPr>
            <w:tcW w:w="4171" w:type="dxa"/>
            <w:gridSpan w:val="3"/>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执行数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84" w:hRule="atLeast"/>
          <w:jc w:val="center"/>
        </w:trPr>
        <w:tc>
          <w:tcPr>
            <w:tcW w:w="80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2381"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其中：财政拨款</w:t>
            </w:r>
          </w:p>
        </w:tc>
        <w:tc>
          <w:tcPr>
            <w:tcW w:w="1985" w:type="dxa"/>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2</w:t>
            </w:r>
            <w:r>
              <w:rPr>
                <w:rFonts w:hint="eastAsia"/>
                <w:sz w:val="21"/>
                <w:szCs w:val="24"/>
              </w:rPr>
              <w:t>万</w:t>
            </w:r>
          </w:p>
        </w:tc>
        <w:tc>
          <w:tcPr>
            <w:tcW w:w="1749" w:type="dxa"/>
            <w:tcBorders>
              <w:top w:val="nil"/>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其中：财政拨款</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2</w:t>
            </w:r>
            <w:r>
              <w:rPr>
                <w:rFonts w:hint="eastAsia"/>
                <w:sz w:val="21"/>
                <w:szCs w:val="24"/>
              </w:rPr>
              <w:t>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06" w:hRule="atLeast"/>
          <w:jc w:val="center"/>
        </w:trPr>
        <w:tc>
          <w:tcPr>
            <w:tcW w:w="80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2381" w:type="dxa"/>
            <w:gridSpan w:val="4"/>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其他资金</w:t>
            </w:r>
          </w:p>
        </w:tc>
        <w:tc>
          <w:tcPr>
            <w:tcW w:w="1985" w:type="dxa"/>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c>
          <w:tcPr>
            <w:tcW w:w="1749" w:type="dxa"/>
            <w:tcBorders>
              <w:top w:val="single" w:color="auto" w:sz="4" w:space="0"/>
              <w:left w:val="nil"/>
              <w:bottom w:val="nil"/>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其他资金</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242" w:hRule="atLeast"/>
          <w:jc w:val="center"/>
        </w:trPr>
        <w:tc>
          <w:tcPr>
            <w:tcW w:w="805" w:type="dxa"/>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年度</w:t>
            </w:r>
            <w:r>
              <w:rPr>
                <w:rFonts w:hint="default" w:eastAsia="Times New Roman"/>
                <w:sz w:val="21"/>
                <w:szCs w:val="24"/>
              </w:rPr>
              <w:br w:type="textWrapping"/>
            </w:r>
            <w:r>
              <w:rPr>
                <w:rFonts w:hint="eastAsia"/>
                <w:sz w:val="21"/>
                <w:szCs w:val="24"/>
              </w:rPr>
              <w:t>目标</w:t>
            </w:r>
            <w:r>
              <w:rPr>
                <w:rFonts w:hint="default" w:eastAsia="Times New Roman"/>
                <w:sz w:val="21"/>
                <w:szCs w:val="24"/>
              </w:rPr>
              <w:br w:type="textWrapping"/>
            </w:r>
            <w:r>
              <w:rPr>
                <w:rFonts w:hint="eastAsia"/>
                <w:sz w:val="21"/>
                <w:szCs w:val="24"/>
              </w:rPr>
              <w:t>完成</w:t>
            </w:r>
            <w:r>
              <w:rPr>
                <w:rFonts w:hint="default" w:eastAsia="Times New Roman"/>
                <w:sz w:val="21"/>
                <w:szCs w:val="24"/>
              </w:rPr>
              <w:br w:type="textWrapping"/>
            </w:r>
            <w:r>
              <w:rPr>
                <w:rFonts w:hint="eastAsia"/>
                <w:sz w:val="21"/>
                <w:szCs w:val="24"/>
              </w:rPr>
              <w:t>情况</w:t>
            </w:r>
          </w:p>
        </w:tc>
        <w:tc>
          <w:tcPr>
            <w:tcW w:w="4366" w:type="dxa"/>
            <w:gridSpan w:val="5"/>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预期目标</w:t>
            </w:r>
          </w:p>
        </w:tc>
        <w:tc>
          <w:tcPr>
            <w:tcW w:w="4171" w:type="dxa"/>
            <w:gridSpan w:val="3"/>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实际完成目标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99" w:hRule="atLeast"/>
          <w:jc w:val="center"/>
        </w:trPr>
        <w:tc>
          <w:tcPr>
            <w:tcW w:w="805" w:type="dxa"/>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4366" w:type="dxa"/>
            <w:gridSpan w:val="5"/>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top"/>
          </w:tcPr>
          <w:p>
            <w:pPr>
              <w:spacing w:beforeLines="0" w:afterLines="0"/>
              <w:ind w:firstLine="420" w:firstLineChars="200"/>
              <w:jc w:val="center"/>
              <w:rPr>
                <w:rFonts w:hint="default" w:eastAsia="Times New Roman"/>
                <w:sz w:val="21"/>
                <w:szCs w:val="24"/>
              </w:rPr>
            </w:pPr>
            <w:r>
              <w:rPr>
                <w:rFonts w:hint="eastAsia"/>
                <w:sz w:val="21"/>
                <w:szCs w:val="24"/>
              </w:rPr>
              <w:t>代理记账费，主要是财政安排第三方中介机构，协助我单位完成财务记账，监督财政预算资金合理使用等相关工作。</w:t>
            </w:r>
          </w:p>
        </w:tc>
        <w:tc>
          <w:tcPr>
            <w:tcW w:w="4171" w:type="dxa"/>
            <w:gridSpan w:val="3"/>
            <w:tcBorders>
              <w:top w:val="single" w:color="auto" w:sz="4" w:space="0"/>
              <w:left w:val="nil"/>
              <w:bottom w:val="single" w:color="auto" w:sz="4" w:space="0"/>
              <w:right w:val="single" w:color="000000" w:sz="4" w:space="0"/>
              <w:tl2br w:val="nil"/>
              <w:tr2bl w:val="nil"/>
            </w:tcBorders>
            <w:noWrap w:val="0"/>
            <w:tcMar>
              <w:top w:w="15" w:type="dxa"/>
              <w:left w:w="15" w:type="dxa"/>
              <w:bottom w:w="0" w:type="dxa"/>
              <w:right w:w="15" w:type="dxa"/>
            </w:tcMar>
            <w:vAlign w:val="top"/>
          </w:tcPr>
          <w:p>
            <w:pPr>
              <w:spacing w:beforeLines="0" w:afterLines="0"/>
              <w:ind w:firstLine="420" w:firstLineChars="200"/>
              <w:jc w:val="center"/>
              <w:rPr>
                <w:rFonts w:hint="default" w:eastAsia="Times New Roman"/>
                <w:sz w:val="21"/>
                <w:szCs w:val="24"/>
              </w:rPr>
            </w:pPr>
            <w:r>
              <w:rPr>
                <w:rFonts w:hint="eastAsia"/>
                <w:sz w:val="21"/>
                <w:szCs w:val="24"/>
              </w:rPr>
              <w:t>代理记账协助我单位完成财务记账，监督财政预算资金合理使用等相关工作。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64" w:hRule="atLeast"/>
          <w:jc w:val="center"/>
        </w:trPr>
        <w:tc>
          <w:tcPr>
            <w:tcW w:w="812" w:type="dxa"/>
            <w:gridSpan w:val="2"/>
            <w:vMerge w:val="restart"/>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年度</w:t>
            </w:r>
            <w:r>
              <w:rPr>
                <w:rFonts w:hint="default" w:eastAsia="Times New Roman"/>
                <w:sz w:val="21"/>
                <w:szCs w:val="24"/>
              </w:rPr>
              <w:br w:type="textWrapping"/>
            </w:r>
            <w:r>
              <w:rPr>
                <w:rFonts w:hint="eastAsia"/>
                <w:sz w:val="21"/>
                <w:szCs w:val="24"/>
              </w:rPr>
              <w:t>绩效</w:t>
            </w:r>
            <w:r>
              <w:rPr>
                <w:rFonts w:hint="default" w:eastAsia="Times New Roman"/>
                <w:sz w:val="21"/>
                <w:szCs w:val="24"/>
              </w:rPr>
              <w:br w:type="textWrapping"/>
            </w:r>
            <w:r>
              <w:rPr>
                <w:rFonts w:hint="eastAsia"/>
                <w:sz w:val="21"/>
                <w:szCs w:val="24"/>
              </w:rPr>
              <w:t>指标</w:t>
            </w:r>
            <w:r>
              <w:rPr>
                <w:rFonts w:hint="default" w:eastAsia="Times New Roman"/>
                <w:sz w:val="21"/>
                <w:szCs w:val="24"/>
              </w:rPr>
              <w:br w:type="textWrapping"/>
            </w:r>
            <w:r>
              <w:rPr>
                <w:rFonts w:hint="eastAsia"/>
                <w:sz w:val="21"/>
                <w:szCs w:val="24"/>
              </w:rPr>
              <w:t>完成</w:t>
            </w:r>
            <w:r>
              <w:rPr>
                <w:rFonts w:hint="default" w:eastAsia="Times New Roman"/>
                <w:sz w:val="21"/>
                <w:szCs w:val="24"/>
              </w:rPr>
              <w:br w:type="textWrapping"/>
            </w:r>
            <w:r>
              <w:rPr>
                <w:rFonts w:hint="eastAsia"/>
                <w:sz w:val="21"/>
                <w:szCs w:val="24"/>
              </w:rPr>
              <w:t>情况</w:t>
            </w:r>
          </w:p>
        </w:tc>
        <w:tc>
          <w:tcPr>
            <w:tcW w:w="858" w:type="dxa"/>
            <w:gridSpan w:val="2"/>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一级指标</w:t>
            </w:r>
          </w:p>
        </w:tc>
        <w:tc>
          <w:tcPr>
            <w:tcW w:w="1516"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二级指标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三级指标</w:t>
            </w:r>
          </w:p>
        </w:tc>
        <w:tc>
          <w:tcPr>
            <w:tcW w:w="1749"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预期指标值（包含数字及文字描述）</w:t>
            </w:r>
          </w:p>
        </w:tc>
        <w:tc>
          <w:tcPr>
            <w:tcW w:w="2422" w:type="dxa"/>
            <w:gridSpan w:val="2"/>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实际完成指标值（包含数字及文字描述）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534"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restart"/>
            <w:tcBorders>
              <w:top w:val="single" w:color="auto" w:sz="4" w:space="0"/>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项目完成指标</w:t>
            </w:r>
          </w:p>
        </w:tc>
        <w:tc>
          <w:tcPr>
            <w:tcW w:w="1516" w:type="dxa"/>
            <w:tcBorders>
              <w:top w:val="single" w:color="auto" w:sz="4" w:space="0"/>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数量指标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w:t>
            </w:r>
            <w:r>
              <w:rPr>
                <w:rFonts w:hint="default"/>
                <w:sz w:val="21"/>
                <w:szCs w:val="24"/>
              </w:rPr>
              <w:t>1</w:t>
            </w:r>
            <w:r>
              <w:rPr>
                <w:rFonts w:hint="eastAsia"/>
                <w:sz w:val="21"/>
                <w:szCs w:val="24"/>
              </w:rPr>
              <w:t>个预算单位</w:t>
            </w:r>
          </w:p>
        </w:tc>
        <w:tc>
          <w:tcPr>
            <w:tcW w:w="1749"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≤2</w:t>
            </w:r>
            <w:r>
              <w:rPr>
                <w:rFonts w:hint="eastAsia"/>
                <w:sz w:val="21"/>
                <w:szCs w:val="24"/>
              </w:rPr>
              <w:t>万元</w:t>
            </w:r>
          </w:p>
        </w:tc>
        <w:tc>
          <w:tcPr>
            <w:tcW w:w="2422" w:type="dxa"/>
            <w:gridSpan w:val="2"/>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合理资金使用，严格执行财务管理制度，完成</w:t>
            </w:r>
            <w:r>
              <w:rPr>
                <w:rFonts w:hint="default"/>
                <w:sz w:val="21"/>
                <w:szCs w:val="24"/>
              </w:rPr>
              <w:t>100%</w:t>
            </w:r>
            <w:r>
              <w:rPr>
                <w:rFonts w:hint="eastAsia"/>
                <w:sz w:val="21"/>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质量指标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：切实协助我单位完成财务记账</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top"/>
          </w:tcPr>
          <w:p>
            <w:pPr>
              <w:spacing w:beforeLines="0" w:afterLines="0"/>
              <w:jc w:val="center"/>
              <w:rPr>
                <w:rFonts w:hint="default" w:eastAsia="Times New Roman"/>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时效指标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：计划完成率</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ind w:firstLine="840" w:firstLineChars="40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top"/>
          </w:tcPr>
          <w:p>
            <w:pPr>
              <w:spacing w:beforeLines="0" w:afterLines="0"/>
              <w:jc w:val="center"/>
              <w:rPr>
                <w:rFonts w:hint="default" w:eastAsia="Times New Roman"/>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成本指标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　按年度预算完成率</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restart"/>
            <w:tcBorders>
              <w:top w:val="nil"/>
              <w:left w:val="single" w:color="auto" w:sz="4" w:space="0"/>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项目效果指标</w:t>
            </w: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经济效益</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：完成预定计划</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57"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社会效益</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：切实完成我单位财务记账</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475"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生态效益</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　</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602"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vMerge w:val="continue"/>
            <w:tcBorders>
              <w:top w:val="nil"/>
              <w:left w:val="single" w:color="auto" w:sz="4" w:space="0"/>
              <w:bottom w:val="single" w:color="auto"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可持续影响</w:t>
            </w:r>
            <w:r>
              <w:rPr>
                <w:rFonts w:hint="default" w:eastAsia="Times New Roman"/>
                <w:sz w:val="21"/>
                <w:szCs w:val="24"/>
              </w:rPr>
              <w:br w:type="textWrapping"/>
            </w:r>
            <w:r>
              <w:rPr>
                <w:rFonts w:hint="eastAsia"/>
                <w:sz w:val="21"/>
                <w:szCs w:val="24"/>
              </w:rPr>
              <w:t>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：规范财务行为，执行预算</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有效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Height w:val="712" w:hRule="atLeast"/>
          <w:jc w:val="center"/>
        </w:trPr>
        <w:tc>
          <w:tcPr>
            <w:tcW w:w="812" w:type="dxa"/>
            <w:gridSpan w:val="2"/>
            <w:vMerge w:val="continue"/>
            <w:tcBorders>
              <w:top w:val="nil"/>
              <w:left w:val="single" w:color="auto" w:sz="4" w:space="0"/>
              <w:bottom w:val="single" w:color="000000" w:sz="4" w:space="0"/>
              <w:right w:val="single" w:color="auto" w:sz="4" w:space="0"/>
              <w:tl2br w:val="nil"/>
              <w:tr2bl w:val="nil"/>
            </w:tcBorders>
            <w:noWrap w:val="0"/>
            <w:vAlign w:val="center"/>
          </w:tcPr>
          <w:p>
            <w:pPr>
              <w:spacing w:beforeLines="0" w:afterLines="0"/>
              <w:jc w:val="center"/>
              <w:rPr>
                <w:rFonts w:hint="default" w:eastAsia="Times New Roman"/>
                <w:sz w:val="21"/>
                <w:szCs w:val="24"/>
              </w:rPr>
            </w:pPr>
          </w:p>
        </w:tc>
        <w:tc>
          <w:tcPr>
            <w:tcW w:w="858" w:type="dxa"/>
            <w:gridSpan w:val="2"/>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满意度</w:t>
            </w:r>
            <w:r>
              <w:rPr>
                <w:rFonts w:hint="default" w:eastAsia="Times New Roman"/>
                <w:sz w:val="21"/>
                <w:szCs w:val="24"/>
              </w:rPr>
              <w:br w:type="textWrapping"/>
            </w:r>
            <w:r>
              <w:rPr>
                <w:rFonts w:hint="eastAsia"/>
                <w:sz w:val="21"/>
                <w:szCs w:val="24"/>
              </w:rPr>
              <w:t>指标</w:t>
            </w:r>
          </w:p>
        </w:tc>
        <w:tc>
          <w:tcPr>
            <w:tcW w:w="1516" w:type="dxa"/>
            <w:tcBorders>
              <w:top w:val="nil"/>
              <w:left w:val="single" w:color="auto" w:sz="4" w:space="0"/>
              <w:bottom w:val="single" w:color="000000"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eastAsia"/>
                <w:sz w:val="21"/>
                <w:szCs w:val="24"/>
              </w:rPr>
              <w:t>满意度指标</w:t>
            </w:r>
          </w:p>
        </w:tc>
        <w:tc>
          <w:tcPr>
            <w:tcW w:w="1985" w:type="dxa"/>
            <w:tcBorders>
              <w:top w:val="single" w:color="auto" w:sz="4" w:space="0"/>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eastAsia="Times New Roman"/>
                <w:sz w:val="21"/>
                <w:szCs w:val="24"/>
              </w:rPr>
            </w:pPr>
            <w:r>
              <w:rPr>
                <w:rFonts w:hint="default"/>
                <w:sz w:val="21"/>
                <w:szCs w:val="24"/>
              </w:rPr>
              <w:t xml:space="preserve"> </w:t>
            </w:r>
            <w:r>
              <w:rPr>
                <w:rFonts w:hint="eastAsia"/>
                <w:sz w:val="21"/>
                <w:szCs w:val="24"/>
              </w:rPr>
              <w:t>指标</w:t>
            </w:r>
            <w:r>
              <w:rPr>
                <w:rFonts w:hint="default"/>
                <w:sz w:val="21"/>
                <w:szCs w:val="24"/>
              </w:rPr>
              <w:t>1</w:t>
            </w:r>
            <w:r>
              <w:rPr>
                <w:rFonts w:hint="eastAsia"/>
                <w:sz w:val="21"/>
                <w:szCs w:val="24"/>
              </w:rPr>
              <w:t>：确保我区安全生产形势平稳</w:t>
            </w:r>
          </w:p>
        </w:tc>
        <w:tc>
          <w:tcPr>
            <w:tcW w:w="1749" w:type="dxa"/>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r>
              <w:rPr>
                <w:rFonts w:hint="default"/>
                <w:sz w:val="21"/>
                <w:szCs w:val="24"/>
              </w:rPr>
              <w:t>100%</w:t>
            </w:r>
          </w:p>
        </w:tc>
        <w:tc>
          <w:tcPr>
            <w:tcW w:w="2422" w:type="dxa"/>
            <w:gridSpan w:val="2"/>
            <w:tcBorders>
              <w:top w:val="nil"/>
              <w:left w:val="nil"/>
              <w:bottom w:val="single" w:color="auto" w:sz="4" w:space="0"/>
              <w:right w:val="single" w:color="auto" w:sz="4" w:space="0"/>
              <w:tl2br w:val="nil"/>
              <w:tr2bl w:val="nil"/>
            </w:tcBorders>
            <w:noWrap w:val="0"/>
            <w:tcMar>
              <w:top w:w="15" w:type="dxa"/>
              <w:left w:w="15" w:type="dxa"/>
              <w:bottom w:w="0" w:type="dxa"/>
              <w:right w:w="15" w:type="dxa"/>
            </w:tcMar>
            <w:vAlign w:val="center"/>
          </w:tcPr>
          <w:p>
            <w:pPr>
              <w:spacing w:beforeLines="0" w:afterLines="0"/>
              <w:jc w:val="center"/>
              <w:rPr>
                <w:rFonts w:hint="default"/>
                <w:sz w:val="21"/>
                <w:szCs w:val="24"/>
              </w:rPr>
            </w:pPr>
          </w:p>
          <w:p>
            <w:pPr>
              <w:spacing w:beforeLines="0" w:afterLines="0"/>
              <w:jc w:val="center"/>
              <w:rPr>
                <w:rFonts w:hint="default"/>
                <w:sz w:val="21"/>
                <w:szCs w:val="24"/>
              </w:rPr>
            </w:pPr>
            <w:r>
              <w:rPr>
                <w:rFonts w:hint="default"/>
                <w:sz w:val="21"/>
                <w:szCs w:val="24"/>
              </w:rPr>
              <w:t>100%</w:t>
            </w:r>
          </w:p>
        </w:tc>
      </w:tr>
    </w:tbl>
    <w:p>
      <w:pPr>
        <w:shd w:val="clear" w:color="auto" w:fill="FFFFFF"/>
        <w:autoSpaceDE w:val="0"/>
        <w:autoSpaceDN w:val="0"/>
        <w:adjustRightInd w:val="0"/>
        <w:spacing w:before="100" w:beforeLines="0" w:after="240" w:afterLines="0"/>
        <w:jc w:val="center"/>
        <w:rPr>
          <w:rFonts w:hint="default" w:ascii="宋体" w:hAnsi="Times New Roman"/>
          <w:kern w:val="0"/>
          <w:sz w:val="24"/>
          <w:szCs w:val="24"/>
        </w:rPr>
      </w:pPr>
    </w:p>
    <w:p>
      <w:pPr>
        <w:shd w:val="clear" w:color="auto" w:fill="FFFFFF"/>
        <w:autoSpaceDE w:val="0"/>
        <w:autoSpaceDN w:val="0"/>
        <w:adjustRightInd w:val="0"/>
        <w:spacing w:before="100" w:beforeLines="0" w:after="240" w:afterLines="0"/>
        <w:jc w:val="center"/>
        <w:rPr>
          <w:rFonts w:hint="default" w:ascii="Times New Roman" w:hAnsi="Times New Roman"/>
          <w:b/>
          <w:kern w:val="0"/>
          <w:sz w:val="24"/>
          <w:szCs w:val="24"/>
        </w:rPr>
      </w:pPr>
      <w:r>
        <w:rPr>
          <w:rFonts w:hint="eastAsia" w:ascii="宋体" w:hAnsi="Times New Roman"/>
          <w:b/>
          <w:kern w:val="0"/>
          <w:sz w:val="24"/>
          <w:szCs w:val="24"/>
        </w:rPr>
        <w:t>第三部分  专业名词解释</w:t>
      </w:r>
    </w:p>
    <w:p>
      <w:pPr>
        <w:shd w:val="clear" w:color="auto" w:fill="FFFFFF"/>
        <w:autoSpaceDE w:val="0"/>
        <w:autoSpaceDN w:val="0"/>
        <w:adjustRightInd w:val="0"/>
        <w:spacing w:before="100" w:beforeLines="0" w:afterLines="0" w:line="520" w:lineRule="exact"/>
        <w:rPr>
          <w:rFonts w:hint="default" w:ascii="Times New Roman" w:hAnsi="Times New Roman"/>
          <w:kern w:val="0"/>
          <w:sz w:val="24"/>
          <w:szCs w:val="24"/>
        </w:rPr>
      </w:pPr>
      <w:r>
        <w:rPr>
          <w:rFonts w:hint="eastAsia" w:ascii="宋体" w:hAnsi="Times New Roman"/>
          <w:kern w:val="0"/>
          <w:sz w:val="24"/>
          <w:szCs w:val="24"/>
        </w:rPr>
        <w:t>1．财政拨款收入：指同级财政当年拨付的资金。</w:t>
      </w:r>
    </w:p>
    <w:p>
      <w:pPr>
        <w:shd w:val="clear" w:color="auto" w:fill="FFFFFF"/>
        <w:autoSpaceDE w:val="0"/>
        <w:autoSpaceDN w:val="0"/>
        <w:adjustRightInd w:val="0"/>
        <w:spacing w:before="100" w:beforeLines="0" w:afterLines="0" w:line="520" w:lineRule="exact"/>
        <w:rPr>
          <w:rFonts w:hint="default" w:ascii="Times New Roman" w:hAnsi="Times New Roman"/>
          <w:kern w:val="0"/>
          <w:sz w:val="24"/>
          <w:szCs w:val="24"/>
        </w:rPr>
      </w:pPr>
      <w:r>
        <w:rPr>
          <w:rFonts w:hint="eastAsia" w:ascii="宋体" w:hAnsi="Times New Roman"/>
          <w:kern w:val="0"/>
          <w:sz w:val="24"/>
          <w:szCs w:val="24"/>
        </w:rPr>
        <w:t>2．上级补助收入：指事业单位从主管部门和上级单位取得的非财政补助收入。</w:t>
      </w:r>
    </w:p>
    <w:p>
      <w:pPr>
        <w:shd w:val="clear" w:color="auto" w:fill="FFFFFF"/>
        <w:autoSpaceDE w:val="0"/>
        <w:autoSpaceDN w:val="0"/>
        <w:adjustRightInd w:val="0"/>
        <w:spacing w:before="100" w:beforeLines="0" w:afterLines="0" w:line="520" w:lineRule="exact"/>
        <w:rPr>
          <w:rFonts w:hint="default" w:ascii="Times New Roman" w:hAnsi="Times New Roman"/>
          <w:kern w:val="0"/>
          <w:sz w:val="24"/>
          <w:szCs w:val="24"/>
        </w:rPr>
      </w:pPr>
      <w:r>
        <w:rPr>
          <w:rFonts w:hint="eastAsia" w:ascii="宋体" w:hAnsi="Times New Roman"/>
          <w:kern w:val="0"/>
          <w:sz w:val="24"/>
          <w:szCs w:val="24"/>
        </w:rPr>
        <w:t>3.事业收入：指事业单位开展专业业务活动及其辅助活动所取得的收入。</w:t>
      </w:r>
    </w:p>
    <w:p>
      <w:pPr>
        <w:shd w:val="clear" w:color="auto" w:fill="FFFFFF"/>
        <w:autoSpaceDE w:val="0"/>
        <w:autoSpaceDN w:val="0"/>
        <w:adjustRightInd w:val="0"/>
        <w:spacing w:before="100" w:beforeLines="0" w:afterLines="0" w:line="520" w:lineRule="exact"/>
        <w:rPr>
          <w:rFonts w:hint="default" w:ascii="Times New Roman" w:hAnsi="Times New Roman"/>
          <w:kern w:val="0"/>
          <w:sz w:val="24"/>
          <w:szCs w:val="24"/>
        </w:rPr>
      </w:pPr>
      <w:r>
        <w:rPr>
          <w:rFonts w:hint="eastAsia" w:ascii="宋体" w:hAnsi="Times New Roman"/>
          <w:kern w:val="0"/>
          <w:sz w:val="24"/>
          <w:szCs w:val="24"/>
        </w:rPr>
        <w:t>4.经营收入：指事业单位在专业业务活动及其辅助活动之外开展非独立核算经营活动取得的收入。</w:t>
      </w:r>
    </w:p>
    <w:p>
      <w:pPr>
        <w:shd w:val="clear" w:color="auto" w:fill="FFFFFF"/>
        <w:autoSpaceDE w:val="0"/>
        <w:autoSpaceDN w:val="0"/>
        <w:adjustRightInd w:val="0"/>
        <w:spacing w:before="100" w:beforeLines="0" w:afterLines="0" w:line="520" w:lineRule="exact"/>
        <w:rPr>
          <w:rFonts w:hint="default" w:ascii="Times New Roman" w:hAnsi="Times New Roman"/>
          <w:kern w:val="0"/>
          <w:sz w:val="24"/>
          <w:szCs w:val="24"/>
        </w:rPr>
      </w:pPr>
      <w:r>
        <w:rPr>
          <w:rFonts w:hint="eastAsia" w:ascii="宋体" w:hAnsi="Times New Roman"/>
          <w:kern w:val="0"/>
          <w:sz w:val="24"/>
          <w:szCs w:val="24"/>
        </w:rPr>
        <w:t>5.附属单位缴款：指事业单位附属的独立核算单位按有关规定上缴的收入。</w:t>
      </w:r>
    </w:p>
    <w:p>
      <w:pPr>
        <w:shd w:val="clear" w:color="auto" w:fill="FFFFFF"/>
        <w:autoSpaceDE w:val="0"/>
        <w:autoSpaceDN w:val="0"/>
        <w:adjustRightInd w:val="0"/>
        <w:spacing w:before="100" w:beforeLines="0" w:afterLines="0" w:line="520" w:lineRule="exact"/>
        <w:rPr>
          <w:rFonts w:hint="default" w:ascii="Times New Roman" w:hAnsi="Times New Roman"/>
          <w:kern w:val="0"/>
          <w:sz w:val="24"/>
          <w:szCs w:val="24"/>
        </w:rPr>
      </w:pPr>
      <w:r>
        <w:rPr>
          <w:rFonts w:hint="eastAsia" w:ascii="宋体" w:hAnsi="Times New Roman"/>
          <w:kern w:val="0"/>
          <w:sz w:val="24"/>
          <w:szCs w:val="24"/>
        </w:rPr>
        <w:t>6.其他收入：指除上述财政拨款收入、上级补助收入、事业收入、经营收入、附属单位缴款等之外取得的收入。</w:t>
      </w:r>
    </w:p>
    <w:p>
      <w:pPr>
        <w:shd w:val="clear" w:color="auto" w:fill="FFFFFF"/>
        <w:autoSpaceDE w:val="0"/>
        <w:autoSpaceDN w:val="0"/>
        <w:adjustRightInd w:val="0"/>
        <w:spacing w:before="100" w:beforeLines="0" w:afterLines="0" w:line="520" w:lineRule="exact"/>
        <w:rPr>
          <w:rFonts w:hint="default" w:ascii="Times New Roman" w:hAnsi="Times New Roman"/>
          <w:kern w:val="0"/>
          <w:sz w:val="24"/>
          <w:szCs w:val="24"/>
        </w:rPr>
      </w:pPr>
      <w:r>
        <w:rPr>
          <w:rFonts w:hint="eastAsia" w:ascii="宋体" w:hAnsi="Times New Roman"/>
          <w:kern w:val="0"/>
          <w:sz w:val="24"/>
          <w:szCs w:val="24"/>
        </w:rPr>
        <w:t>7.用事业基金弥补收支差额：指事业单位在当年的财政拨款收入、财政拨款结转和结余资金、事业收入、事业单位经营收入、其他收入不足以安排当年支出的情况下，使用以前年度积累的事业基金（即事业单位当年收支扣抵后按国家规定提取，用于弥补以后年度收支差额的基金）弥补本年度收支缺口的资金。</w:t>
      </w:r>
    </w:p>
    <w:p>
      <w:pPr>
        <w:shd w:val="clear" w:color="auto" w:fill="FFFFFF"/>
        <w:autoSpaceDE w:val="0"/>
        <w:autoSpaceDN w:val="0"/>
        <w:adjustRightInd w:val="0"/>
        <w:spacing w:before="100" w:beforeLines="0" w:afterLines="0" w:line="520" w:lineRule="exact"/>
        <w:rPr>
          <w:rFonts w:hint="default" w:ascii="Times New Roman" w:hAnsi="Times New Roman"/>
          <w:kern w:val="0"/>
          <w:sz w:val="24"/>
          <w:szCs w:val="24"/>
        </w:rPr>
      </w:pPr>
      <w:r>
        <w:rPr>
          <w:rFonts w:hint="eastAsia" w:ascii="宋体" w:hAnsi="Times New Roman"/>
          <w:kern w:val="0"/>
          <w:sz w:val="24"/>
          <w:szCs w:val="24"/>
        </w:rPr>
        <w:t>8．上年结转和结余：指以前年度支出预算因客观条件未执行完毕，结转到本年度按有关规定继续使用的资金，既包括财政结转和结余，也包括事业收入、经营收入、其他收入的结转和结余。</w:t>
      </w:r>
    </w:p>
    <w:p>
      <w:pPr>
        <w:shd w:val="clear" w:color="auto" w:fill="FFFFFF"/>
        <w:autoSpaceDE w:val="0"/>
        <w:autoSpaceDN w:val="0"/>
        <w:adjustRightInd w:val="0"/>
        <w:spacing w:before="100" w:beforeLines="0" w:afterLines="0" w:line="520" w:lineRule="exact"/>
        <w:rPr>
          <w:rFonts w:hint="default" w:ascii="Times New Roman" w:hAnsi="Times New Roman"/>
          <w:kern w:val="0"/>
          <w:sz w:val="24"/>
          <w:szCs w:val="24"/>
        </w:rPr>
      </w:pPr>
      <w:r>
        <w:rPr>
          <w:rFonts w:hint="eastAsia" w:ascii="宋体" w:hAnsi="Times New Roman"/>
          <w:kern w:val="0"/>
          <w:sz w:val="24"/>
          <w:szCs w:val="24"/>
        </w:rPr>
        <w:t>9．结余分配：反映单位当年结余的分配情况。</w:t>
      </w:r>
    </w:p>
    <w:p>
      <w:pPr>
        <w:shd w:val="clear" w:color="auto" w:fill="FFFFFF"/>
        <w:autoSpaceDE w:val="0"/>
        <w:autoSpaceDN w:val="0"/>
        <w:adjustRightInd w:val="0"/>
        <w:spacing w:before="100" w:beforeLines="0" w:afterLines="0" w:line="520" w:lineRule="exact"/>
        <w:rPr>
          <w:rFonts w:hint="default" w:ascii="Times New Roman" w:hAnsi="Times New Roman"/>
          <w:kern w:val="0"/>
          <w:sz w:val="24"/>
          <w:szCs w:val="24"/>
        </w:rPr>
      </w:pPr>
      <w:r>
        <w:rPr>
          <w:rFonts w:hint="eastAsia" w:ascii="宋体" w:hAnsi="Times New Roman"/>
          <w:kern w:val="0"/>
          <w:sz w:val="24"/>
          <w:szCs w:val="24"/>
        </w:rPr>
        <w:t>10．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shd w:val="clear" w:color="auto" w:fill="FFFFFF"/>
        <w:autoSpaceDE w:val="0"/>
        <w:autoSpaceDN w:val="0"/>
        <w:adjustRightInd w:val="0"/>
        <w:spacing w:before="100" w:beforeLines="0" w:afterLines="0" w:line="520" w:lineRule="exact"/>
        <w:rPr>
          <w:rFonts w:hint="default" w:ascii="Times New Roman" w:hAnsi="Times New Roman"/>
          <w:kern w:val="0"/>
          <w:sz w:val="24"/>
          <w:szCs w:val="24"/>
        </w:rPr>
      </w:pPr>
      <w:r>
        <w:rPr>
          <w:rFonts w:hint="eastAsia" w:ascii="宋体" w:hAnsi="Times New Roman"/>
          <w:kern w:val="0"/>
          <w:sz w:val="24"/>
          <w:szCs w:val="24"/>
        </w:rPr>
        <w:t>11.基本支出：指为保障机构正常运转、完成日常工作任务而发生的人员支出和公用支出。</w:t>
      </w:r>
    </w:p>
    <w:p>
      <w:pPr>
        <w:shd w:val="clear" w:color="auto" w:fill="FFFFFF"/>
        <w:autoSpaceDE w:val="0"/>
        <w:autoSpaceDN w:val="0"/>
        <w:adjustRightInd w:val="0"/>
        <w:spacing w:before="100" w:beforeLines="0" w:afterLines="0" w:line="520" w:lineRule="exact"/>
        <w:rPr>
          <w:rFonts w:hint="default" w:ascii="Times New Roman" w:hAnsi="Times New Roman"/>
          <w:kern w:val="0"/>
          <w:sz w:val="24"/>
          <w:szCs w:val="24"/>
        </w:rPr>
      </w:pPr>
      <w:r>
        <w:rPr>
          <w:rFonts w:hint="eastAsia" w:ascii="宋体" w:hAnsi="Times New Roman"/>
          <w:kern w:val="0"/>
          <w:sz w:val="24"/>
          <w:szCs w:val="24"/>
        </w:rPr>
        <w:t>12.项目支出：指在基本支出之外为完成特定行政任务和事业发展目标所发生的支出。</w:t>
      </w:r>
    </w:p>
    <w:p>
      <w:pPr>
        <w:shd w:val="clear" w:color="auto" w:fill="FFFFFF"/>
        <w:autoSpaceDE w:val="0"/>
        <w:autoSpaceDN w:val="0"/>
        <w:adjustRightInd w:val="0"/>
        <w:spacing w:before="100" w:beforeLines="0" w:afterLines="0" w:line="520" w:lineRule="exact"/>
        <w:rPr>
          <w:rFonts w:hint="default" w:ascii="Times New Roman" w:hAnsi="Times New Roman"/>
          <w:kern w:val="0"/>
          <w:sz w:val="24"/>
          <w:szCs w:val="24"/>
        </w:rPr>
      </w:pPr>
      <w:r>
        <w:rPr>
          <w:rFonts w:hint="eastAsia" w:ascii="宋体" w:hAnsi="Times New Roman"/>
          <w:kern w:val="0"/>
          <w:sz w:val="24"/>
          <w:szCs w:val="24"/>
        </w:rPr>
        <w:t>13.经营支出：指事业单位在专业业务活动及其辅助活动之外开展非独立核算经营活动发生的支出。</w:t>
      </w:r>
    </w:p>
    <w:p>
      <w:pPr>
        <w:shd w:val="clear" w:color="auto" w:fill="FFFFFF"/>
        <w:autoSpaceDE w:val="0"/>
        <w:autoSpaceDN w:val="0"/>
        <w:adjustRightInd w:val="0"/>
        <w:spacing w:before="100" w:beforeLines="0" w:afterLines="0" w:line="520" w:lineRule="exact"/>
        <w:rPr>
          <w:rFonts w:hint="default" w:ascii="Times New Roman" w:hAnsi="Times New Roman"/>
          <w:kern w:val="0"/>
          <w:sz w:val="24"/>
          <w:szCs w:val="24"/>
        </w:rPr>
      </w:pPr>
      <w:r>
        <w:rPr>
          <w:rFonts w:hint="eastAsia" w:ascii="宋体" w:hAnsi="Times New Roman"/>
          <w:kern w:val="0"/>
          <w:sz w:val="24"/>
          <w:szCs w:val="24"/>
        </w:rPr>
        <w:t>14.对附属单位补助支出：指事业单位发生的用非财政预算资金对附属单位的补助支出。</w:t>
      </w:r>
    </w:p>
    <w:p>
      <w:pPr>
        <w:shd w:val="clear" w:color="auto" w:fill="FFFFFF"/>
        <w:autoSpaceDE w:val="0"/>
        <w:autoSpaceDN w:val="0"/>
        <w:adjustRightInd w:val="0"/>
        <w:spacing w:before="100" w:beforeLines="0" w:afterLines="0" w:line="520" w:lineRule="exact"/>
        <w:rPr>
          <w:rFonts w:hint="default" w:ascii="Times New Roman" w:hAnsi="Times New Roman"/>
          <w:kern w:val="0"/>
          <w:sz w:val="24"/>
          <w:szCs w:val="24"/>
        </w:rPr>
      </w:pPr>
      <w:r>
        <w:rPr>
          <w:rFonts w:hint="eastAsia" w:ascii="宋体" w:hAnsi="Times New Roman"/>
          <w:kern w:val="0"/>
          <w:sz w:val="24"/>
          <w:szCs w:val="24"/>
        </w:rPr>
        <w:t>15.三公经费：指用财政拨款安排的因公出国（境）费、公务用车购置及运行费和公务接待费。其中，因公出国（境）费反映单位公务出国（境）的住宿费、旅费、伙食补助费、杂费、培训费等支出；公务用车购置及运行费反映单位公务用车车辆购置费及租用费、燃料费、维修费、过路过桥费、保险费、安全奖励费用等支出；公务接待费反映单位按规定开支的各类公务接待（含外宾接待）支出。</w:t>
      </w:r>
    </w:p>
    <w:p>
      <w:pPr>
        <w:shd w:val="clear" w:color="auto" w:fill="FFFFFF"/>
        <w:autoSpaceDE w:val="0"/>
        <w:autoSpaceDN w:val="0"/>
        <w:adjustRightInd w:val="0"/>
        <w:spacing w:before="100" w:beforeLines="0" w:afterLines="0" w:line="520" w:lineRule="exact"/>
        <w:rPr>
          <w:rFonts w:hint="default" w:ascii="Times New Roman" w:hAnsi="Times New Roman"/>
          <w:kern w:val="0"/>
          <w:sz w:val="24"/>
          <w:szCs w:val="24"/>
        </w:rPr>
      </w:pPr>
      <w:r>
        <w:rPr>
          <w:rFonts w:hint="eastAsia" w:ascii="宋体" w:hAnsi="Times New Roman"/>
          <w:kern w:val="0"/>
          <w:sz w:val="24"/>
          <w:szCs w:val="24"/>
        </w:rPr>
        <w:t>16.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autoSpaceDE w:val="0"/>
        <w:autoSpaceDN w:val="0"/>
        <w:adjustRightInd w:val="0"/>
        <w:spacing w:before="100" w:beforeLines="0" w:afterLines="0" w:line="520" w:lineRule="exact"/>
        <w:rPr>
          <w:rFonts w:hint="default" w:ascii="宋体" w:hAnsi="Times New Roman"/>
          <w:kern w:val="0"/>
          <w:sz w:val="24"/>
          <w:szCs w:val="24"/>
        </w:rPr>
      </w:pPr>
      <w:r>
        <w:rPr>
          <w:rFonts w:hint="eastAsia" w:ascii="宋体" w:hAnsi="Times New Roman"/>
          <w:kern w:val="0"/>
          <w:sz w:val="24"/>
          <w:szCs w:val="24"/>
        </w:rPr>
        <w:t>本单位支出功能分类说明。</w:t>
      </w:r>
    </w:p>
    <w:tbl>
      <w:tblPr>
        <w:tblStyle w:val="4"/>
        <w:tblW w:w="8326"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86"/>
        <w:gridCol w:w="1469"/>
        <w:gridCol w:w="6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0" w:hRule="atLeast"/>
        </w:trPr>
        <w:tc>
          <w:tcPr>
            <w:tcW w:w="407" w:type="dxa"/>
            <w:tcBorders>
              <w:top w:val="single" w:color="auto" w:sz="4" w:space="0"/>
              <w:left w:val="single" w:color="auto" w:sz="4" w:space="0"/>
              <w:bottom w:val="single" w:color="auto" w:sz="4" w:space="0"/>
              <w:right w:val="single" w:color="auto" w:sz="4" w:space="0"/>
              <w:tl2br w:val="nil"/>
              <w:tr2bl w:val="nil"/>
            </w:tcBorders>
            <w:noWrap/>
            <w:vAlign w:val="center"/>
          </w:tcPr>
          <w:p>
            <w:pPr>
              <w:widowControl/>
              <w:spacing w:beforeLines="0" w:afterLines="0"/>
              <w:jc w:val="left"/>
              <w:rPr>
                <w:rFonts w:hint="default" w:ascii="宋体" w:hAnsi="宋体"/>
                <w:color w:val="000000"/>
                <w:kern w:val="0"/>
                <w:sz w:val="22"/>
                <w:szCs w:val="24"/>
              </w:rPr>
            </w:pPr>
            <w:r>
              <w:rPr>
                <w:rFonts w:hint="eastAsia" w:ascii="宋体" w:hAnsi="宋体"/>
                <w:color w:val="000000"/>
                <w:kern w:val="0"/>
                <w:sz w:val="22"/>
                <w:szCs w:val="24"/>
              </w:rPr>
              <w:t>功能科目代码</w:t>
            </w:r>
          </w:p>
        </w:tc>
        <w:tc>
          <w:tcPr>
            <w:tcW w:w="1469"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jc w:val="left"/>
              <w:rPr>
                <w:rFonts w:hint="default" w:ascii="宋体" w:hAnsi="宋体"/>
                <w:color w:val="000000"/>
                <w:kern w:val="0"/>
                <w:sz w:val="22"/>
                <w:szCs w:val="24"/>
              </w:rPr>
            </w:pPr>
            <w:r>
              <w:rPr>
                <w:rFonts w:hint="eastAsia" w:ascii="宋体" w:hAnsi="宋体"/>
                <w:color w:val="000000"/>
                <w:kern w:val="0"/>
                <w:sz w:val="22"/>
                <w:szCs w:val="24"/>
              </w:rPr>
              <w:t>功能科目名称</w:t>
            </w:r>
          </w:p>
        </w:tc>
        <w:tc>
          <w:tcPr>
            <w:tcW w:w="6450" w:type="dxa"/>
            <w:tcBorders>
              <w:top w:val="single" w:color="auto" w:sz="4" w:space="0"/>
              <w:left w:val="nil"/>
              <w:bottom w:val="single" w:color="auto" w:sz="4" w:space="0"/>
              <w:right w:val="single" w:color="auto" w:sz="4" w:space="0"/>
              <w:tl2br w:val="nil"/>
              <w:tr2bl w:val="nil"/>
            </w:tcBorders>
            <w:noWrap/>
            <w:vAlign w:val="center"/>
          </w:tcPr>
          <w:p>
            <w:pPr>
              <w:widowControl/>
              <w:spacing w:beforeLines="0" w:afterLines="0"/>
              <w:jc w:val="left"/>
              <w:rPr>
                <w:rFonts w:hint="default" w:ascii="宋体" w:hAnsi="宋体"/>
                <w:color w:val="000000"/>
                <w:kern w:val="0"/>
                <w:sz w:val="22"/>
                <w:szCs w:val="24"/>
              </w:rPr>
            </w:pPr>
            <w:r>
              <w:rPr>
                <w:rFonts w:hint="eastAsia" w:ascii="宋体" w:hAnsi="宋体"/>
                <w:color w:val="000000"/>
                <w:kern w:val="0"/>
                <w:sz w:val="22"/>
                <w:szCs w:val="24"/>
              </w:rPr>
              <w:t>名词解释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0" w:hRule="atLeast"/>
        </w:trPr>
        <w:tc>
          <w:tcPr>
            <w:tcW w:w="407"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right"/>
              <w:rPr>
                <w:rFonts w:hint="eastAsia" w:ascii="宋体" w:hAnsi="宋体"/>
                <w:color w:val="000000"/>
                <w:kern w:val="0"/>
                <w:sz w:val="22"/>
                <w:szCs w:val="24"/>
              </w:rPr>
            </w:pPr>
            <w:r>
              <w:rPr>
                <w:rFonts w:hint="eastAsia" w:ascii="宋体" w:hAnsi="宋体"/>
                <w:color w:val="000000"/>
                <w:kern w:val="0"/>
                <w:sz w:val="22"/>
                <w:szCs w:val="24"/>
              </w:rPr>
              <w:t>2080208</w:t>
            </w:r>
          </w:p>
        </w:tc>
        <w:tc>
          <w:tcPr>
            <w:tcW w:w="1469" w:type="dxa"/>
            <w:tcBorders>
              <w:top w:val="nil"/>
              <w:left w:val="nil"/>
              <w:bottom w:val="single" w:color="auto" w:sz="4" w:space="0"/>
              <w:right w:val="single" w:color="auto" w:sz="4" w:space="0"/>
              <w:tl2br w:val="nil"/>
              <w:tr2bl w:val="nil"/>
            </w:tcBorders>
            <w:noWrap/>
            <w:vAlign w:val="center"/>
          </w:tcPr>
          <w:p>
            <w:pPr>
              <w:widowControl/>
              <w:spacing w:beforeLines="0" w:afterLines="0"/>
              <w:jc w:val="left"/>
              <w:rPr>
                <w:rFonts w:hint="default" w:ascii="宋体" w:hAnsi="宋体"/>
                <w:color w:val="000000"/>
                <w:kern w:val="0"/>
                <w:sz w:val="22"/>
                <w:szCs w:val="24"/>
              </w:rPr>
            </w:pPr>
            <w:r>
              <w:rPr>
                <w:rFonts w:hint="eastAsia" w:ascii="宋体" w:hAnsi="宋体"/>
                <w:color w:val="000000"/>
                <w:kern w:val="0"/>
                <w:sz w:val="22"/>
                <w:szCs w:val="24"/>
              </w:rPr>
              <w:t>基层政权和社区建设</w:t>
            </w:r>
          </w:p>
        </w:tc>
        <w:tc>
          <w:tcPr>
            <w:tcW w:w="6450" w:type="dxa"/>
            <w:tcBorders>
              <w:top w:val="nil"/>
              <w:left w:val="nil"/>
              <w:bottom w:val="single" w:color="auto" w:sz="4" w:space="0"/>
              <w:right w:val="single" w:color="auto" w:sz="4" w:space="0"/>
              <w:tl2br w:val="nil"/>
              <w:tr2bl w:val="nil"/>
            </w:tcBorders>
            <w:noWrap/>
            <w:vAlign w:val="center"/>
          </w:tcPr>
          <w:p>
            <w:pPr>
              <w:widowControl/>
              <w:spacing w:beforeLines="0" w:afterLines="0"/>
              <w:jc w:val="left"/>
              <w:rPr>
                <w:rFonts w:hint="default" w:ascii="宋体" w:hAnsi="宋体"/>
                <w:color w:val="000000"/>
                <w:kern w:val="0"/>
                <w:sz w:val="22"/>
                <w:szCs w:val="24"/>
              </w:rPr>
            </w:pPr>
            <w:r>
              <w:rPr>
                <w:rFonts w:hint="eastAsia" w:ascii="宋体" w:hAnsi="宋体"/>
                <w:color w:val="000000"/>
                <w:kern w:val="0"/>
                <w:sz w:val="22"/>
                <w:szCs w:val="24"/>
              </w:rPr>
              <w:t>反映开展村民自治、村务公开等基层政权和社区建设工作的支出。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0" w:hRule="atLeast"/>
        </w:trPr>
        <w:tc>
          <w:tcPr>
            <w:tcW w:w="407"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right"/>
              <w:rPr>
                <w:rFonts w:hint="eastAsia" w:ascii="宋体" w:hAnsi="宋体"/>
                <w:color w:val="000000"/>
                <w:kern w:val="0"/>
                <w:sz w:val="22"/>
                <w:szCs w:val="24"/>
              </w:rPr>
            </w:pPr>
            <w:r>
              <w:rPr>
                <w:rFonts w:hint="eastAsia" w:ascii="宋体" w:hAnsi="宋体"/>
                <w:color w:val="000000"/>
                <w:kern w:val="0"/>
                <w:sz w:val="22"/>
                <w:szCs w:val="24"/>
              </w:rPr>
              <w:t>2080505</w:t>
            </w:r>
          </w:p>
        </w:tc>
        <w:tc>
          <w:tcPr>
            <w:tcW w:w="1469" w:type="dxa"/>
            <w:tcBorders>
              <w:top w:val="nil"/>
              <w:left w:val="nil"/>
              <w:bottom w:val="single" w:color="auto" w:sz="4" w:space="0"/>
              <w:right w:val="single" w:color="auto" w:sz="4" w:space="0"/>
              <w:tl2br w:val="nil"/>
              <w:tr2bl w:val="nil"/>
            </w:tcBorders>
            <w:noWrap/>
            <w:vAlign w:val="center"/>
          </w:tcPr>
          <w:p>
            <w:pPr>
              <w:widowControl/>
              <w:spacing w:beforeLines="0" w:afterLines="0"/>
              <w:jc w:val="left"/>
              <w:rPr>
                <w:rFonts w:hint="default" w:ascii="宋体" w:hAnsi="宋体"/>
                <w:color w:val="000000"/>
                <w:kern w:val="0"/>
                <w:sz w:val="22"/>
                <w:szCs w:val="24"/>
              </w:rPr>
            </w:pPr>
            <w:r>
              <w:rPr>
                <w:rFonts w:hint="eastAsia" w:ascii="宋体" w:hAnsi="宋体"/>
                <w:color w:val="000000"/>
                <w:kern w:val="0"/>
                <w:sz w:val="22"/>
                <w:szCs w:val="24"/>
              </w:rPr>
              <w:t>机关事业单位基本养老保险缴费支出</w:t>
            </w:r>
          </w:p>
        </w:tc>
        <w:tc>
          <w:tcPr>
            <w:tcW w:w="6450" w:type="dxa"/>
            <w:tcBorders>
              <w:top w:val="nil"/>
              <w:left w:val="nil"/>
              <w:bottom w:val="single" w:color="auto" w:sz="4" w:space="0"/>
              <w:right w:val="single" w:color="auto" w:sz="4" w:space="0"/>
              <w:tl2br w:val="nil"/>
              <w:tr2bl w:val="nil"/>
            </w:tcBorders>
            <w:noWrap/>
            <w:vAlign w:val="center"/>
          </w:tcPr>
          <w:p>
            <w:pPr>
              <w:widowControl/>
              <w:spacing w:beforeLines="0" w:afterLines="0"/>
              <w:jc w:val="left"/>
              <w:rPr>
                <w:rFonts w:hint="default" w:ascii="宋体" w:hAnsi="宋体"/>
                <w:color w:val="000000"/>
                <w:kern w:val="0"/>
                <w:sz w:val="22"/>
                <w:szCs w:val="24"/>
              </w:rPr>
            </w:pPr>
            <w:r>
              <w:rPr>
                <w:rFonts w:hint="eastAsia" w:ascii="宋体" w:hAnsi="宋体"/>
                <w:color w:val="000000"/>
                <w:kern w:val="0"/>
                <w:sz w:val="22"/>
                <w:szCs w:val="24"/>
              </w:rPr>
              <w:t>反映机关事业单位实施养老保险制度由单位缴纳的基本养老保险费支出。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0" w:hRule="atLeast"/>
        </w:trPr>
        <w:tc>
          <w:tcPr>
            <w:tcW w:w="407"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right"/>
              <w:rPr>
                <w:rFonts w:hint="eastAsia" w:ascii="宋体" w:hAnsi="宋体"/>
                <w:color w:val="000000"/>
                <w:kern w:val="0"/>
                <w:sz w:val="22"/>
                <w:szCs w:val="24"/>
              </w:rPr>
            </w:pPr>
            <w:r>
              <w:rPr>
                <w:rFonts w:hint="eastAsia" w:ascii="宋体" w:hAnsi="宋体"/>
                <w:color w:val="000000"/>
                <w:kern w:val="0"/>
                <w:sz w:val="22"/>
                <w:szCs w:val="24"/>
              </w:rPr>
              <w:t>2150601</w:t>
            </w:r>
          </w:p>
        </w:tc>
        <w:tc>
          <w:tcPr>
            <w:tcW w:w="1469" w:type="dxa"/>
            <w:tcBorders>
              <w:top w:val="nil"/>
              <w:left w:val="nil"/>
              <w:bottom w:val="single" w:color="auto" w:sz="4" w:space="0"/>
              <w:right w:val="single" w:color="auto" w:sz="4" w:space="0"/>
              <w:tl2br w:val="nil"/>
              <w:tr2bl w:val="nil"/>
            </w:tcBorders>
            <w:noWrap/>
            <w:vAlign w:val="center"/>
          </w:tcPr>
          <w:p>
            <w:pPr>
              <w:widowControl/>
              <w:spacing w:beforeLines="0" w:afterLines="0"/>
              <w:jc w:val="left"/>
              <w:rPr>
                <w:rFonts w:hint="default" w:ascii="宋体" w:hAnsi="宋体"/>
                <w:color w:val="000000"/>
                <w:kern w:val="0"/>
                <w:sz w:val="22"/>
                <w:szCs w:val="24"/>
              </w:rPr>
            </w:pPr>
            <w:r>
              <w:rPr>
                <w:rFonts w:hint="eastAsia" w:ascii="宋体" w:hAnsi="宋体"/>
                <w:color w:val="000000"/>
                <w:kern w:val="0"/>
                <w:sz w:val="22"/>
                <w:szCs w:val="24"/>
              </w:rPr>
              <w:t>行政运行</w:t>
            </w:r>
          </w:p>
        </w:tc>
        <w:tc>
          <w:tcPr>
            <w:tcW w:w="6450" w:type="dxa"/>
            <w:tcBorders>
              <w:top w:val="nil"/>
              <w:left w:val="nil"/>
              <w:bottom w:val="single" w:color="auto" w:sz="4" w:space="0"/>
              <w:right w:val="single" w:color="auto" w:sz="4" w:space="0"/>
              <w:tl2br w:val="nil"/>
              <w:tr2bl w:val="nil"/>
            </w:tcBorders>
            <w:noWrap/>
            <w:vAlign w:val="center"/>
          </w:tcPr>
          <w:p>
            <w:pPr>
              <w:widowControl/>
              <w:spacing w:beforeLines="0" w:afterLines="0"/>
              <w:jc w:val="left"/>
              <w:rPr>
                <w:rFonts w:hint="default" w:ascii="宋体" w:hAnsi="宋体"/>
                <w:color w:val="000000"/>
                <w:kern w:val="0"/>
                <w:sz w:val="22"/>
                <w:szCs w:val="24"/>
              </w:rPr>
            </w:pPr>
            <w:r>
              <w:rPr>
                <w:rFonts w:hint="eastAsia" w:ascii="宋体" w:hAnsi="宋体"/>
                <w:color w:val="000000"/>
                <w:kern w:val="0"/>
                <w:sz w:val="22"/>
                <w:szCs w:val="24"/>
              </w:rPr>
              <w:t>反映行政单位（包括实行公务员管理的事业单位）的基本支出。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0" w:hRule="atLeast"/>
        </w:trPr>
        <w:tc>
          <w:tcPr>
            <w:tcW w:w="407"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right"/>
              <w:rPr>
                <w:rFonts w:hint="eastAsia" w:ascii="宋体" w:hAnsi="宋体"/>
                <w:color w:val="000000"/>
                <w:kern w:val="0"/>
                <w:sz w:val="22"/>
                <w:szCs w:val="24"/>
              </w:rPr>
            </w:pPr>
            <w:r>
              <w:rPr>
                <w:rFonts w:hint="eastAsia" w:ascii="宋体" w:hAnsi="宋体"/>
                <w:color w:val="000000"/>
                <w:kern w:val="0"/>
                <w:sz w:val="22"/>
                <w:szCs w:val="24"/>
              </w:rPr>
              <w:t>2150605</w:t>
            </w:r>
          </w:p>
        </w:tc>
        <w:tc>
          <w:tcPr>
            <w:tcW w:w="1469" w:type="dxa"/>
            <w:tcBorders>
              <w:top w:val="nil"/>
              <w:left w:val="nil"/>
              <w:bottom w:val="single" w:color="auto" w:sz="4" w:space="0"/>
              <w:right w:val="single" w:color="auto" w:sz="4" w:space="0"/>
              <w:tl2br w:val="nil"/>
              <w:tr2bl w:val="nil"/>
            </w:tcBorders>
            <w:noWrap/>
            <w:vAlign w:val="center"/>
          </w:tcPr>
          <w:p>
            <w:pPr>
              <w:widowControl/>
              <w:spacing w:beforeLines="0" w:afterLines="0"/>
              <w:jc w:val="left"/>
              <w:rPr>
                <w:rFonts w:hint="default" w:ascii="宋体" w:hAnsi="宋体"/>
                <w:color w:val="000000"/>
                <w:kern w:val="0"/>
                <w:sz w:val="22"/>
                <w:szCs w:val="24"/>
              </w:rPr>
            </w:pPr>
            <w:r>
              <w:rPr>
                <w:rFonts w:hint="eastAsia" w:ascii="宋体" w:hAnsi="宋体"/>
                <w:color w:val="000000"/>
                <w:kern w:val="0"/>
                <w:sz w:val="22"/>
                <w:szCs w:val="24"/>
              </w:rPr>
              <w:t>安全监管监察专项</w:t>
            </w:r>
          </w:p>
        </w:tc>
        <w:tc>
          <w:tcPr>
            <w:tcW w:w="6450" w:type="dxa"/>
            <w:tcBorders>
              <w:top w:val="nil"/>
              <w:left w:val="nil"/>
              <w:bottom w:val="single" w:color="auto" w:sz="4" w:space="0"/>
              <w:right w:val="single" w:color="auto" w:sz="4" w:space="0"/>
              <w:tl2br w:val="nil"/>
              <w:tr2bl w:val="nil"/>
            </w:tcBorders>
            <w:noWrap/>
            <w:vAlign w:val="center"/>
          </w:tcPr>
          <w:p>
            <w:pPr>
              <w:widowControl/>
              <w:spacing w:beforeLines="0" w:afterLines="0"/>
              <w:jc w:val="left"/>
              <w:rPr>
                <w:rFonts w:hint="default" w:ascii="宋体" w:hAnsi="宋体"/>
                <w:color w:val="000000"/>
                <w:kern w:val="0"/>
                <w:sz w:val="22"/>
                <w:szCs w:val="24"/>
              </w:rPr>
            </w:pPr>
            <w:r>
              <w:rPr>
                <w:rFonts w:hint="eastAsia" w:ascii="宋体" w:hAnsi="宋体"/>
                <w:color w:val="000000"/>
                <w:kern w:val="0"/>
                <w:sz w:val="22"/>
                <w:szCs w:val="24"/>
              </w:rPr>
              <w:t>反映安全生产信息、法律、技术、宣传等六大支撑体系运行维护、安金监察、监管、立法、课题、办事处房屋物业、监察。没备仪器继修、事放处理等项自支出。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0" w:hRule="atLeast"/>
        </w:trPr>
        <w:tc>
          <w:tcPr>
            <w:tcW w:w="407"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right"/>
              <w:rPr>
                <w:rFonts w:hint="eastAsia" w:ascii="宋体" w:hAnsi="宋体"/>
                <w:color w:val="000000"/>
                <w:kern w:val="0"/>
                <w:sz w:val="22"/>
                <w:szCs w:val="24"/>
              </w:rPr>
            </w:pPr>
            <w:r>
              <w:rPr>
                <w:rFonts w:hint="eastAsia" w:ascii="宋体" w:hAnsi="宋体"/>
                <w:color w:val="000000"/>
                <w:kern w:val="0"/>
                <w:sz w:val="22"/>
                <w:szCs w:val="24"/>
              </w:rPr>
              <w:t>2150699</w:t>
            </w:r>
          </w:p>
        </w:tc>
        <w:tc>
          <w:tcPr>
            <w:tcW w:w="1469" w:type="dxa"/>
            <w:tcBorders>
              <w:top w:val="nil"/>
              <w:left w:val="nil"/>
              <w:bottom w:val="single" w:color="auto" w:sz="4" w:space="0"/>
              <w:right w:val="single" w:color="auto" w:sz="4" w:space="0"/>
              <w:tl2br w:val="nil"/>
              <w:tr2bl w:val="nil"/>
            </w:tcBorders>
            <w:noWrap/>
            <w:vAlign w:val="center"/>
          </w:tcPr>
          <w:p>
            <w:pPr>
              <w:widowControl/>
              <w:spacing w:beforeLines="0" w:afterLines="0"/>
              <w:jc w:val="left"/>
              <w:rPr>
                <w:rFonts w:hint="default" w:ascii="宋体" w:hAnsi="宋体"/>
                <w:color w:val="000000"/>
                <w:kern w:val="0"/>
                <w:sz w:val="22"/>
                <w:szCs w:val="24"/>
              </w:rPr>
            </w:pPr>
            <w:r>
              <w:rPr>
                <w:rFonts w:hint="eastAsia" w:ascii="宋体" w:hAnsi="宋体"/>
                <w:color w:val="000000"/>
                <w:kern w:val="0"/>
                <w:sz w:val="22"/>
                <w:szCs w:val="24"/>
              </w:rPr>
              <w:t>其他安全生产监管支出</w:t>
            </w:r>
          </w:p>
        </w:tc>
        <w:tc>
          <w:tcPr>
            <w:tcW w:w="6450" w:type="dxa"/>
            <w:tcBorders>
              <w:top w:val="nil"/>
              <w:left w:val="nil"/>
              <w:bottom w:val="single" w:color="auto" w:sz="4" w:space="0"/>
              <w:right w:val="single" w:color="auto" w:sz="4" w:space="0"/>
              <w:tl2br w:val="nil"/>
              <w:tr2bl w:val="nil"/>
            </w:tcBorders>
            <w:noWrap/>
            <w:vAlign w:val="center"/>
          </w:tcPr>
          <w:p>
            <w:pPr>
              <w:widowControl/>
              <w:spacing w:beforeLines="0" w:afterLines="0"/>
              <w:jc w:val="left"/>
              <w:rPr>
                <w:rFonts w:hint="default" w:ascii="宋体" w:hAnsi="宋体"/>
                <w:color w:val="000000"/>
                <w:kern w:val="0"/>
                <w:sz w:val="22"/>
                <w:szCs w:val="24"/>
              </w:rPr>
            </w:pPr>
            <w:r>
              <w:rPr>
                <w:rFonts w:hint="eastAsia" w:ascii="宋体" w:hAnsi="宋体"/>
                <w:color w:val="000000"/>
                <w:kern w:val="0"/>
                <w:sz w:val="22"/>
                <w:szCs w:val="24"/>
              </w:rPr>
              <w:t>反映除上述项目以外其他用于安全生产监管方面的支出。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wBefore w:w="0" w:type="dxa"/>
          <w:wAfter w:w="0" w:type="dxa"/>
          <w:trHeight w:val="280" w:hRule="atLeast"/>
        </w:trPr>
        <w:tc>
          <w:tcPr>
            <w:tcW w:w="407" w:type="dxa"/>
            <w:tcBorders>
              <w:top w:val="nil"/>
              <w:left w:val="single" w:color="auto" w:sz="4" w:space="0"/>
              <w:bottom w:val="single" w:color="auto" w:sz="4" w:space="0"/>
              <w:right w:val="single" w:color="auto" w:sz="4" w:space="0"/>
              <w:tl2br w:val="nil"/>
              <w:tr2bl w:val="nil"/>
            </w:tcBorders>
            <w:noWrap/>
            <w:vAlign w:val="center"/>
          </w:tcPr>
          <w:p>
            <w:pPr>
              <w:widowControl/>
              <w:spacing w:beforeLines="0" w:afterLines="0"/>
              <w:jc w:val="right"/>
              <w:rPr>
                <w:rFonts w:hint="eastAsia" w:ascii="宋体" w:hAnsi="宋体"/>
                <w:color w:val="000000"/>
                <w:kern w:val="0"/>
                <w:sz w:val="22"/>
                <w:szCs w:val="24"/>
              </w:rPr>
            </w:pPr>
            <w:r>
              <w:rPr>
                <w:rFonts w:hint="eastAsia" w:ascii="宋体" w:hAnsi="宋体"/>
                <w:color w:val="000000"/>
                <w:kern w:val="0"/>
                <w:sz w:val="22"/>
                <w:szCs w:val="24"/>
              </w:rPr>
              <w:t>2299901</w:t>
            </w:r>
          </w:p>
        </w:tc>
        <w:tc>
          <w:tcPr>
            <w:tcW w:w="1469" w:type="dxa"/>
            <w:tcBorders>
              <w:top w:val="nil"/>
              <w:left w:val="nil"/>
              <w:bottom w:val="single" w:color="auto" w:sz="4" w:space="0"/>
              <w:right w:val="single" w:color="auto" w:sz="4" w:space="0"/>
              <w:tl2br w:val="nil"/>
              <w:tr2bl w:val="nil"/>
            </w:tcBorders>
            <w:noWrap/>
            <w:vAlign w:val="center"/>
          </w:tcPr>
          <w:p>
            <w:pPr>
              <w:widowControl/>
              <w:spacing w:beforeLines="0" w:afterLines="0"/>
              <w:jc w:val="left"/>
              <w:rPr>
                <w:rFonts w:hint="default" w:ascii="宋体" w:hAnsi="宋体"/>
                <w:color w:val="000000"/>
                <w:kern w:val="0"/>
                <w:sz w:val="22"/>
                <w:szCs w:val="24"/>
              </w:rPr>
            </w:pPr>
            <w:r>
              <w:rPr>
                <w:rFonts w:hint="eastAsia" w:ascii="宋体" w:hAnsi="宋体"/>
                <w:color w:val="000000"/>
                <w:kern w:val="0"/>
                <w:sz w:val="22"/>
                <w:szCs w:val="24"/>
              </w:rPr>
              <w:t>其他支出</w:t>
            </w:r>
          </w:p>
        </w:tc>
        <w:tc>
          <w:tcPr>
            <w:tcW w:w="6450" w:type="dxa"/>
            <w:tcBorders>
              <w:top w:val="nil"/>
              <w:left w:val="nil"/>
              <w:bottom w:val="single" w:color="auto" w:sz="4" w:space="0"/>
              <w:right w:val="single" w:color="auto" w:sz="4" w:space="0"/>
              <w:tl2br w:val="nil"/>
              <w:tr2bl w:val="nil"/>
            </w:tcBorders>
            <w:noWrap/>
            <w:vAlign w:val="center"/>
          </w:tcPr>
          <w:p>
            <w:pPr>
              <w:widowControl/>
              <w:spacing w:beforeLines="0" w:afterLines="0"/>
              <w:jc w:val="left"/>
              <w:rPr>
                <w:rFonts w:hint="default" w:ascii="宋体" w:hAnsi="宋体"/>
                <w:color w:val="000000"/>
                <w:kern w:val="0"/>
                <w:sz w:val="22"/>
                <w:szCs w:val="24"/>
              </w:rPr>
            </w:pPr>
            <w:r>
              <w:rPr>
                <w:rFonts w:hint="eastAsia" w:ascii="宋体" w:hAnsi="宋体"/>
                <w:color w:val="000000"/>
                <w:kern w:val="0"/>
                <w:sz w:val="22"/>
                <w:szCs w:val="24"/>
              </w:rPr>
              <w:t>反映除上述项目以外其他不能划分到具体功能科目中的支出项目。</w:t>
            </w:r>
          </w:p>
        </w:tc>
      </w:tr>
    </w:tbl>
    <w:p>
      <w:pPr>
        <w:shd w:val="clear" w:color="auto" w:fill="FFFFFF"/>
        <w:autoSpaceDE w:val="0"/>
        <w:autoSpaceDN w:val="0"/>
        <w:adjustRightInd w:val="0"/>
        <w:spacing w:before="100" w:beforeLines="0" w:after="240" w:afterLines="0"/>
        <w:jc w:val="center"/>
        <w:rPr>
          <w:rFonts w:hint="default" w:ascii="Times New Roman" w:hAnsi="Times New Roman"/>
          <w:kern w:val="0"/>
          <w:sz w:val="24"/>
          <w:szCs w:val="24"/>
        </w:rPr>
      </w:pPr>
    </w:p>
    <w:p>
      <w:pPr>
        <w:shd w:val="clear" w:color="auto" w:fill="FFFFFF"/>
        <w:autoSpaceDE w:val="0"/>
        <w:autoSpaceDN w:val="0"/>
        <w:adjustRightInd w:val="0"/>
        <w:spacing w:before="100" w:beforeLines="0" w:after="240" w:afterLines="0"/>
        <w:jc w:val="center"/>
        <w:rPr>
          <w:rFonts w:hint="default" w:ascii="Times New Roman" w:hAnsi="Times New Roman"/>
          <w:kern w:val="0"/>
          <w:sz w:val="28"/>
          <w:szCs w:val="24"/>
        </w:rPr>
      </w:pPr>
      <w:r>
        <w:rPr>
          <w:rFonts w:hint="eastAsia" w:ascii="宋体" w:hAnsi="Times New Roman"/>
          <w:b/>
          <w:kern w:val="0"/>
          <w:sz w:val="28"/>
          <w:szCs w:val="24"/>
        </w:rPr>
        <w:t>第四部分  部门决算公开8张报表（见附表）</w:t>
      </w:r>
    </w:p>
    <w:p>
      <w:pPr>
        <w:autoSpaceDE w:val="0"/>
        <w:autoSpaceDN w:val="0"/>
        <w:adjustRightInd w:val="0"/>
        <w:spacing w:beforeLines="0" w:afterLines="0" w:line="520" w:lineRule="exact"/>
        <w:rPr>
          <w:rFonts w:hint="default" w:ascii="Times New Roman" w:hAnsi="Times New Roman"/>
          <w:sz w:val="24"/>
          <w:szCs w:val="24"/>
        </w:rPr>
      </w:pPr>
      <w:r>
        <w:rPr>
          <w:rFonts w:hint="eastAsia" w:ascii="宋体" w:hAnsi="Times New Roman"/>
          <w:sz w:val="24"/>
          <w:szCs w:val="24"/>
        </w:rPr>
        <w:t>一、《收入支出决算总表》</w:t>
      </w:r>
    </w:p>
    <w:p>
      <w:pPr>
        <w:autoSpaceDE w:val="0"/>
        <w:autoSpaceDN w:val="0"/>
        <w:adjustRightInd w:val="0"/>
        <w:spacing w:beforeLines="0" w:afterLines="0" w:line="520" w:lineRule="exact"/>
        <w:rPr>
          <w:rFonts w:hint="default" w:ascii="Times New Roman" w:hAnsi="Times New Roman"/>
          <w:sz w:val="24"/>
          <w:szCs w:val="24"/>
        </w:rPr>
      </w:pPr>
      <w:r>
        <w:rPr>
          <w:rFonts w:hint="eastAsia" w:ascii="宋体" w:hAnsi="Times New Roman"/>
          <w:sz w:val="24"/>
          <w:szCs w:val="24"/>
        </w:rPr>
        <w:t>二、《收入决算表》</w:t>
      </w:r>
    </w:p>
    <w:p>
      <w:pPr>
        <w:autoSpaceDE w:val="0"/>
        <w:autoSpaceDN w:val="0"/>
        <w:adjustRightInd w:val="0"/>
        <w:spacing w:beforeLines="0" w:afterLines="0" w:line="520" w:lineRule="exact"/>
        <w:rPr>
          <w:rFonts w:hint="default" w:ascii="Times New Roman" w:hAnsi="Times New Roman"/>
          <w:sz w:val="24"/>
          <w:szCs w:val="24"/>
        </w:rPr>
      </w:pPr>
      <w:r>
        <w:rPr>
          <w:rFonts w:hint="eastAsia" w:ascii="宋体" w:hAnsi="Times New Roman"/>
          <w:sz w:val="24"/>
          <w:szCs w:val="24"/>
        </w:rPr>
        <w:t>三、《支出决算表》</w:t>
      </w:r>
    </w:p>
    <w:p>
      <w:pPr>
        <w:autoSpaceDE w:val="0"/>
        <w:autoSpaceDN w:val="0"/>
        <w:adjustRightInd w:val="0"/>
        <w:spacing w:beforeLines="0" w:afterLines="0" w:line="520" w:lineRule="exact"/>
        <w:rPr>
          <w:rFonts w:hint="default" w:ascii="Times New Roman" w:hAnsi="Times New Roman"/>
          <w:sz w:val="24"/>
          <w:szCs w:val="24"/>
        </w:rPr>
      </w:pPr>
      <w:r>
        <w:rPr>
          <w:rFonts w:hint="eastAsia" w:ascii="宋体" w:hAnsi="Times New Roman"/>
          <w:sz w:val="24"/>
          <w:szCs w:val="24"/>
        </w:rPr>
        <w:t>四、《财政拨款收入支出决算总表》</w:t>
      </w:r>
    </w:p>
    <w:p>
      <w:pPr>
        <w:autoSpaceDE w:val="0"/>
        <w:autoSpaceDN w:val="0"/>
        <w:adjustRightInd w:val="0"/>
        <w:spacing w:beforeLines="0" w:afterLines="0" w:line="520" w:lineRule="exact"/>
        <w:rPr>
          <w:rFonts w:hint="default" w:ascii="Times New Roman" w:hAnsi="Times New Roman"/>
          <w:sz w:val="24"/>
          <w:szCs w:val="24"/>
        </w:rPr>
      </w:pPr>
      <w:r>
        <w:rPr>
          <w:rFonts w:hint="eastAsia" w:ascii="宋体" w:hAnsi="Times New Roman"/>
          <w:sz w:val="24"/>
          <w:szCs w:val="24"/>
        </w:rPr>
        <w:t>五、《一般公共预算财政拨款支出决算表》</w:t>
      </w:r>
    </w:p>
    <w:p>
      <w:pPr>
        <w:autoSpaceDE w:val="0"/>
        <w:autoSpaceDN w:val="0"/>
        <w:adjustRightInd w:val="0"/>
        <w:spacing w:beforeLines="0" w:afterLines="0" w:line="520" w:lineRule="exact"/>
        <w:rPr>
          <w:rFonts w:hint="default" w:ascii="Times New Roman" w:hAnsi="Times New Roman"/>
          <w:sz w:val="24"/>
          <w:szCs w:val="24"/>
        </w:rPr>
      </w:pPr>
      <w:r>
        <w:rPr>
          <w:rFonts w:hint="eastAsia" w:ascii="宋体" w:hAnsi="Times New Roman"/>
          <w:sz w:val="24"/>
          <w:szCs w:val="24"/>
        </w:rPr>
        <w:t>六、《一般公共预算财政拨款基本支出决算表》</w:t>
      </w:r>
    </w:p>
    <w:p>
      <w:pPr>
        <w:autoSpaceDE w:val="0"/>
        <w:autoSpaceDN w:val="0"/>
        <w:adjustRightInd w:val="0"/>
        <w:spacing w:beforeLines="0" w:afterLines="0" w:line="520" w:lineRule="exact"/>
        <w:rPr>
          <w:rFonts w:hint="default" w:ascii="Times New Roman" w:hAnsi="Times New Roman"/>
          <w:sz w:val="24"/>
          <w:szCs w:val="24"/>
        </w:rPr>
      </w:pPr>
      <w:r>
        <w:rPr>
          <w:rFonts w:hint="eastAsia" w:ascii="宋体" w:hAnsi="Times New Roman"/>
          <w:sz w:val="24"/>
          <w:szCs w:val="24"/>
        </w:rPr>
        <w:t>七、《一般公共预算财政拨款三公经费支出决算表》</w:t>
      </w:r>
    </w:p>
    <w:p>
      <w:pPr>
        <w:autoSpaceDE w:val="0"/>
        <w:autoSpaceDN w:val="0"/>
        <w:adjustRightInd w:val="0"/>
        <w:spacing w:beforeLines="0" w:afterLines="0" w:line="520" w:lineRule="exact"/>
        <w:jc w:val="left"/>
        <w:rPr>
          <w:rFonts w:hint="default" w:ascii="Times New Roman" w:hAnsi="Times New Roman"/>
          <w:sz w:val="24"/>
          <w:szCs w:val="24"/>
        </w:rPr>
      </w:pPr>
      <w:r>
        <w:rPr>
          <w:rFonts w:hint="eastAsia" w:ascii="宋体" w:hAnsi="Times New Roman"/>
          <w:sz w:val="24"/>
          <w:szCs w:val="24"/>
        </w:rPr>
        <w:t>八、《政府性基金预算财政拨款收入支出决算表》</w:t>
      </w:r>
    </w:p>
    <w:p>
      <w:pPr>
        <w:autoSpaceDE w:val="0"/>
        <w:autoSpaceDN w:val="0"/>
        <w:adjustRightInd w:val="0"/>
        <w:spacing w:beforeLines="0" w:afterLines="0" w:line="520" w:lineRule="exact"/>
        <w:jc w:val="left"/>
        <w:rPr>
          <w:rFonts w:hint="default" w:ascii="宋体" w:hAnsi="Times New Roman"/>
          <w:b/>
          <w:kern w:val="0"/>
          <w:sz w:val="28"/>
          <w:szCs w:val="24"/>
        </w:rPr>
      </w:pPr>
    </w:p>
    <w:p>
      <w:pPr>
        <w:autoSpaceDE w:val="0"/>
        <w:autoSpaceDN w:val="0"/>
        <w:adjustRightInd w:val="0"/>
        <w:spacing w:beforeLines="0" w:afterLines="0" w:line="520" w:lineRule="exact"/>
        <w:jc w:val="left"/>
        <w:rPr>
          <w:rFonts w:hint="default" w:ascii="宋体" w:hAnsi="Times New Roman"/>
          <w:b/>
          <w:kern w:val="0"/>
          <w:sz w:val="28"/>
          <w:szCs w:val="24"/>
        </w:rPr>
      </w:pPr>
    </w:p>
    <w:p>
      <w:pPr>
        <w:tabs>
          <w:tab w:val="left" w:pos="6790"/>
        </w:tabs>
        <w:spacing w:beforeLines="0" w:afterLines="0"/>
        <w:rPr>
          <w:rFonts w:hint="default" w:ascii="宋体" w:hAnsi="Times New Roman"/>
          <w:sz w:val="24"/>
          <w:szCs w:val="24"/>
        </w:rPr>
      </w:pPr>
      <w:r>
        <w:rPr>
          <w:rFonts w:hint="default" w:ascii="宋体" w:hAnsi="Times New Roman"/>
          <w:sz w:val="28"/>
          <w:szCs w:val="24"/>
        </w:rPr>
        <w:tab/>
      </w:r>
      <w:r>
        <w:rPr>
          <w:rFonts w:hint="eastAsia" w:ascii="宋体" w:hAnsi="Times New Roman"/>
          <w:sz w:val="24"/>
          <w:szCs w:val="24"/>
        </w:rPr>
        <w:t>2019年8月30日</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true"/>
  <w:drawingGridHorizontalOrigin w:val="1701"/>
  <w:drawingGridVerticalOrigin w:val="1984"/>
  <w:doNotShadeFormData w:val="true"/>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EF624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Calibri" w:hAnsi="Calibri" w:eastAsia="宋体"/>
      <w:kern w:val="2"/>
      <w:sz w:val="21"/>
      <w:szCs w:val="24"/>
      <w:lang w:val="en-US" w:eastAsia="zh-CN"/>
    </w:rPr>
  </w:style>
  <w:style w:type="character" w:default="1" w:styleId="5">
    <w:name w:val="Default Paragraph Font"/>
    <w:unhideWhenUsed/>
    <w:uiPriority w:val="1"/>
    <w:rPr>
      <w:rFonts w:hint="default"/>
      <w:sz w:val="24"/>
      <w:szCs w:val="24"/>
    </w:rPr>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beforeLines="0" w:afterLines="0"/>
      <w:jc w:val="left"/>
    </w:pPr>
    <w:rPr>
      <w:rFonts w:hint="eastAsia"/>
      <w:sz w:val="18"/>
      <w:szCs w:val="24"/>
    </w:rPr>
  </w:style>
  <w:style w:type="paragraph" w:styleId="3">
    <w:name w:val="header"/>
    <w:basedOn w:val="1"/>
    <w:link w:val="6"/>
    <w:unhideWhenUsed/>
    <w:uiPriority w:val="99"/>
    <w:pPr>
      <w:pBdr>
        <w:bottom w:val="single" w:color="auto" w:sz="6" w:space="1"/>
      </w:pBdr>
      <w:tabs>
        <w:tab w:val="center" w:pos="4153"/>
        <w:tab w:val="right" w:pos="8306"/>
      </w:tabs>
      <w:snapToGrid w:val="0"/>
      <w:spacing w:beforeLines="0" w:afterLines="0"/>
      <w:jc w:val="center"/>
    </w:pPr>
    <w:rPr>
      <w:rFonts w:hint="eastAsia"/>
      <w:sz w:val="18"/>
      <w:szCs w:val="24"/>
    </w:rPr>
  </w:style>
  <w:style w:type="character" w:customStyle="1" w:styleId="6">
    <w:name w:val="页眉 Char"/>
    <w:basedOn w:val="5"/>
    <w:link w:val="3"/>
    <w:unhideWhenUsed/>
    <w:locked/>
    <w:uiPriority w:val="99"/>
    <w:rPr>
      <w:rFonts w:hint="default" w:ascii="Times New Roman"/>
      <w:sz w:val="18"/>
      <w:szCs w:val="24"/>
    </w:rPr>
  </w:style>
  <w:style w:type="character" w:customStyle="1" w:styleId="7">
    <w:name w:val="页脚 Char"/>
    <w:basedOn w:val="5"/>
    <w:link w:val="2"/>
    <w:unhideWhenUsed/>
    <w:locked/>
    <w:uiPriority w:val="99"/>
    <w:rPr>
      <w:rFonts w:hint="default" w:ascii="Times New Roman"/>
      <w:sz w:val="18"/>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Office_11.8.2.10290_F1E327BC-269C-435d-A152-05C5408002CA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2023-03-02T19:54:59Z</dcterms:created>
  <dc:creator>user</dc:creator>
  <cp:lastModifiedBy>user</cp:lastModifiedBy>
  <dcterms:modified xsi:type="dcterms:W3CDTF">2023-03-02T19:56:26Z</dcterms:modified>
  <dc:title>2018年度新疆乌鲁木齐市水磨沟区安全生产监督管理局部门决算公开说明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