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bookmarkStart w:id="91" w:name="_GoBack"/>
      <w:bookmarkEnd w:id="91"/>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乌鲁木齐市水磨沟区</w:t>
      </w:r>
      <w:r>
        <w:rPr>
          <w:rFonts w:hint="eastAsia" w:ascii="方正小标宋_GBK" w:hAnsi="宋体" w:eastAsia="方正小标宋_GBK"/>
          <w:sz w:val="44"/>
          <w:szCs w:val="44"/>
          <w:highlight w:val="none"/>
          <w:lang w:val="en-US" w:eastAsia="zh-CN"/>
        </w:rPr>
        <w:t>人民</w:t>
      </w:r>
      <w:r>
        <w:rPr>
          <w:rFonts w:hint="eastAsia" w:ascii="方正小标宋_GBK" w:hAnsi="宋体" w:eastAsia="方正小标宋_GBK"/>
          <w:sz w:val="44"/>
          <w:szCs w:val="44"/>
          <w:highlight w:val="none"/>
          <w:lang w:eastAsia="zh-CN"/>
        </w:rPr>
        <w:t>政府办公室</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eastAsia="zh-CN"/>
        </w:rPr>
        <w:t>2022年</w:t>
      </w:r>
      <w:r>
        <w:rPr>
          <w:rFonts w:hint="eastAsia" w:ascii="方正小标宋_GBK" w:hAnsi="宋体" w:eastAsia="方正小标宋_GBK"/>
          <w:sz w:val="44"/>
          <w:szCs w:val="44"/>
          <w:highlight w:val="none"/>
        </w:rPr>
        <w:t>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6835"/>
      <w:bookmarkStart w:id="1" w:name="_Toc24028"/>
      <w:bookmarkStart w:id="2" w:name="_Toc3671"/>
      <w:r>
        <w:rPr>
          <w:rFonts w:hint="eastAsia" w:ascii="黑体" w:hAnsi="黑体" w:eastAsia="黑体"/>
          <w:sz w:val="32"/>
          <w:szCs w:val="32"/>
          <w:highlight w:val="none"/>
        </w:rPr>
        <w:t>第一部分 单位概况</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3" w:name="_Toc15274"/>
      <w:bookmarkStart w:id="4" w:name="_Toc521"/>
      <w:bookmarkStart w:id="5" w:name="_Toc30738"/>
      <w:r>
        <w:rPr>
          <w:rFonts w:hint="eastAsia" w:ascii="黑体" w:hAnsi="黑体" w:eastAsia="黑体" w:cs="宋体"/>
          <w:bCs/>
          <w:kern w:val="0"/>
          <w:sz w:val="32"/>
          <w:szCs w:val="32"/>
          <w:highlight w:val="none"/>
        </w:rPr>
        <w:t>一、主要职能</w:t>
      </w:r>
      <w:bookmarkEnd w:id="3"/>
      <w:bookmarkEnd w:id="4"/>
      <w:bookmarkEnd w:id="5"/>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bookmarkStart w:id="6" w:name="_Toc31238"/>
      <w:bookmarkStart w:id="7" w:name="_Toc24146"/>
      <w:bookmarkStart w:id="8" w:name="_Toc8561"/>
      <w:r>
        <w:rPr>
          <w:rFonts w:hint="eastAsia" w:ascii="仿宋_GB2312" w:hAnsi="Times New Roman" w:eastAsia="仿宋_GB2312" w:cs="仿宋_GB2312"/>
          <w:kern w:val="0"/>
          <w:sz w:val="32"/>
          <w:szCs w:val="32"/>
          <w:highlight w:val="none"/>
        </w:rPr>
        <w:t>（一）负责人民政府日常工作的综合协调，承担与区委、人大、政协、纪委监委办公室以及驻区部队、各民主党派的协调联系工作。</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（二）负责区人民政府日常文电的处理工作，承担以区人民政府、区人民政府办公室名义发布的文件文稿的草拟、修改、审核和制发、立卷、归档工作。</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（三）研究区人民政府各部门、单位、片区管委会请示区人民政府的事项，提出审核意见，报区人民政府领导同志审定。</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四）负责督查区人民政府重要文件、会议议定事项及市人民政府、区人民政府领导同志重要批示的贯彻落实情况并跟踪调研，及时向区人民政府领导同志报告；承办市委、市人民政府办公厅和区委、区人民政府交办的督查事项；负责督查区政府系统办理的自治区、市和区人大代表议案建议和政协委员提案的落实情况。</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五）负责区人民政府召开会议的筹备、组织和服务工作，协助区人民政府领导同志组织实施会议决定事项；负责区人民政府领导同志的公务活动安排，负责国家、自治区、乌鲁木齐市和各地政府领导来我区进行公务活动的组织协调和接待服务工作。</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（六）负责收集、整理、编发有关政治、经济、社会发展等方面的信息资料，及时上报重要情况；指导区人民政府各部门和各片区管委会的政务信息工作。</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（七）根据区人民政府的工作重点和区人民政府领导同志的指示，组织专题调查研究，及时反映情况，提出建议。</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八）贯彻执行国家、自治区、乌鲁木齐市有关优化政务服务的方针、政策和法律、法规，组织制定全区相关行政审批的管理规则和行政审批事项办理流程，拟定全区政务服务阶段性工作规划，并组织、协调、指导和监督区政府各部门的行政审批管理工作。</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（九）负责受理和核实违反政务服务相关规定的投诉举报；协调、督促、配合各行政监管部门对行政审批管理规则和办理流程中出现的各种争议、纠纷、举报、投诉和违法违规行为的调查处理。</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（十）负责推进“放管服”及政务服务改革工作，推动全区政务服务体系和电子政务建设。</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（十一）推进“互联网+政务服务”改革工作；负责政务服务信息的统计、整理和分析工作。</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（十二）负责指导、监督政务公开及政府信息公开工作。</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（十三）负责区委、区人民政府政务值班工作；及时向区人民政府领导同志报告重要情况，协助处理各部门、片区管委会向区人民政府反映的重要问题，传达和督促落实区人民政府领导同志的指示。</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（十四）承办区委、区人民政府和区人民政府领导同志交办的其他事项。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6"/>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7"/>
      <w:bookmarkEnd w:id="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乌鲁木齐市水磨沟区政府办公室2022年度，实有人数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"F02 基本数字表(财决附02表)!R10C7"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人，其中：在职人员</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"F02 基本数字表(财决附02表)!R10C8"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人，离休人员</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"F02 基本数字表(财决附02表)!R10C9"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人，退休人员</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"F02 基本数字表(财决附02表)!R2C10"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人。</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bookmarkStart w:id="9" w:name="_Toc3092"/>
      <w:r>
        <w:rPr>
          <w:rFonts w:hint="eastAsia" w:ascii="仿宋_GB2312" w:hAnsi="Times New Roman" w:eastAsia="仿宋_GB2312" w:cs="仿宋_GB2312"/>
          <w:kern w:val="0"/>
          <w:sz w:val="32"/>
          <w:szCs w:val="32"/>
          <w:highlight w:val="none"/>
        </w:rPr>
        <w:t>从部门决算单位构成看，乌鲁木齐市水磨沟区政府办公室部门决算包括：乌鲁木齐市水磨沟区政府办公室</w:t>
      </w:r>
      <w:r>
        <w:rPr>
          <w:rFonts w:hint="eastAsia" w:ascii="仿宋_GB2312" w:hAnsi="Times New Roman" w:eastAsia="仿宋_GB2312" w:cs="仿宋_GB2312"/>
          <w:kern w:val="0"/>
          <w:sz w:val="32"/>
          <w:szCs w:val="32"/>
          <w:highlight w:val="none"/>
          <w:lang w:val="zh-CN"/>
        </w:rPr>
        <w:t>决算。单位无下属预算单位</w:t>
      </w:r>
      <w:r>
        <w:rPr>
          <w:rFonts w:hint="eastAsia" w:ascii="仿宋_GB2312" w:hAnsi="Times New Roman" w:eastAsia="仿宋_GB2312" w:cs="仿宋_GB2312"/>
          <w:kern w:val="0"/>
          <w:sz w:val="32"/>
          <w:szCs w:val="32"/>
          <w:highlight w:val="none"/>
        </w:rPr>
        <w:t>。</w:t>
      </w:r>
    </w:p>
    <w:p>
      <w:pPr>
        <w:shd w:val="clear" w:color="auto" w:fill="auto"/>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水磨沟区人民政府办公室本级下设6个科室，分别是：文秘科、信息科、督查科、会务科、财务室、</w:t>
      </w:r>
      <w:r>
        <w:rPr>
          <w:rFonts w:hint="eastAsia" w:ascii="仿宋_GB2312" w:eastAsia="仿宋_GB2312" w:cs="仿宋_GB2312"/>
          <w:kern w:val="0"/>
          <w:sz w:val="32"/>
          <w:szCs w:val="32"/>
          <w:highlight w:val="none"/>
          <w:lang w:eastAsia="zh-CN"/>
        </w:rPr>
        <w:t>文书</w:t>
      </w:r>
      <w:r>
        <w:rPr>
          <w:rFonts w:hint="eastAsia" w:ascii="仿宋_GB2312" w:hAnsi="Times New Roman" w:eastAsia="仿宋_GB2312" w:cs="仿宋_GB2312"/>
          <w:kern w:val="0"/>
          <w:sz w:val="32"/>
          <w:szCs w:val="32"/>
          <w:highlight w:val="none"/>
        </w:rPr>
        <w:t>室。</w:t>
      </w: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br w:type="page"/>
      </w:r>
      <w:bookmarkStart w:id="10" w:name="_Toc6991"/>
      <w:bookmarkStart w:id="11" w:name="_Toc23946"/>
      <w:r>
        <w:rPr>
          <w:rFonts w:hint="eastAsia" w:ascii="黑体" w:hAnsi="黑体" w:eastAsia="黑体" w:cs="黑体"/>
          <w:spacing w:val="0"/>
          <w:sz w:val="32"/>
          <w:szCs w:val="32"/>
          <w:highlight w:val="none"/>
          <w:lang w:eastAsia="zh-CN"/>
        </w:rPr>
        <w:t>第二部分 部门决算情况说明</w:t>
      </w:r>
      <w:bookmarkEnd w:id="9"/>
      <w:bookmarkEnd w:id="10"/>
      <w:bookmarkEnd w:id="11"/>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12" w:name="_Toc18175"/>
      <w:bookmarkStart w:id="13" w:name="_Toc19108"/>
      <w:bookmarkStart w:id="14" w:name="_Toc12566"/>
      <w:r>
        <w:rPr>
          <w:rFonts w:hint="eastAsia" w:ascii="黑体" w:hAnsi="黑体" w:eastAsia="黑体" w:cs="黑体"/>
          <w:spacing w:val="0"/>
          <w:sz w:val="32"/>
          <w:szCs w:val="32"/>
          <w:highlight w:val="none"/>
          <w:lang w:eastAsia="zh-CN"/>
        </w:rPr>
        <w:t>一、收入支出决算总体情况说明</w:t>
      </w:r>
      <w:bookmarkEnd w:id="12"/>
      <w:bookmarkEnd w:id="13"/>
      <w:bookmarkEnd w:id="14"/>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2022年度</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val="en-US"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"Z01!R37C5"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638.12</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其中：本年收入合计</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"Z01!R33C5"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423.53</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万元，使用非财政拨款结余</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"Z01!R34C5"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万元，年初结转和结余</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"Z01!R35C5"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214.59</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与上年相比，减少</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"Z01!R40C5"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285.02</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"Z01!R41C5"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30.87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科技三项经费和政务协调工作经费收入的减少、部分业务工作经费调整成了预拨资金。</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本年支出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"Z01!R37C15"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638.12</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其中：本年支出合计</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"Z01!R33C15"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465.90</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结余分配</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"Z01!R34C15"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0.0</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万元，年末结转和结余</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"Z01!R35C15"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172.22</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与上年相比，减少</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"Z01!R40C5"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285.02</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"Z01!R41C5"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30.87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科技三项经费和政务协调工作经费支出的减少、部分业务工作经费调整成了预拨资金。</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15" w:name="_Toc1979"/>
      <w:bookmarkStart w:id="16" w:name="_Toc21353"/>
      <w:bookmarkStart w:id="17" w:name="_Toc8730"/>
      <w:r>
        <w:rPr>
          <w:rFonts w:hint="eastAsia" w:ascii="黑体" w:hAnsi="黑体" w:eastAsia="黑体" w:cs="黑体"/>
          <w:spacing w:val="0"/>
          <w:sz w:val="32"/>
          <w:szCs w:val="32"/>
          <w:highlight w:val="none"/>
          <w:lang w:eastAsia="zh-CN"/>
        </w:rPr>
        <w:t>二、收入决算情况说明</w:t>
      </w:r>
      <w:bookmarkEnd w:id="15"/>
      <w:bookmarkEnd w:id="16"/>
      <w:bookmarkEnd w:id="17"/>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2022年度本年收入</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"Z03!R9C5"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423.53</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万元，其中：财政拨款收入</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"Z03!R9C6"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405.83</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"Z03百分比!R5C3"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95.82%</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；上级补助收入</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"Z03!R9C7"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"Z03百分比!R5C4"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；事业收入</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"Z03!R9C8"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"Z03百分比!R5C5"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；经营收入</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"Z03!R9C10"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"Z03百分比!R5C7"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；附属单位上缴收入</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"Z03!R9C11"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"Z03百分比!R5C8"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；其他收入</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"Z03!R9C12"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17.70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"Z03百分比!R5C9"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4.18%</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18" w:name="_Toc27961"/>
      <w:bookmarkStart w:id="19" w:name="_Toc6508"/>
      <w:bookmarkStart w:id="20" w:name="_Toc30363"/>
      <w:r>
        <w:rPr>
          <w:rFonts w:hint="eastAsia" w:ascii="黑体" w:hAnsi="黑体" w:eastAsia="黑体" w:cs="黑体"/>
          <w:spacing w:val="0"/>
          <w:sz w:val="32"/>
          <w:szCs w:val="32"/>
          <w:highlight w:val="none"/>
          <w:lang w:eastAsia="zh-CN"/>
        </w:rPr>
        <w:t>三、支出决算情况说明</w:t>
      </w:r>
      <w:bookmarkEnd w:id="18"/>
      <w:bookmarkEnd w:id="19"/>
      <w:bookmarkEnd w:id="20"/>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2022年度本年支出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"Z04!R9C5"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465.90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万元，其中：基本支出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"Z04!R9C6"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444.28</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"Z04百分比!R5C4"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95.36%</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；项目支出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"Z04!R9C7"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21.62</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"Z04百分比!R5C5"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4.64%</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；上缴上级支出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"Z04!R9C8"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"Z04百分比!R5C6"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；经营支出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"Z04!R9C9"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"Z04百分比!R5C7"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；对附属单位补助支出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"Z04!R9C10"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"Z04百分比!R5C8"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21" w:name="_Toc4393"/>
      <w:bookmarkStart w:id="22" w:name="_Toc30865"/>
      <w:bookmarkStart w:id="23" w:name="_Toc733"/>
      <w:r>
        <w:rPr>
          <w:rFonts w:hint="eastAsia" w:ascii="黑体" w:hAnsi="黑体" w:eastAsia="黑体" w:cs="黑体"/>
          <w:spacing w:val="0"/>
          <w:sz w:val="32"/>
          <w:szCs w:val="32"/>
          <w:highlight w:val="none"/>
          <w:lang w:eastAsia="zh-CN"/>
        </w:rPr>
        <w:t>四、财政拨款收入支出决算总体情况说明</w:t>
      </w:r>
      <w:bookmarkEnd w:id="21"/>
      <w:bookmarkEnd w:id="22"/>
      <w:bookmarkEnd w:id="23"/>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"Z07!R2C8"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562.70</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"Z07!R3C8"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其中：年初财政拨款结转和结余</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"Z07!R9C5"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156.88</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财政拨款本年收入</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"Z07!R9C8"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405.83</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与上年相比，减少</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"Z07!R2C9"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144.77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"Z07!R2C10"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20.46%</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科技三项经费和政务协调工作经费收入的减少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"Z07!R2C11"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562.70</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其中：年末财政拨款结转和结余</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"Z07!R9C16"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118.56</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财政拨款本年支出</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"Z07!R9C11"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444.14</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万元。财政拨款</w:t>
      </w:r>
      <w:r>
        <w:rPr>
          <w:rFonts w:hint="eastAsia" w:ascii="仿宋_GB2312" w:eastAsia="仿宋_GB2312"/>
          <w:spacing w:val="0"/>
          <w:sz w:val="32"/>
          <w:szCs w:val="32"/>
          <w:highlight w:val="none"/>
          <w:lang w:val="en-US" w:eastAsia="zh-CN"/>
        </w:rPr>
        <w:t>支出总计</w:t>
      </w:r>
      <w:r>
        <w:rPr>
          <w:rFonts w:hint="eastAsia" w:ascii="仿宋_GB2312" w:eastAsia="仿宋_GB2312"/>
          <w:spacing w:val="0"/>
          <w:sz w:val="32"/>
          <w:szCs w:val="32"/>
          <w:highlight w:val="none"/>
          <w:lang w:eastAsia="zh-CN"/>
        </w:rPr>
        <w:t>与上年相比，减少</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"Z07!R2C9"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144.77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"Z07!R2C10"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20.46%</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科技三项经费和政务协调工作经费支出的减少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与年初预算数相比情况：财政拨款收入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"Z01_1!R39C3"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733.37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"Z01_1!R39C5"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562.70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"Z01_1!R2C5"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-23.27%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业务工作经费和政务服务大厅工作经费收入的减少和行政事业办公经费和公车运行维护费的收入减少。</w:t>
      </w:r>
      <w:r>
        <w:rPr>
          <w:rFonts w:hint="eastAsia" w:ascii="仿宋_GB2312" w:eastAsia="仿宋_GB2312"/>
          <w:spacing w:val="0"/>
          <w:sz w:val="32"/>
          <w:szCs w:val="32"/>
          <w:highlight w:val="none"/>
          <w:lang w:eastAsia="zh-CN"/>
        </w:rPr>
        <w:t>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"Z01_1!R39C22"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733.37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"Z01_1!R39C30"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562.70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"Z01_1!R2C30"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-23.27%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业务工作经费和政务服务大厅工作经费支出的减少和行政事业办公经费和公车运行维护费的支出减少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24" w:name="_Toc13833"/>
      <w:bookmarkStart w:id="25" w:name="_Toc11969"/>
      <w:bookmarkStart w:id="26" w:name="_Toc12666"/>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五、一般公共预算财政拨款支出决算情况说明</w:t>
      </w:r>
      <w:bookmarkEnd w:id="24"/>
      <w:bookmarkEnd w:id="25"/>
      <w:bookmarkEnd w:id="26"/>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27" w:name="_Toc7106"/>
      <w:bookmarkStart w:id="28" w:name="_Toc6505"/>
      <w:r>
        <w:rPr>
          <w:rFonts w:hint="eastAsia" w:ascii="黑体" w:hAnsi="黑体" w:eastAsia="黑体" w:cs="黑体"/>
          <w:spacing w:val="0"/>
          <w:sz w:val="32"/>
          <w:szCs w:val="32"/>
          <w:highlight w:val="none"/>
          <w:lang w:eastAsia="zh-CN"/>
        </w:rPr>
        <w:t>（一）一般公共预算财政拨款支出决算总体情况</w:t>
      </w:r>
      <w:bookmarkEnd w:id="27"/>
      <w:bookmarkEnd w:id="2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2022年度一般公共预算财政拨款支出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"Z07!R9C11"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444.14</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"Z07!R2C12"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val="en-US" w:eastAsia="zh-CN"/>
        </w:rPr>
        <w:t>95.33</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，与上年相比减少</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"Z07!R2C13"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106.46</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"Z07!R2C14"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19.3</w:t>
      </w:r>
      <w:r>
        <w:rPr>
          <w:rFonts w:hint="eastAsia" w:ascii="仿宋_GB2312" w:eastAsia="仿宋_GB2312"/>
          <w:spacing w:val="0"/>
          <w:sz w:val="32"/>
          <w:szCs w:val="32"/>
          <w:highlight w:val="none"/>
          <w:lang w:val="en-US" w:eastAsia="zh-CN"/>
        </w:rPr>
        <w:t>4</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科技三项经费和政务协调工作经费支出的减少</w:t>
      </w:r>
      <w:r>
        <w:rPr>
          <w:rFonts w:hint="eastAsia" w:ascii="仿宋_GB2312" w:eastAsia="仿宋_GB2312"/>
          <w:spacing w:val="0"/>
          <w:sz w:val="32"/>
          <w:szCs w:val="32"/>
          <w:highlight w:val="none"/>
          <w:lang w:eastAsia="zh-CN"/>
        </w:rPr>
        <w:t xml:space="preserve"> 。</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29" w:name="_Toc18111"/>
      <w:bookmarkStart w:id="30" w:name="_Toc31862"/>
      <w:r>
        <w:rPr>
          <w:rFonts w:hint="eastAsia" w:ascii="黑体" w:hAnsi="黑体" w:eastAsia="黑体" w:cs="黑体"/>
          <w:spacing w:val="0"/>
          <w:sz w:val="32"/>
          <w:szCs w:val="32"/>
          <w:highlight w:val="none"/>
          <w:lang w:eastAsia="zh-CN"/>
        </w:rPr>
        <w:t>（二）一般公共预算</w:t>
      </w:r>
      <w:r>
        <w:rPr>
          <w:rFonts w:hint="eastAsia" w:ascii="黑体" w:hAnsi="黑体" w:eastAsia="黑体" w:cs="黑体"/>
          <w:spacing w:val="0"/>
          <w:sz w:val="32"/>
          <w:szCs w:val="32"/>
          <w:highlight w:val="none"/>
          <w:lang w:val="en-US" w:eastAsia="zh-CN"/>
        </w:rPr>
        <w:t>财政拨款支出决算</w:t>
      </w:r>
      <w:r>
        <w:rPr>
          <w:rFonts w:hint="eastAsia" w:ascii="黑体" w:hAnsi="黑体" w:eastAsia="黑体" w:cs="黑体"/>
          <w:spacing w:val="0"/>
          <w:sz w:val="32"/>
          <w:szCs w:val="32"/>
          <w:highlight w:val="none"/>
          <w:lang w:eastAsia="zh-CN"/>
        </w:rPr>
        <w:t>结构情况</w:t>
      </w:r>
      <w:bookmarkEnd w:id="29"/>
      <w:bookmarkEnd w:id="30"/>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1.</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"Z05!R2C2"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一般公共服务支出</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（类）</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"Z05!R2C3"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402.25</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"Z05!R2C4"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90.57%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"Z05!R8C2"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社会保障和就业支出</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（类）</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"Z05!R8C3"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41.89</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"Z05!R8C4"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9.43%</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31" w:name="_Toc19900"/>
      <w:bookmarkStart w:id="32" w:name="_Toc24627"/>
      <w:r>
        <w:rPr>
          <w:rFonts w:hint="eastAsia" w:ascii="黑体" w:hAnsi="黑体" w:eastAsia="黑体" w:cs="黑体"/>
          <w:spacing w:val="0"/>
          <w:sz w:val="32"/>
          <w:szCs w:val="32"/>
          <w:highlight w:val="none"/>
          <w:lang w:eastAsia="zh-CN"/>
        </w:rPr>
        <w:t>（三）一般公共预算财政拨款支出决算具体情况</w:t>
      </w:r>
      <w:bookmarkEnd w:id="31"/>
      <w:bookmarkEnd w:id="32"/>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1.一般公共服务（类）财政事务（款）</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(2)!R4C2"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 xml:space="preserve">  行政运行</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(2)!R4C3"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268.19</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决算减</w:t>
      </w:r>
      <w:r>
        <w:rPr>
          <w:rFonts w:hint="eastAsia" w:ascii="仿宋_GB2312" w:eastAsia="仿宋_GB2312"/>
          <w:spacing w:val="0"/>
          <w:sz w:val="32"/>
          <w:szCs w:val="32"/>
          <w:highlight w:val="none"/>
          <w:lang w:eastAsia="zh-CN"/>
        </w:rPr>
        <w:t>少</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(2)!R4C5"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30.31</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(2)!R4C6"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10.15%</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办公费、培训费和公车运行维护费支出的减少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w:t>
      </w:r>
      <w:r>
        <w:rPr>
          <w:rFonts w:hint="eastAsia" w:ascii="仿宋_GB2312" w:eastAsia="仿宋_GB2312"/>
          <w:spacing w:val="0"/>
          <w:sz w:val="32"/>
          <w:szCs w:val="32"/>
          <w:highlight w:val="none"/>
          <w:lang w:eastAsia="zh-CN"/>
        </w:rPr>
        <w:t>.一般公共服务（类）财政事务（款）</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(2)!R5C2"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 xml:space="preserve">  一般行政管理事务</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(2)!R5C3"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3.70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(2)!R5C5"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43.73</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(2)!R5C6"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92.19%</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，主要原因是：电子政务中心工作经费</w:t>
      </w:r>
      <w:r>
        <w:rPr>
          <w:rFonts w:hint="eastAsia" w:ascii="仿宋_GB2312" w:eastAsia="仿宋_GB2312"/>
          <w:spacing w:val="0"/>
          <w:sz w:val="32"/>
          <w:szCs w:val="32"/>
          <w:highlight w:val="none"/>
          <w:lang w:val="en-US" w:eastAsia="zh-CN"/>
        </w:rPr>
        <w:t>和包联工作经费支出的减少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3</w:t>
      </w:r>
      <w:r>
        <w:rPr>
          <w:rFonts w:hint="eastAsia" w:ascii="仿宋_GB2312" w:eastAsia="仿宋_GB2312"/>
          <w:spacing w:val="0"/>
          <w:sz w:val="32"/>
          <w:szCs w:val="32"/>
          <w:highlight w:val="none"/>
          <w:lang w:eastAsia="zh-CN"/>
        </w:rPr>
        <w:t>.一般公共服务（类）财政事务（款）</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(2)!R6C2"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 xml:space="preserve">  事业运行</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(2)!R6C3"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130.36</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增加</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(2)!R6C5"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25.38</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万元，增长</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(2)!R6C6"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24.18%</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社保基数和办公费支出的增加</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4</w:t>
      </w:r>
      <w:r>
        <w:rPr>
          <w:rFonts w:hint="eastAsia" w:ascii="仿宋_GB2312" w:eastAsia="仿宋_GB2312"/>
          <w:spacing w:val="0"/>
          <w:sz w:val="32"/>
          <w:szCs w:val="32"/>
          <w:highlight w:val="none"/>
          <w:lang w:eastAsia="zh-CN"/>
        </w:rPr>
        <w:t>.一般公共服务（类）财政事务（款）</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(2)!R10C2"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 xml:space="preserve">  基层政权建设和社区治理</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(2)!R10C3"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0.72</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(2)!R10C5"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4.90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(2)!R10C6"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87.18%</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非在编人员绩效和临聘人员经费支出调整到了预拨资金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5</w:t>
      </w:r>
      <w:r>
        <w:rPr>
          <w:rFonts w:hint="eastAsia" w:ascii="仿宋_GB2312" w:eastAsia="仿宋_GB2312"/>
          <w:spacing w:val="0"/>
          <w:sz w:val="32"/>
          <w:szCs w:val="32"/>
          <w:highlight w:val="none"/>
          <w:lang w:eastAsia="zh-CN"/>
        </w:rPr>
        <w:t>.一般公共服务（类）财政事务（款）</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(2)!R12C2"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 xml:space="preserve">  机关事业单位基本养老保险缴费支出</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(2)!R12C3"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41.17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增加</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(2)!R12C5"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11.64%</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万元，增长</w:t>
      </w:r>
      <w:r>
        <w:rPr>
          <w:rFonts w:hint="eastAsia" w:ascii="仿宋_GB2312" w:eastAsia="仿宋_GB2312"/>
          <w:spacing w:val="0"/>
          <w:sz w:val="32"/>
          <w:szCs w:val="32"/>
          <w:highlight w:val="none"/>
          <w:lang w:eastAsia="zh-CN"/>
        </w:rPr>
        <w:fldChar w:fldCharType="begin"/>
      </w:r>
      <w:r>
        <w:rPr>
          <w:rFonts w:hint="eastAsia" w:ascii="仿宋_GB2312" w:eastAsia="仿宋_GB2312"/>
          <w:spacing w:val="0"/>
          <w:sz w:val="32"/>
          <w:szCs w:val="32"/>
          <w:highlight w:val="none"/>
          <w:lang w:eastAsia="zh-CN"/>
        </w:rPr>
        <w:instrText xml:space="preserve"> LINK Excel.Sheet.8 "C:\\Users\\Dell\\Desktop\\人社局.xls" "Z05 (2)!R12C6"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39.39%</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调整机关事业单位基本养老保险基数，导致养老支出增加</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33" w:name="_Toc11146"/>
      <w:bookmarkStart w:id="34" w:name="_Toc18202"/>
      <w:bookmarkStart w:id="35" w:name="_Toc13818"/>
      <w:r>
        <w:rPr>
          <w:rFonts w:hint="eastAsia" w:ascii="黑体" w:hAnsi="黑体" w:eastAsia="黑体" w:cs="黑体"/>
          <w:spacing w:val="0"/>
          <w:sz w:val="32"/>
          <w:szCs w:val="32"/>
          <w:highlight w:val="none"/>
          <w:lang w:eastAsia="zh-CN"/>
        </w:rPr>
        <w:t>六、一般公共预算财政拨款基本支出决算情况说明</w:t>
      </w:r>
      <w:bookmarkEnd w:id="33"/>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2022年度一般公共预算财政拨款基本支出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"Z07!R9C12"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439.72</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万元，其中：</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人员经费</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"Z07!R9C13"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417.58</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万元，包括：基本工资、津贴补贴、奖金、绩效工资、机关事业单位基本养老保险缴费、职工基本医疗保险缴费、公务员医疗补助缴费、其他社会保障缴费、住房公积金、生活补助。</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公用经费</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"Z07!R9C14"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22.14</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万元，包括：办公费、手续费、邮电费、取暖费、差旅费、劳务费、福利费、公务用车运行维护费、办公设备购置。</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36" w:name="_Toc7190"/>
      <w:bookmarkStart w:id="37" w:name="_Toc32115"/>
      <w:bookmarkStart w:id="38" w:name="_Toc31388"/>
      <w:r>
        <w:rPr>
          <w:rFonts w:hint="eastAsia" w:ascii="黑体" w:hAnsi="黑体" w:eastAsia="黑体" w:cs="黑体"/>
          <w:spacing w:val="0"/>
          <w:sz w:val="32"/>
          <w:szCs w:val="32"/>
          <w:highlight w:val="none"/>
          <w:lang w:val="en-US" w:eastAsia="zh-CN"/>
        </w:rPr>
        <w:t>七、</w:t>
      </w:r>
      <w:r>
        <w:rPr>
          <w:rFonts w:hint="eastAsia" w:ascii="黑体" w:hAnsi="黑体" w:eastAsia="黑体" w:cs="黑体"/>
          <w:spacing w:val="0"/>
          <w:sz w:val="32"/>
          <w:szCs w:val="32"/>
          <w:highlight w:val="none"/>
          <w:lang w:eastAsia="zh-CN"/>
        </w:rPr>
        <w:t>财政拨款“三公”经费支出决算情况说明</w:t>
      </w:r>
      <w:bookmarkEnd w:id="36"/>
      <w:bookmarkEnd w:id="37"/>
      <w:bookmarkEnd w:id="3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pacing w:val="0"/>
          <w:sz w:val="32"/>
          <w:szCs w:val="32"/>
          <w:highlight w:val="none"/>
          <w:lang w:val="en-US" w:eastAsia="zh-CN"/>
        </w:rPr>
        <w:t>财政拨款</w:t>
      </w:r>
      <w:r>
        <w:rPr>
          <w:rFonts w:hint="eastAsia" w:ascii="仿宋_GB2312" w:eastAsia="仿宋_GB2312"/>
          <w:spacing w:val="0"/>
          <w:sz w:val="32"/>
          <w:szCs w:val="32"/>
          <w:highlight w:val="none"/>
          <w:lang w:eastAsia="zh-CN"/>
        </w:rPr>
        <w:t>“三公”经费支出决算</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"F03!R7C5"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1.80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万元，比上年减少</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"F03!R7C10"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21.86</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"F03!R7C11"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92.39%</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当</w:t>
      </w:r>
      <w:r>
        <w:rPr>
          <w:rFonts w:hint="eastAsia" w:ascii="仿宋_GB2312" w:eastAsia="仿宋_GB2312"/>
          <w:spacing w:val="0"/>
          <w:sz w:val="32"/>
          <w:szCs w:val="32"/>
          <w:highlight w:val="none"/>
          <w:lang w:eastAsia="zh-CN"/>
        </w:rPr>
        <w:t>年的保险维修费因</w:t>
      </w:r>
      <w:r>
        <w:rPr>
          <w:rFonts w:hint="eastAsia" w:ascii="仿宋_GB2312" w:eastAsia="仿宋_GB2312"/>
          <w:spacing w:val="0"/>
          <w:sz w:val="32"/>
          <w:szCs w:val="32"/>
          <w:highlight w:val="none"/>
          <w:lang w:val="en-US" w:eastAsia="zh-CN"/>
        </w:rPr>
        <w:t>防疫</w:t>
      </w:r>
      <w:r>
        <w:rPr>
          <w:rFonts w:hint="eastAsia" w:ascii="仿宋_GB2312" w:eastAsia="仿宋_GB2312"/>
          <w:spacing w:val="0"/>
          <w:sz w:val="32"/>
          <w:szCs w:val="32"/>
          <w:highlight w:val="none"/>
          <w:lang w:eastAsia="zh-CN"/>
        </w:rPr>
        <w:t>原因，没有及时支付。其中：因公出国（境）费支出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"F03!R8C5"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"F03!R8C9"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，比上年增加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万元，增长</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未发生</w:t>
      </w:r>
      <w:r>
        <w:rPr>
          <w:rFonts w:hint="eastAsia" w:ascii="仿宋_GB2312" w:eastAsia="仿宋_GB2312"/>
          <w:spacing w:val="0"/>
          <w:sz w:val="32"/>
          <w:szCs w:val="32"/>
          <w:highlight w:val="none"/>
          <w:lang w:eastAsia="zh-CN"/>
        </w:rPr>
        <w:t>；公务用车购置及运行维护费支出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"F03!R9C5"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1.80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"F03!R9C9"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100.00%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，比上年减少</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"F03!R9C10"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21.86</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"F03!R9C11"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92.39%</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，主要原因是：当年的保险维修费因</w:t>
      </w:r>
      <w:r>
        <w:rPr>
          <w:rFonts w:hint="eastAsia" w:ascii="仿宋_GB2312" w:eastAsia="仿宋_GB2312"/>
          <w:spacing w:val="0"/>
          <w:sz w:val="32"/>
          <w:szCs w:val="32"/>
          <w:highlight w:val="none"/>
          <w:lang w:val="en-US" w:eastAsia="zh-CN"/>
        </w:rPr>
        <w:t>防疫</w:t>
      </w:r>
      <w:r>
        <w:rPr>
          <w:rFonts w:hint="eastAsia" w:ascii="仿宋_GB2312" w:eastAsia="仿宋_GB2312"/>
          <w:spacing w:val="0"/>
          <w:sz w:val="32"/>
          <w:szCs w:val="32"/>
          <w:highlight w:val="none"/>
          <w:lang w:eastAsia="zh-CN"/>
        </w:rPr>
        <w:t>原因，没有及时支付；公务接待费支出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"F03!R12C5"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"F03!R12C9"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，比上年增加</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"F03!R12C10"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万元，增长</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未发生</w:t>
      </w:r>
      <w:r>
        <w:rPr>
          <w:rFonts w:hint="eastAsia" w:ascii="仿宋_GB2312" w:eastAsia="仿宋_GB2312"/>
          <w:spacing w:val="0"/>
          <w:sz w:val="32"/>
          <w:szCs w:val="32"/>
          <w:highlight w:val="none"/>
          <w:lang w:eastAsia="zh-CN"/>
        </w:rPr>
        <w:t>公务接待</w:t>
      </w:r>
      <w:r>
        <w:rPr>
          <w:rFonts w:hint="eastAsia" w:ascii="仿宋_GB2312" w:eastAsia="仿宋_GB2312"/>
          <w:spacing w:val="0"/>
          <w:sz w:val="32"/>
          <w:szCs w:val="32"/>
          <w:highlight w:val="none"/>
          <w:lang w:val="en-US" w:eastAsia="zh-CN"/>
        </w:rPr>
        <w:t>业务</w:t>
      </w:r>
      <w:r>
        <w:rPr>
          <w:rFonts w:hint="eastAsia" w:ascii="仿宋_GB2312" w:eastAsia="仿宋_GB2312"/>
          <w:spacing w:val="0"/>
          <w:sz w:val="32"/>
          <w:szCs w:val="32"/>
          <w:highlight w:val="none"/>
          <w:lang w:eastAsia="zh-CN"/>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因公出国（境）费支出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万元，开支内容包括</w:t>
      </w:r>
      <w:r>
        <w:rPr>
          <w:rFonts w:hint="eastAsia" w:ascii="仿宋_GB2312" w:eastAsia="仿宋_GB2312"/>
          <w:spacing w:val="0"/>
          <w:sz w:val="32"/>
          <w:szCs w:val="32"/>
          <w:highlight w:val="none"/>
          <w:lang w:val="en-US" w:eastAsia="zh-CN"/>
        </w:rPr>
        <w:t>无</w:t>
      </w:r>
      <w:r>
        <w:rPr>
          <w:rFonts w:hint="eastAsia" w:ascii="仿宋_GB2312" w:eastAsia="仿宋_GB2312"/>
          <w:spacing w:val="0"/>
          <w:sz w:val="32"/>
          <w:szCs w:val="32"/>
          <w:highlight w:val="none"/>
          <w:lang w:eastAsia="zh-CN"/>
        </w:rPr>
        <w:t>因公出国（境）费支出。单位全年安排的因公出国（境）团组</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个，因公出国（境）</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人次。</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公务用车购置及运行维护费</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"F03!R9C5"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1.80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万元，其中：公务用车购置费</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"F03!R10C5"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万元，公务用车运行维护费</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"F03!R11C5"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1.80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万元。公务用车运行维护费开支内容包括</w:t>
      </w:r>
      <w:r>
        <w:rPr>
          <w:rFonts w:hint="eastAsia" w:ascii="仿宋_GB2312" w:eastAsia="仿宋_GB2312"/>
          <w:spacing w:val="0"/>
          <w:sz w:val="32"/>
          <w:szCs w:val="32"/>
          <w:highlight w:val="none"/>
          <w:lang w:val="en-US" w:eastAsia="zh-CN"/>
        </w:rPr>
        <w:t>车辆燃油费</w:t>
      </w:r>
      <w:r>
        <w:rPr>
          <w:rFonts w:hint="eastAsia" w:ascii="仿宋_GB2312" w:eastAsia="仿宋_GB2312"/>
          <w:spacing w:val="0"/>
          <w:sz w:val="32"/>
          <w:szCs w:val="32"/>
          <w:highlight w:val="none"/>
          <w:lang w:eastAsia="zh-CN"/>
        </w:rPr>
        <w:t>。公务用车购置数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"F03!R19C5"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辆，公务用车保有量</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"F03!R20C5"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公务接待费</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"F03!R12C5"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万元，开支内容包括</w:t>
      </w:r>
      <w:r>
        <w:rPr>
          <w:rFonts w:hint="eastAsia" w:ascii="仿宋_GB2312" w:eastAsia="仿宋_GB2312"/>
          <w:spacing w:val="0"/>
          <w:sz w:val="32"/>
          <w:szCs w:val="32"/>
          <w:highlight w:val="none"/>
          <w:lang w:val="en-US" w:eastAsia="zh-CN"/>
        </w:rPr>
        <w:t>无公务接待支出</w:t>
      </w:r>
      <w:r>
        <w:rPr>
          <w:rFonts w:hint="eastAsia" w:ascii="仿宋_GB2312" w:eastAsia="仿宋_GB2312"/>
          <w:spacing w:val="0"/>
          <w:sz w:val="32"/>
          <w:szCs w:val="32"/>
          <w:highlight w:val="none"/>
          <w:lang w:eastAsia="zh-CN"/>
        </w:rPr>
        <w:t>。单位全年安排的国内公务接待</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批次，</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人次。</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与</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预算数相比情况：“三公”经费支出</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"F03!R7C4"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26.58</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"F03!R7C5"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1.80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"F03!R7C12"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-93.23%</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，主要原因是：当年的保险维修费因</w:t>
      </w:r>
      <w:r>
        <w:rPr>
          <w:rFonts w:hint="eastAsia" w:ascii="仿宋_GB2312" w:eastAsia="仿宋_GB2312"/>
          <w:spacing w:val="0"/>
          <w:sz w:val="32"/>
          <w:szCs w:val="32"/>
          <w:highlight w:val="none"/>
          <w:lang w:val="en-US" w:eastAsia="zh-CN"/>
        </w:rPr>
        <w:t>防疫</w:t>
      </w:r>
      <w:r>
        <w:rPr>
          <w:rFonts w:hint="eastAsia" w:ascii="仿宋_GB2312" w:eastAsia="仿宋_GB2312"/>
          <w:spacing w:val="0"/>
          <w:sz w:val="32"/>
          <w:szCs w:val="32"/>
          <w:highlight w:val="none"/>
          <w:lang w:eastAsia="zh-CN"/>
        </w:rPr>
        <w:t>原因，没有及时支付。其中：因公出国（境）费</w:t>
      </w:r>
      <w:r>
        <w:rPr>
          <w:rFonts w:hint="eastAsia" w:ascii="仿宋_GB2312" w:eastAsia="仿宋_GB2312"/>
          <w:spacing w:val="0"/>
          <w:sz w:val="32"/>
          <w:szCs w:val="32"/>
          <w:highlight w:val="none"/>
          <w:lang w:val="en-US" w:eastAsia="zh-CN"/>
        </w:rPr>
        <w:t>全年预算数</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"F03!R8C4"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"F03!R8C5"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未发生</w:t>
      </w:r>
      <w:r>
        <w:rPr>
          <w:rFonts w:hint="eastAsia" w:ascii="仿宋_GB2312" w:eastAsia="仿宋_GB2312"/>
          <w:spacing w:val="0"/>
          <w:sz w:val="32"/>
          <w:szCs w:val="32"/>
          <w:highlight w:val="none"/>
          <w:lang w:eastAsia="zh-CN"/>
        </w:rPr>
        <w:t>；公务用车购置费</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"F03!R10C4"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"F03!R10C5"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未发生</w:t>
      </w:r>
      <w:r>
        <w:rPr>
          <w:rFonts w:hint="eastAsia" w:ascii="仿宋_GB2312" w:eastAsia="仿宋_GB2312"/>
          <w:spacing w:val="0"/>
          <w:sz w:val="32"/>
          <w:szCs w:val="32"/>
          <w:highlight w:val="none"/>
          <w:lang w:eastAsia="zh-CN"/>
        </w:rPr>
        <w:t>；公务用车运行费</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"F03!R11C4"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26.58</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"F03!R11C5"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1.80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"F03!R11C12"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-93.23%</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，主要原因是：当年的保险维修费因</w:t>
      </w:r>
      <w:r>
        <w:rPr>
          <w:rFonts w:hint="eastAsia" w:ascii="仿宋_GB2312" w:eastAsia="仿宋_GB2312"/>
          <w:spacing w:val="0"/>
          <w:sz w:val="32"/>
          <w:szCs w:val="32"/>
          <w:highlight w:val="none"/>
          <w:lang w:val="en-US" w:eastAsia="zh-CN"/>
        </w:rPr>
        <w:t>防疫</w:t>
      </w:r>
      <w:r>
        <w:rPr>
          <w:rFonts w:hint="eastAsia" w:ascii="仿宋_GB2312" w:eastAsia="仿宋_GB2312"/>
          <w:spacing w:val="0"/>
          <w:sz w:val="32"/>
          <w:szCs w:val="32"/>
          <w:highlight w:val="none"/>
          <w:lang w:eastAsia="zh-CN"/>
        </w:rPr>
        <w:t>原因，没有及时支付；公务接待费</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"F03!R12C4"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"F03!R12C5"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未发生</w:t>
      </w:r>
      <w:r>
        <w:rPr>
          <w:rFonts w:hint="eastAsia" w:ascii="仿宋_GB2312" w:eastAsia="仿宋_GB2312"/>
          <w:spacing w:val="0"/>
          <w:sz w:val="32"/>
          <w:szCs w:val="32"/>
          <w:highlight w:val="none"/>
          <w:lang w:eastAsia="zh-CN"/>
        </w:rPr>
        <w:t>公务接待</w:t>
      </w:r>
      <w:r>
        <w:rPr>
          <w:rFonts w:hint="eastAsia" w:ascii="仿宋_GB2312" w:eastAsia="仿宋_GB2312"/>
          <w:spacing w:val="0"/>
          <w:sz w:val="32"/>
          <w:szCs w:val="32"/>
          <w:highlight w:val="none"/>
          <w:lang w:val="en-US" w:eastAsia="zh-CN"/>
        </w:rPr>
        <w:t>业务</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39" w:name="_Toc7927"/>
      <w:bookmarkStart w:id="40" w:name="_Toc19137"/>
      <w:bookmarkStart w:id="41" w:name="_Toc16383"/>
      <w:r>
        <w:rPr>
          <w:rFonts w:hint="eastAsia" w:ascii="黑体" w:hAnsi="黑体" w:eastAsia="黑体" w:cs="黑体"/>
          <w:spacing w:val="0"/>
          <w:sz w:val="32"/>
          <w:szCs w:val="32"/>
          <w:highlight w:val="none"/>
          <w:lang w:val="en-US" w:eastAsia="zh-CN"/>
        </w:rPr>
        <w:t>八</w:t>
      </w:r>
      <w:r>
        <w:rPr>
          <w:rFonts w:hint="eastAsia" w:ascii="黑体" w:hAnsi="黑体" w:eastAsia="黑体" w:cs="黑体"/>
          <w:spacing w:val="0"/>
          <w:sz w:val="32"/>
          <w:szCs w:val="32"/>
          <w:highlight w:val="none"/>
          <w:lang w:eastAsia="zh-CN"/>
        </w:rPr>
        <w:t>、政府性基金预算财政拨款收入支出决算情况说明</w:t>
      </w:r>
      <w:bookmarkEnd w:id="39"/>
      <w:bookmarkEnd w:id="40"/>
      <w:bookmarkEnd w:id="41"/>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仿宋_GB2312" w:eastAsia="仿宋_GB2312"/>
          <w:spacing w:val="0"/>
          <w:sz w:val="32"/>
          <w:szCs w:val="32"/>
          <w:highlight w:val="none"/>
          <w:lang w:eastAsia="zh-CN"/>
        </w:rPr>
        <w:t>我单位本年度无政府性基金预算财政拨款收入、支出</w:t>
      </w:r>
      <w:r>
        <w:rPr>
          <w:rFonts w:hint="eastAsia" w:ascii="仿宋_GB2312" w:eastAsia="仿宋_GB2312"/>
          <w:spacing w:val="0"/>
          <w:sz w:val="32"/>
          <w:szCs w:val="32"/>
          <w:highlight w:val="none"/>
          <w:lang w:val="en-US" w:eastAsia="zh-CN"/>
        </w:rPr>
        <w:t>及结转和结余</w:t>
      </w:r>
      <w:r>
        <w:rPr>
          <w:rFonts w:hint="eastAsia" w:ascii="仿宋_GB2312" w:eastAsia="仿宋_GB2312"/>
          <w:spacing w:val="0"/>
          <w:sz w:val="32"/>
          <w:szCs w:val="32"/>
          <w:highlight w:val="none"/>
          <w:lang w:eastAsia="zh-CN"/>
        </w:rPr>
        <w:t>，政府性基金预算财政拨款收入支出决算表为空表。</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42" w:name="_Toc18027"/>
      <w:bookmarkStart w:id="43" w:name="_Toc19129"/>
      <w:r>
        <w:rPr>
          <w:rFonts w:hint="eastAsia" w:ascii="黑体" w:hAnsi="黑体" w:eastAsia="黑体" w:cs="黑体"/>
          <w:spacing w:val="0"/>
          <w:sz w:val="32"/>
          <w:szCs w:val="32"/>
          <w:highlight w:val="none"/>
          <w:lang w:val="en-US" w:eastAsia="zh-CN"/>
        </w:rPr>
        <w:t>九</w:t>
      </w:r>
      <w:r>
        <w:rPr>
          <w:rFonts w:hint="eastAsia" w:ascii="黑体" w:hAnsi="黑体" w:eastAsia="黑体" w:cs="黑体"/>
          <w:spacing w:val="0"/>
          <w:sz w:val="32"/>
          <w:szCs w:val="32"/>
          <w:highlight w:val="none"/>
          <w:lang w:eastAsia="zh-CN"/>
        </w:rPr>
        <w:t>、国有资本经营预算财政拨款收入支出决算情况说明</w:t>
      </w:r>
      <w:bookmarkEnd w:id="42"/>
      <w:bookmarkEnd w:id="43"/>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我单位本年度无国有资本经营预算财政拨款收入、支出</w:t>
      </w:r>
      <w:r>
        <w:rPr>
          <w:rFonts w:hint="eastAsia" w:ascii="仿宋_GB2312" w:eastAsia="仿宋_GB2312"/>
          <w:spacing w:val="0"/>
          <w:sz w:val="32"/>
          <w:szCs w:val="32"/>
          <w:highlight w:val="none"/>
          <w:lang w:val="en-US" w:eastAsia="zh-CN"/>
        </w:rPr>
        <w:t>及结转和结余</w:t>
      </w:r>
      <w:r>
        <w:rPr>
          <w:rFonts w:hint="eastAsia" w:ascii="仿宋_GB2312" w:eastAsia="仿宋_GB2312"/>
          <w:spacing w:val="0"/>
          <w:sz w:val="32"/>
          <w:szCs w:val="32"/>
          <w:highlight w:val="none"/>
          <w:lang w:eastAsia="zh-CN"/>
        </w:rPr>
        <w:t>，国有资本经营预算财政拨款收入支出决算表为空表。</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44" w:name="_Toc7314"/>
      <w:bookmarkStart w:id="45" w:name="_Toc10328"/>
      <w:bookmarkStart w:id="46" w:name="_Toc15901"/>
      <w:r>
        <w:rPr>
          <w:rFonts w:hint="eastAsia" w:ascii="黑体" w:hAnsi="黑体" w:eastAsia="黑体" w:cs="黑体"/>
          <w:spacing w:val="0"/>
          <w:sz w:val="32"/>
          <w:szCs w:val="32"/>
          <w:highlight w:val="none"/>
          <w:lang w:eastAsia="zh-CN"/>
        </w:rPr>
        <w:t>十、其他重要事项的情况说明</w:t>
      </w:r>
      <w:bookmarkEnd w:id="44"/>
      <w:bookmarkEnd w:id="45"/>
      <w:bookmarkEnd w:id="46"/>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47" w:name="_Toc30555"/>
      <w:bookmarkStart w:id="48" w:name="_Toc18970"/>
      <w:bookmarkStart w:id="49" w:name="_Toc13105"/>
      <w:r>
        <w:rPr>
          <w:rFonts w:hint="eastAsia" w:ascii="黑体" w:hAnsi="黑体" w:eastAsia="黑体" w:cs="黑体"/>
          <w:spacing w:val="0"/>
          <w:sz w:val="32"/>
          <w:szCs w:val="32"/>
          <w:highlight w:val="none"/>
          <w:lang w:eastAsia="zh-CN"/>
        </w:rPr>
        <w:t>（一）机关运行经费支出情况</w:t>
      </w:r>
      <w:bookmarkEnd w:id="47"/>
      <w:bookmarkEnd w:id="48"/>
      <w:bookmarkEnd w:id="49"/>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2022年度乌鲁木齐市水磨沟区政府办公室机关运行经费支出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"F03!R6C8"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22.14</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万元，比上年减少</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"F03!R6C10"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25.07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"F03!R6C11"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53.10%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，主要原因是：因</w:t>
      </w:r>
      <w:r>
        <w:rPr>
          <w:rFonts w:hint="eastAsia" w:ascii="仿宋_GB2312" w:eastAsia="仿宋_GB2312"/>
          <w:spacing w:val="0"/>
          <w:sz w:val="32"/>
          <w:szCs w:val="32"/>
          <w:highlight w:val="none"/>
          <w:lang w:val="en-US" w:eastAsia="zh-CN"/>
        </w:rPr>
        <w:t>防疫期间</w:t>
      </w:r>
      <w:r>
        <w:rPr>
          <w:rFonts w:hint="eastAsia" w:ascii="仿宋_GB2312" w:eastAsia="仿宋_GB2312"/>
          <w:spacing w:val="0"/>
          <w:sz w:val="32"/>
          <w:szCs w:val="32"/>
          <w:highlight w:val="none"/>
          <w:lang w:eastAsia="zh-CN"/>
        </w:rPr>
        <w:t>，办公经费、</w:t>
      </w:r>
      <w:r>
        <w:rPr>
          <w:rFonts w:hint="eastAsia" w:ascii="仿宋_GB2312" w:eastAsia="仿宋_GB2312"/>
          <w:spacing w:val="0"/>
          <w:sz w:val="32"/>
          <w:szCs w:val="32"/>
          <w:highlight w:val="none"/>
          <w:lang w:val="en-US" w:eastAsia="zh-CN"/>
        </w:rPr>
        <w:t>车辆运行维护费</w:t>
      </w:r>
      <w:r>
        <w:rPr>
          <w:rFonts w:hint="eastAsia" w:ascii="仿宋_GB2312" w:eastAsia="仿宋_GB2312"/>
          <w:spacing w:val="0"/>
          <w:sz w:val="32"/>
          <w:szCs w:val="32"/>
          <w:highlight w:val="none"/>
          <w:lang w:eastAsia="zh-CN"/>
        </w:rPr>
        <w:t>等</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相应减少。</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50" w:name="_Toc4448"/>
      <w:bookmarkStart w:id="51" w:name="_Toc20762"/>
      <w:bookmarkStart w:id="52" w:name="_Toc26704"/>
      <w:r>
        <w:rPr>
          <w:rFonts w:hint="eastAsia" w:ascii="黑体" w:hAnsi="黑体" w:eastAsia="黑体" w:cs="黑体"/>
          <w:spacing w:val="0"/>
          <w:sz w:val="32"/>
          <w:szCs w:val="32"/>
          <w:highlight w:val="none"/>
          <w:lang w:eastAsia="zh-CN"/>
        </w:rPr>
        <w:t>（二）政府采购情况</w:t>
      </w:r>
      <w:bookmarkEnd w:id="50"/>
      <w:bookmarkEnd w:id="51"/>
      <w:bookmarkEnd w:id="52"/>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2022年度政府采购支出总额</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"F03!R21C8"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7.60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万元，其中：政府采购货物支出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"F03!R22C8"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7.60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万元、政府采购工程支出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"F03!R23C8"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万元、政府采购服务支出</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"F03!R24C8"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授予中小企业合同金额</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"F03!R25C8"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7.60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万元，占政府采购支出总额的</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"F03!R25C9"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100.00%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，其中：授予小微企业合同金额</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"F03!R26C8"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7.60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万元，占政府采购支出总额的</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"F03!R26C9"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100.00%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val="en-US"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53" w:name="_Toc4591"/>
      <w:bookmarkStart w:id="54" w:name="_Toc12816"/>
      <w:bookmarkStart w:id="55" w:name="_Toc28327"/>
      <w:r>
        <w:rPr>
          <w:rFonts w:hint="eastAsia" w:ascii="黑体" w:hAnsi="黑体" w:eastAsia="黑体" w:cs="黑体"/>
          <w:spacing w:val="0"/>
          <w:sz w:val="32"/>
          <w:szCs w:val="32"/>
          <w:highlight w:val="none"/>
          <w:lang w:eastAsia="zh-CN"/>
        </w:rPr>
        <w:t>（三）国有资产占用情况说明</w:t>
      </w:r>
      <w:bookmarkEnd w:id="53"/>
      <w:bookmarkEnd w:id="54"/>
      <w:bookmarkEnd w:id="5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截止2022年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pacing w:val="0"/>
          <w:sz w:val="32"/>
          <w:szCs w:val="32"/>
          <w:highlight w:val="none"/>
          <w:lang w:val="en-US" w:eastAsia="zh-CN"/>
        </w:rPr>
        <w:fldChar w:fldCharType="begin"/>
      </w:r>
      <w:r>
        <w:rPr>
          <w:highlight w:val="none"/>
        </w:rPr>
        <w:instrText xml:space="preserve"> LINK Excel.Sheet.8 "C:\\Users\\Dell\\Desktop\\人社局.xls" "F01 预算支出相关信息表(财决附01表)!R12C6" \t \a  \* MERGEFORMAT</w:instrText>
      </w:r>
      <w:r>
        <w:rPr>
          <w:rFonts w:hint="eastAsia" w:ascii="仿宋_GB2312" w:eastAsia="仿宋_GB2312"/>
          <w:spacing w:val="0"/>
          <w:sz w:val="32"/>
          <w:szCs w:val="32"/>
          <w:highlight w:val="none"/>
          <w:lang w:val="en-US" w:eastAsia="zh-CN"/>
        </w:rPr>
        <w:fldChar w:fldCharType="separate"/>
      </w:r>
      <w:r>
        <w:rPr>
          <w:rFonts w:hint="eastAsia" w:ascii="仿宋_GB2312" w:eastAsia="仿宋_GB2312"/>
          <w:spacing w:val="0"/>
          <w:sz w:val="32"/>
          <w:szCs w:val="32"/>
          <w:highlight w:val="none"/>
          <w:lang w:eastAsia="zh-CN"/>
        </w:rPr>
        <w:t>9914.20</w:t>
      </w:r>
      <w:r>
        <w:rPr>
          <w:rFonts w:hint="eastAsia" w:ascii="仿宋_GB2312" w:eastAsia="仿宋_GB2312"/>
          <w:spacing w:val="0"/>
          <w:sz w:val="32"/>
          <w:szCs w:val="32"/>
          <w:highlight w:val="none"/>
          <w:lang w:val="en-US" w:eastAsia="zh-CN"/>
        </w:rPr>
        <w:fldChar w:fldCharType="end"/>
      </w:r>
      <w:r>
        <w:rPr>
          <w:rFonts w:hint="eastAsia" w:ascii="仿宋_GB2312" w:eastAsia="仿宋_GB2312"/>
          <w:spacing w:val="0"/>
          <w:sz w:val="32"/>
          <w:szCs w:val="32"/>
          <w:highlight w:val="none"/>
          <w:lang w:val="en-US" w:eastAsia="zh-CN"/>
        </w:rPr>
        <w:t>万元，房</w:t>
      </w:r>
      <w:r>
        <w:rPr>
          <w:rFonts w:hint="eastAsia" w:ascii="仿宋_GB2312" w:eastAsia="仿宋_GB2312"/>
          <w:spacing w:val="0"/>
          <w:sz w:val="32"/>
          <w:szCs w:val="32"/>
          <w:highlight w:val="none"/>
          <w:lang w:eastAsia="zh-CN"/>
        </w:rPr>
        <w:t>屋</w:t>
      </w:r>
      <w:r>
        <w:rPr>
          <w:rFonts w:hint="eastAsia" w:ascii="仿宋_GB2312" w:eastAsia="仿宋_GB2312"/>
          <w:spacing w:val="0"/>
          <w:sz w:val="32"/>
          <w:szCs w:val="32"/>
          <w:highlight w:val="none"/>
          <w:lang w:val="en-US" w:eastAsia="zh-CN"/>
        </w:rPr>
        <w:t>1.07万</w:t>
      </w:r>
      <w:r>
        <w:rPr>
          <w:rFonts w:hint="eastAsia" w:ascii="仿宋_GB2312" w:eastAsia="仿宋_GB2312"/>
          <w:spacing w:val="0"/>
          <w:sz w:val="32"/>
          <w:szCs w:val="32"/>
          <w:highlight w:val="none"/>
          <w:lang w:eastAsia="zh-CN"/>
        </w:rPr>
        <w:t>平方米，价值</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"F01 预算支出相关信息表(财决附01表)!R13C6"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1342.47</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万元。车辆</w:t>
      </w:r>
      <w:r>
        <w:rPr>
          <w:rFonts w:hint="eastAsia" w:ascii="仿宋_GB2312" w:eastAsia="仿宋_GB2312"/>
          <w:spacing w:val="0"/>
          <w:sz w:val="32"/>
          <w:szCs w:val="32"/>
          <w:highlight w:val="none"/>
          <w:lang w:val="en-US" w:eastAsia="zh-CN"/>
        </w:rPr>
        <w:t>26</w:t>
      </w:r>
      <w:r>
        <w:rPr>
          <w:rFonts w:hint="eastAsia" w:ascii="仿宋_GB2312" w:eastAsia="仿宋_GB2312"/>
          <w:spacing w:val="0"/>
          <w:sz w:val="32"/>
          <w:szCs w:val="32"/>
          <w:highlight w:val="none"/>
          <w:lang w:eastAsia="zh-CN"/>
        </w:rPr>
        <w:t>辆，价值</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"F01 预算支出相关信息表(财决附01表)!R17C6"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562.30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万元，其中：副部（省）级及以上领导用车</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"F03!R11C8"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辆、主要领导干部用车</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"F03!R12C8"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辆、机要通信用车</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"F03!R13C8"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辆、应急保障用车</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"F03!R14C8"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辆、执法执勤用车</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"F03!R15C8"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辆、特种专业技术用车</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"F03!R16C8"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辆、离退休干部用车</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"F03!R17C8"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辆、其他用车</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"F03!R18C8"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0.00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辆，</w:t>
      </w:r>
      <w:bookmarkStart w:id="56" w:name="_Toc14323"/>
      <w:bookmarkStart w:id="57" w:name="_Toc9222"/>
      <w:bookmarkStart w:id="58" w:name="_Toc435"/>
      <w:r>
        <w:rPr>
          <w:rFonts w:hint="eastAsia" w:ascii="仿宋_GB2312" w:hAnsi="仿宋_GB2312" w:eastAsia="仿宋_GB2312"/>
          <w:color w:val="auto"/>
          <w:kern w:val="0"/>
          <w:sz w:val="32"/>
          <w:highlight w:val="none"/>
          <w:lang w:val="en-US"/>
        </w:rPr>
        <w:t>其他用车26辆，其他用车主要是：</w:t>
      </w:r>
      <w:r>
        <w:rPr>
          <w:rFonts w:hint="eastAsia" w:ascii="仿宋_GB2312" w:hAnsi="仿宋_GB2312" w:eastAsia="仿宋_GB2312"/>
          <w:color w:val="auto"/>
          <w:kern w:val="0"/>
          <w:sz w:val="32"/>
          <w:highlight w:val="none"/>
          <w:lang w:val="en-US" w:eastAsia="zh-CN"/>
        </w:rPr>
        <w:t>公务用车</w:t>
      </w:r>
      <w:r>
        <w:rPr>
          <w:rFonts w:hint="eastAsia" w:ascii="仿宋_GB2312" w:hAnsi="仿宋_GB2312" w:eastAsia="仿宋_GB2312"/>
          <w:color w:val="auto"/>
          <w:kern w:val="0"/>
          <w:sz w:val="32"/>
          <w:highlight w:val="none"/>
          <w:lang w:val="en-US"/>
        </w:rPr>
        <w:t>；单位价值50万元以上通用设备4台（套）、单位价值100万元以上专用设备0台（套）。</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十</w:t>
      </w:r>
      <w:r>
        <w:rPr>
          <w:rFonts w:hint="eastAsia" w:ascii="黑体" w:hAnsi="黑体" w:eastAsia="黑体" w:cs="黑体"/>
          <w:spacing w:val="0"/>
          <w:sz w:val="32"/>
          <w:szCs w:val="32"/>
          <w:highlight w:val="none"/>
          <w:lang w:val="en-US" w:eastAsia="zh-CN"/>
        </w:rPr>
        <w:t>一</w:t>
      </w:r>
      <w:r>
        <w:rPr>
          <w:rFonts w:hint="eastAsia" w:ascii="黑体" w:hAnsi="黑体" w:eastAsia="黑体" w:cs="黑体"/>
          <w:spacing w:val="0"/>
          <w:sz w:val="32"/>
          <w:szCs w:val="32"/>
          <w:highlight w:val="none"/>
          <w:lang w:eastAsia="zh-CN"/>
        </w:rPr>
        <w:t>、预算绩效的情况说明</w:t>
      </w:r>
      <w:bookmarkEnd w:id="56"/>
      <w:bookmarkEnd w:id="57"/>
      <w:bookmarkEnd w:id="58"/>
    </w:p>
    <w:p>
      <w:pPr>
        <w:shd w:val="clear" w:color="auto" w:fill="auto"/>
        <w:spacing w:line="360" w:lineRule="auto"/>
        <w:ind w:firstLine="640"/>
        <w:rPr>
          <w:rFonts w:hint="eastAsia" w:ascii="仿宋_GB2312" w:hAnsi="仿宋_GB2312" w:eastAsia="仿宋_GB2312"/>
          <w:color w:val="auto"/>
          <w:kern w:val="0"/>
          <w:sz w:val="32"/>
          <w:szCs w:val="24"/>
          <w:highlight w:val="none"/>
          <w:lang w:val="en-US"/>
        </w:rPr>
      </w:pPr>
      <w:bookmarkStart w:id="59" w:name="_Toc10437"/>
      <w:bookmarkStart w:id="60" w:name="_Toc4580"/>
      <w:bookmarkStart w:id="61" w:name="_Toc24143"/>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全年预算数0.72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全年执行数0.72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hAnsi="仿宋_GB2312" w:eastAsia="仿宋_GB2312"/>
          <w:color w:val="auto"/>
          <w:kern w:val="0"/>
          <w:sz w:val="32"/>
          <w:szCs w:val="24"/>
          <w:highlight w:val="none"/>
          <w:lang w:val="en-US"/>
        </w:rPr>
        <w:t>预算绩效管理取得的成效：</w:t>
      </w:r>
      <w:r>
        <w:rPr>
          <w:rFonts w:hint="eastAsia" w:ascii="仿宋_GB2312" w:eastAsia="仿宋_GB2312"/>
          <w:kern w:val="0"/>
          <w:sz w:val="32"/>
          <w:szCs w:val="24"/>
          <w:highlight w:val="none"/>
        </w:rPr>
        <w:t>一是通过对绩效目标实现程度和支出进度实行双监控，有效防止了绩效目标跑偏、预算资金脱靶，确保绩效目标顺利实现；二是有助于财政部门及时调整预算，避免资金沉淀，切实提高财政资金使用效益。发现的问题及原因：提高预算执行的有效性，单位会计核算科目设置应与预算收支项目尽量保持一致。</w:t>
      </w:r>
      <w:r>
        <w:rPr>
          <w:rFonts w:hint="eastAsia" w:ascii="仿宋_GB2312" w:hAnsi="仿宋_GB2312" w:eastAsia="仿宋_GB2312"/>
          <w:color w:val="auto"/>
          <w:kern w:val="0"/>
          <w:sz w:val="32"/>
          <w:szCs w:val="24"/>
          <w:highlight w:val="none"/>
          <w:lang w:val="en-US"/>
        </w:rPr>
        <w:t>具体项目自评情况附项目支出绩效自评表。</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5"/>
        <w:gridCol w:w="586"/>
        <w:gridCol w:w="1272"/>
        <w:gridCol w:w="1731"/>
        <w:gridCol w:w="482"/>
        <w:gridCol w:w="369"/>
        <w:gridCol w:w="526"/>
        <w:gridCol w:w="590"/>
        <w:gridCol w:w="400"/>
        <w:gridCol w:w="600"/>
        <w:gridCol w:w="420"/>
        <w:gridCol w:w="330"/>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8641" w:type="dxa"/>
            <w:gridSpan w:val="13"/>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default"/>
                <w:b/>
                <w:color w:val="000000"/>
                <w:sz w:val="24"/>
                <w:szCs w:val="24"/>
                <w:highlight w:val="none"/>
              </w:rPr>
            </w:pPr>
            <w:r>
              <w:rPr>
                <w:rFonts w:hint="eastAsia"/>
                <w:b/>
                <w:color w:val="000000"/>
                <w:kern w:val="0"/>
                <w:sz w:val="24"/>
                <w:szCs w:val="24"/>
                <w:highlight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641" w:type="dxa"/>
            <w:gridSpan w:val="13"/>
            <w:tcBorders>
              <w:top w:val="nil"/>
              <w:left w:val="nil"/>
              <w:bottom w:val="nil"/>
              <w:right w:val="nil"/>
              <w:tl2br w:val="nil"/>
              <w:tr2bl w:val="nil"/>
            </w:tcBorders>
            <w:noWrap w:val="0"/>
            <w:tcMar>
              <w:top w:w="15" w:type="dxa"/>
              <w:left w:w="15" w:type="dxa"/>
              <w:right w:w="15" w:type="dxa"/>
            </w:tcMar>
            <w:vAlign w:val="center"/>
          </w:tcPr>
          <w:p>
            <w:pPr>
              <w:jc w:val="center"/>
              <w:textAlignment w:val="center"/>
              <w:rPr>
                <w:rFonts w:hint="default"/>
                <w:color w:val="000000"/>
                <w:sz w:val="24"/>
                <w:szCs w:val="24"/>
                <w:highlight w:val="none"/>
              </w:rPr>
            </w:pPr>
            <w:r>
              <w:rPr>
                <w:rFonts w:hint="default"/>
                <w:color w:val="000000"/>
                <w:kern w:val="0"/>
                <w:sz w:val="24"/>
                <w:szCs w:val="24"/>
                <w:highlight w:val="none"/>
                <w:lang w:val="en-US" w:eastAsia="zh-CN" w:bidi="ar"/>
              </w:rPr>
              <w:t>(202</w:t>
            </w:r>
            <w:r>
              <w:rPr>
                <w:rFonts w:hint="eastAsia"/>
                <w:color w:val="000000"/>
                <w:kern w:val="0"/>
                <w:sz w:val="24"/>
                <w:szCs w:val="24"/>
                <w:highlight w:val="none"/>
                <w:lang w:val="en-US" w:eastAsia="zh-CN" w:bidi="ar"/>
              </w:rPr>
              <w:t>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 w:hRule="atLeast"/>
        </w:trPr>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项目名称</w:t>
            </w:r>
          </w:p>
        </w:tc>
        <w:tc>
          <w:tcPr>
            <w:tcW w:w="7480" w:type="dxa"/>
            <w:gridSpan w:val="11"/>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访惠聚成员补助经费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主管部门</w:t>
            </w:r>
          </w:p>
        </w:tc>
        <w:tc>
          <w:tcPr>
            <w:tcW w:w="438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乌市水磨沟区人民政府办公室</w:t>
            </w:r>
          </w:p>
        </w:tc>
        <w:tc>
          <w:tcPr>
            <w:tcW w:w="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实施单位</w:t>
            </w:r>
          </w:p>
        </w:tc>
        <w:tc>
          <w:tcPr>
            <w:tcW w:w="2510"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乌市水磨沟区人民政府办公室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1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eastAsia" w:eastAsia="方正仿宋_GBK"/>
                <w:color w:val="000000"/>
                <w:kern w:val="0"/>
                <w:sz w:val="21"/>
                <w:szCs w:val="24"/>
                <w:highlight w:val="none"/>
                <w:lang w:val="en-US" w:eastAsia="zh-CN" w:bidi="ar"/>
              </w:rPr>
            </w:pPr>
            <w:r>
              <w:rPr>
                <w:rFonts w:hint="eastAsia" w:eastAsia="方正仿宋_GBK"/>
                <w:color w:val="000000"/>
                <w:kern w:val="0"/>
                <w:sz w:val="21"/>
                <w:szCs w:val="24"/>
                <w:highlight w:val="none"/>
                <w:lang w:val="en-US" w:eastAsia="zh-CN" w:bidi="ar"/>
              </w:rPr>
              <w:t>项目资金</w:t>
            </w:r>
          </w:p>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（万元）</w:t>
            </w:r>
          </w:p>
        </w:tc>
        <w:tc>
          <w:tcPr>
            <w:tcW w:w="300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8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年初预算数</w:t>
            </w:r>
          </w:p>
        </w:tc>
        <w:tc>
          <w:tcPr>
            <w:tcW w:w="5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全年预算数</w:t>
            </w:r>
          </w:p>
        </w:tc>
        <w:tc>
          <w:tcPr>
            <w:tcW w:w="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全年执行数</w:t>
            </w:r>
          </w:p>
        </w:tc>
        <w:tc>
          <w:tcPr>
            <w:tcW w:w="4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分值</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执行率</w:t>
            </w:r>
          </w:p>
        </w:tc>
        <w:tc>
          <w:tcPr>
            <w:tcW w:w="10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 w:hRule="atLeast"/>
        </w:trPr>
        <w:tc>
          <w:tcPr>
            <w:tcW w:w="116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300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年度资金总额</w:t>
            </w:r>
          </w:p>
        </w:tc>
        <w:tc>
          <w:tcPr>
            <w:tcW w:w="8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lang w:val="en-US"/>
              </w:rPr>
            </w:pPr>
            <w:r>
              <w:rPr>
                <w:rFonts w:hint="eastAsia" w:eastAsia="方正仿宋_GBK"/>
                <w:color w:val="000000"/>
                <w:kern w:val="0"/>
                <w:sz w:val="21"/>
                <w:szCs w:val="24"/>
                <w:highlight w:val="none"/>
                <w:lang w:val="en-US" w:eastAsia="zh-CN" w:bidi="ar"/>
              </w:rPr>
              <w:t>0.72</w:t>
            </w:r>
          </w:p>
        </w:tc>
        <w:tc>
          <w:tcPr>
            <w:tcW w:w="5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lang w:val="en-US" w:eastAsia="zh-CN"/>
              </w:rPr>
            </w:pPr>
            <w:r>
              <w:rPr>
                <w:rFonts w:hint="eastAsia" w:eastAsia="方正仿宋_GBK"/>
                <w:color w:val="000000"/>
                <w:sz w:val="21"/>
                <w:szCs w:val="24"/>
                <w:highlight w:val="none"/>
                <w:lang w:val="en-US" w:eastAsia="zh-CN"/>
              </w:rPr>
              <w:t>0.72</w:t>
            </w:r>
          </w:p>
        </w:tc>
        <w:tc>
          <w:tcPr>
            <w:tcW w:w="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lang w:val="en-US"/>
              </w:rPr>
            </w:pPr>
            <w:r>
              <w:rPr>
                <w:rFonts w:hint="eastAsia" w:eastAsia="方正仿宋_GBK"/>
                <w:color w:val="000000"/>
                <w:kern w:val="0"/>
                <w:sz w:val="21"/>
                <w:szCs w:val="24"/>
                <w:highlight w:val="none"/>
                <w:lang w:val="en-US" w:eastAsia="zh-CN" w:bidi="ar"/>
              </w:rPr>
              <w:t>0.72</w:t>
            </w:r>
          </w:p>
        </w:tc>
        <w:tc>
          <w:tcPr>
            <w:tcW w:w="4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100.00%</w:t>
            </w:r>
          </w:p>
        </w:tc>
        <w:tc>
          <w:tcPr>
            <w:tcW w:w="10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10.00</w:t>
            </w:r>
            <w:r>
              <w:rPr>
                <w:rFonts w:hint="eastAsia" w:eastAsia="方正仿宋_GBK"/>
                <w:color w:val="000000"/>
                <w:kern w:val="0"/>
                <w:sz w:val="21"/>
                <w:szCs w:val="24"/>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6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300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其中：当年财政拨款</w:t>
            </w:r>
          </w:p>
        </w:tc>
        <w:tc>
          <w:tcPr>
            <w:tcW w:w="8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lang w:val="en-US"/>
              </w:rPr>
            </w:pPr>
            <w:r>
              <w:rPr>
                <w:rFonts w:hint="eastAsia" w:eastAsia="方正仿宋_GBK"/>
                <w:color w:val="000000"/>
                <w:kern w:val="0"/>
                <w:sz w:val="21"/>
                <w:szCs w:val="24"/>
                <w:highlight w:val="none"/>
                <w:lang w:val="en-US" w:eastAsia="zh-CN" w:bidi="ar"/>
              </w:rPr>
              <w:t>0.72</w:t>
            </w:r>
          </w:p>
        </w:tc>
        <w:tc>
          <w:tcPr>
            <w:tcW w:w="5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0.72</w:t>
            </w:r>
          </w:p>
        </w:tc>
        <w:tc>
          <w:tcPr>
            <w:tcW w:w="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0.72</w:t>
            </w:r>
          </w:p>
        </w:tc>
        <w:tc>
          <w:tcPr>
            <w:tcW w:w="4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p>
        </w:tc>
        <w:tc>
          <w:tcPr>
            <w:tcW w:w="10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6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300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 xml:space="preserve">      </w:t>
            </w:r>
            <w:r>
              <w:rPr>
                <w:rFonts w:hint="eastAsia" w:eastAsia="方正仿宋_GBK"/>
                <w:color w:val="000000"/>
                <w:kern w:val="0"/>
                <w:sz w:val="21"/>
                <w:szCs w:val="24"/>
                <w:highlight w:val="none"/>
                <w:lang w:val="en-US" w:eastAsia="zh-CN" w:bidi="ar"/>
              </w:rPr>
              <w:t>上年结转资金</w:t>
            </w:r>
          </w:p>
        </w:tc>
        <w:tc>
          <w:tcPr>
            <w:tcW w:w="8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0</w:t>
            </w:r>
          </w:p>
        </w:tc>
        <w:tc>
          <w:tcPr>
            <w:tcW w:w="5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0</w:t>
            </w:r>
          </w:p>
        </w:tc>
        <w:tc>
          <w:tcPr>
            <w:tcW w:w="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0</w:t>
            </w:r>
          </w:p>
        </w:tc>
        <w:tc>
          <w:tcPr>
            <w:tcW w:w="4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p>
        </w:tc>
        <w:tc>
          <w:tcPr>
            <w:tcW w:w="10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6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300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 xml:space="preserve">  </w:t>
            </w:r>
            <w:r>
              <w:rPr>
                <w:rFonts w:hint="eastAsia" w:eastAsia="方正仿宋_GBK"/>
                <w:color w:val="000000"/>
                <w:kern w:val="0"/>
                <w:sz w:val="21"/>
                <w:szCs w:val="24"/>
                <w:highlight w:val="none"/>
                <w:lang w:val="en-US" w:eastAsia="zh-CN" w:bidi="ar"/>
              </w:rPr>
              <w:t>其他资金</w:t>
            </w:r>
          </w:p>
        </w:tc>
        <w:tc>
          <w:tcPr>
            <w:tcW w:w="85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0</w:t>
            </w:r>
          </w:p>
        </w:tc>
        <w:tc>
          <w:tcPr>
            <w:tcW w:w="52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0</w:t>
            </w:r>
          </w:p>
        </w:tc>
        <w:tc>
          <w:tcPr>
            <w:tcW w:w="59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0</w:t>
            </w:r>
          </w:p>
        </w:tc>
        <w:tc>
          <w:tcPr>
            <w:tcW w:w="4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p>
        </w:tc>
        <w:tc>
          <w:tcPr>
            <w:tcW w:w="10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年度总体目标</w:t>
            </w:r>
          </w:p>
        </w:tc>
        <w:tc>
          <w:tcPr>
            <w:tcW w:w="4966"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预期目标</w:t>
            </w:r>
          </w:p>
        </w:tc>
        <w:tc>
          <w:tcPr>
            <w:tcW w:w="3100"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3" w:hRule="atLeast"/>
        </w:trPr>
        <w:tc>
          <w:tcPr>
            <w:tcW w:w="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4966"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eastAsia="方正仿宋_GBK"/>
                <w:color w:val="000000"/>
                <w:kern w:val="0"/>
                <w:sz w:val="21"/>
                <w:szCs w:val="24"/>
                <w:highlight w:val="none"/>
                <w:lang w:val="en-US" w:eastAsia="zh-CN" w:bidi="ar"/>
              </w:rPr>
            </w:pPr>
            <w:r>
              <w:rPr>
                <w:rFonts w:hint="eastAsia" w:eastAsia="方正仿宋_GBK"/>
                <w:color w:val="000000"/>
                <w:kern w:val="0"/>
                <w:sz w:val="21"/>
                <w:szCs w:val="24"/>
                <w:highlight w:val="none"/>
                <w:lang w:val="en-US" w:eastAsia="zh-CN" w:bidi="ar"/>
              </w:rPr>
              <w:t>目标1：项目资金由本部门具体管理，对项目资金按项目单独核算实行“专款专用”，不得挤占挪用，采取主要领导把关、分管领导负责、项目负责人员积极配合，通力合作，财务责任资金收支管理、</w:t>
            </w:r>
          </w:p>
          <w:p>
            <w:pPr>
              <w:jc w:val="left"/>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目标2：访惠聚工作正常开展</w:t>
            </w:r>
          </w:p>
        </w:tc>
        <w:tc>
          <w:tcPr>
            <w:tcW w:w="3100"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eastAsia" w:eastAsia="方正仿宋_GBK"/>
                <w:color w:val="000000"/>
                <w:kern w:val="0"/>
                <w:sz w:val="21"/>
                <w:szCs w:val="24"/>
                <w:highlight w:val="none"/>
                <w:lang w:val="en-US" w:eastAsia="zh-CN" w:bidi="ar"/>
              </w:rPr>
            </w:pPr>
            <w:r>
              <w:rPr>
                <w:rFonts w:hint="default" w:eastAsia="方正仿宋_GBK"/>
                <w:color w:val="000000"/>
                <w:kern w:val="0"/>
                <w:sz w:val="21"/>
                <w:szCs w:val="24"/>
                <w:highlight w:val="none"/>
                <w:lang w:val="en-US" w:eastAsia="zh-CN" w:bidi="ar"/>
              </w:rPr>
              <w:t>1</w:t>
            </w:r>
            <w:r>
              <w:rPr>
                <w:rFonts w:hint="eastAsia" w:eastAsia="方正仿宋_GBK"/>
                <w:color w:val="000000"/>
                <w:kern w:val="0"/>
                <w:sz w:val="21"/>
                <w:szCs w:val="24"/>
                <w:highlight w:val="none"/>
                <w:lang w:val="en-US" w:eastAsia="zh-CN" w:bidi="ar"/>
              </w:rPr>
              <w:t>、保质保量的完成了各项工作任务，严格规范使用项目资金。</w:t>
            </w:r>
          </w:p>
          <w:p>
            <w:pPr>
              <w:jc w:val="left"/>
              <w:textAlignment w:val="center"/>
              <w:rPr>
                <w:rFonts w:hint="eastAsia" w:eastAsia="方正仿宋_GBK"/>
                <w:color w:val="000000"/>
                <w:kern w:val="0"/>
                <w:sz w:val="21"/>
                <w:szCs w:val="24"/>
                <w:highlight w:val="none"/>
                <w:lang w:val="en-US" w:eastAsia="zh-CN" w:bidi="ar"/>
              </w:rPr>
            </w:pPr>
            <w:r>
              <w:rPr>
                <w:rFonts w:hint="default" w:eastAsia="方正仿宋_GBK"/>
                <w:color w:val="000000"/>
                <w:kern w:val="0"/>
                <w:sz w:val="21"/>
                <w:szCs w:val="24"/>
                <w:highlight w:val="none"/>
                <w:lang w:val="en-US" w:eastAsia="zh-CN" w:bidi="ar"/>
              </w:rPr>
              <w:t>2</w:t>
            </w:r>
            <w:r>
              <w:rPr>
                <w:rFonts w:hint="eastAsia" w:eastAsia="方正仿宋_GBK"/>
                <w:color w:val="000000"/>
                <w:kern w:val="0"/>
                <w:sz w:val="21"/>
                <w:szCs w:val="24"/>
                <w:highlight w:val="none"/>
                <w:lang w:val="en-US" w:eastAsia="zh-CN" w:bidi="ar"/>
              </w:rPr>
              <w:t>、保障了项目资金根据工作需要按计划执行。</w:t>
            </w:r>
          </w:p>
          <w:p>
            <w:pPr>
              <w:jc w:val="left"/>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3</w:t>
            </w:r>
            <w:r>
              <w:rPr>
                <w:rFonts w:hint="eastAsia" w:eastAsia="方正仿宋_GBK"/>
                <w:color w:val="000000"/>
                <w:kern w:val="0"/>
                <w:sz w:val="21"/>
                <w:szCs w:val="24"/>
                <w:highlight w:val="none"/>
                <w:lang w:val="en-US" w:eastAsia="zh-CN" w:bidi="ar"/>
              </w:rPr>
              <w:t>、保障了访惠聚工作顺利的开展。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 w:hRule="atLeast"/>
        </w:trPr>
        <w:tc>
          <w:tcPr>
            <w:tcW w:w="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一级指标</w:t>
            </w:r>
          </w:p>
        </w:tc>
        <w:tc>
          <w:tcPr>
            <w:tcW w:w="127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二级指标</w:t>
            </w:r>
          </w:p>
        </w:tc>
        <w:tc>
          <w:tcPr>
            <w:tcW w:w="221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三级指标</w:t>
            </w:r>
          </w:p>
        </w:tc>
        <w:tc>
          <w:tcPr>
            <w:tcW w:w="8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年度指标值</w:t>
            </w:r>
          </w:p>
        </w:tc>
        <w:tc>
          <w:tcPr>
            <w:tcW w:w="9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实际完成值</w:t>
            </w:r>
          </w:p>
        </w:tc>
        <w:tc>
          <w:tcPr>
            <w:tcW w:w="60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分值</w:t>
            </w:r>
          </w:p>
        </w:tc>
        <w:tc>
          <w:tcPr>
            <w:tcW w:w="7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得分</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127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22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8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9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60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年度绩效指标完成情况</w:t>
            </w:r>
          </w:p>
        </w:tc>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产出指标</w:t>
            </w:r>
          </w:p>
        </w:tc>
        <w:tc>
          <w:tcPr>
            <w:tcW w:w="127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数量指标</w:t>
            </w:r>
          </w:p>
        </w:tc>
        <w:tc>
          <w:tcPr>
            <w:tcW w:w="22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指导帮助社区开展工作</w:t>
            </w:r>
          </w:p>
        </w:tc>
        <w:tc>
          <w:tcPr>
            <w:tcW w:w="8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&gt;=2</w:t>
            </w:r>
            <w:r>
              <w:rPr>
                <w:rFonts w:hint="eastAsia" w:eastAsia="方正仿宋_GBK"/>
                <w:color w:val="000000"/>
                <w:kern w:val="0"/>
                <w:sz w:val="21"/>
                <w:szCs w:val="24"/>
                <w:highlight w:val="none"/>
                <w:lang w:val="en-US" w:eastAsia="zh-CN" w:bidi="ar"/>
              </w:rPr>
              <w:t>次</w:t>
            </w:r>
          </w:p>
        </w:tc>
        <w:tc>
          <w:tcPr>
            <w:tcW w:w="9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2</w:t>
            </w:r>
            <w:r>
              <w:rPr>
                <w:rFonts w:hint="eastAsia" w:eastAsia="方正仿宋_GBK"/>
                <w:color w:val="000000"/>
                <w:kern w:val="0"/>
                <w:sz w:val="21"/>
                <w:szCs w:val="24"/>
                <w:highlight w:val="none"/>
                <w:lang w:val="en-US" w:eastAsia="zh-CN" w:bidi="ar"/>
              </w:rPr>
              <w:t>次</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default" w:eastAsia="方正仿宋_GBK"/>
                <w:color w:val="000000"/>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127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质量指标</w:t>
            </w:r>
          </w:p>
        </w:tc>
        <w:tc>
          <w:tcPr>
            <w:tcW w:w="221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保质保量完成工作</w:t>
            </w:r>
          </w:p>
        </w:tc>
        <w:tc>
          <w:tcPr>
            <w:tcW w:w="8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=100%</w:t>
            </w:r>
          </w:p>
        </w:tc>
        <w:tc>
          <w:tcPr>
            <w:tcW w:w="9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default" w:eastAsia="方正仿宋_GBK"/>
                <w:color w:val="000000"/>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127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时效指标</w:t>
            </w:r>
          </w:p>
        </w:tc>
        <w:tc>
          <w:tcPr>
            <w:tcW w:w="22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帮助社区工作顺利开展</w:t>
            </w:r>
          </w:p>
        </w:tc>
        <w:tc>
          <w:tcPr>
            <w:tcW w:w="8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=100%</w:t>
            </w:r>
          </w:p>
        </w:tc>
        <w:tc>
          <w:tcPr>
            <w:tcW w:w="9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default" w:eastAsia="方正仿宋_GBK"/>
                <w:color w:val="000000"/>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127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成本指标</w:t>
            </w:r>
          </w:p>
        </w:tc>
        <w:tc>
          <w:tcPr>
            <w:tcW w:w="221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项目执行资金</w:t>
            </w:r>
          </w:p>
        </w:tc>
        <w:tc>
          <w:tcPr>
            <w:tcW w:w="8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w:t>
            </w:r>
            <w:r>
              <w:rPr>
                <w:rFonts w:hint="eastAsia" w:eastAsia="方正仿宋_GBK"/>
                <w:color w:val="000000"/>
                <w:kern w:val="0"/>
                <w:sz w:val="21"/>
                <w:szCs w:val="24"/>
                <w:highlight w:val="none"/>
                <w:lang w:val="en-US" w:eastAsia="zh-CN" w:bidi="ar"/>
              </w:rPr>
              <w:t>7200元</w:t>
            </w:r>
          </w:p>
        </w:tc>
        <w:tc>
          <w:tcPr>
            <w:tcW w:w="9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7200元</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lang w:val="en-US"/>
              </w:rPr>
            </w:pPr>
            <w:r>
              <w:rPr>
                <w:rFonts w:hint="eastAsia" w:eastAsia="方正仿宋_GBK"/>
                <w:color w:val="000000"/>
                <w:kern w:val="0"/>
                <w:sz w:val="21"/>
                <w:szCs w:val="24"/>
                <w:highlight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lang w:val="en-US"/>
              </w:rPr>
            </w:pPr>
            <w:r>
              <w:rPr>
                <w:rFonts w:hint="eastAsia" w:eastAsia="方正仿宋_GBK"/>
                <w:color w:val="000000"/>
                <w:kern w:val="0"/>
                <w:sz w:val="21"/>
                <w:szCs w:val="24"/>
                <w:highlight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default" w:eastAsia="方正仿宋_GBK"/>
                <w:color w:val="000000"/>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效益指标</w:t>
            </w:r>
          </w:p>
        </w:tc>
        <w:tc>
          <w:tcPr>
            <w:tcW w:w="127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社会效益指标</w:t>
            </w:r>
          </w:p>
        </w:tc>
        <w:tc>
          <w:tcPr>
            <w:tcW w:w="22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联系群众，服务群众，促进党群干群关系</w:t>
            </w:r>
          </w:p>
        </w:tc>
        <w:tc>
          <w:tcPr>
            <w:tcW w:w="8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效果明显</w:t>
            </w:r>
          </w:p>
        </w:tc>
        <w:tc>
          <w:tcPr>
            <w:tcW w:w="9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完全达到预期效果</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15</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default" w:eastAsia="方正仿宋_GBK"/>
                <w:color w:val="000000"/>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127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可持续影响指标</w:t>
            </w:r>
          </w:p>
        </w:tc>
        <w:tc>
          <w:tcPr>
            <w:tcW w:w="221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访惠聚工作效果</w:t>
            </w:r>
          </w:p>
        </w:tc>
        <w:tc>
          <w:tcPr>
            <w:tcW w:w="8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优</w:t>
            </w:r>
          </w:p>
        </w:tc>
        <w:tc>
          <w:tcPr>
            <w:tcW w:w="9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完全达到预期效果</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15</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default" w:eastAsia="方正仿宋_GBK"/>
                <w:color w:val="000000"/>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满意度指标</w:t>
            </w:r>
          </w:p>
        </w:tc>
        <w:tc>
          <w:tcPr>
            <w:tcW w:w="2213"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left"/>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访惠聚工作对象满意度</w:t>
            </w:r>
          </w:p>
        </w:tc>
        <w:tc>
          <w:tcPr>
            <w:tcW w:w="8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&gt;=95%</w:t>
            </w:r>
          </w:p>
        </w:tc>
        <w:tc>
          <w:tcPr>
            <w:tcW w:w="9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95%</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default" w:eastAsia="方正仿宋_GBK"/>
                <w:color w:val="000000"/>
                <w:kern w:val="0"/>
                <w:sz w:val="21"/>
                <w:szCs w:val="24"/>
                <w:highlight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left"/>
              <w:rPr>
                <w:rFonts w:hint="default" w:eastAsia="方正仿宋_GBK"/>
                <w:color w:val="000000"/>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531"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总分</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lang w:val="en-US"/>
              </w:rPr>
            </w:pPr>
            <w:r>
              <w:rPr>
                <w:rFonts w:hint="eastAsia" w:eastAsia="方正仿宋_GBK"/>
                <w:color w:val="000000"/>
                <w:kern w:val="0"/>
                <w:sz w:val="21"/>
                <w:szCs w:val="24"/>
                <w:highlight w:val="none"/>
                <w:lang w:val="en-US" w:eastAsia="zh-CN" w:bidi="ar"/>
              </w:rPr>
              <w:t>100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textAlignment w:val="center"/>
              <w:rPr>
                <w:rFonts w:hint="default" w:eastAsia="方正仿宋_GBK"/>
                <w:color w:val="000000"/>
                <w:sz w:val="21"/>
                <w:szCs w:val="24"/>
                <w:highlight w:val="none"/>
              </w:rPr>
            </w:pPr>
            <w:r>
              <w:rPr>
                <w:rFonts w:hint="eastAsia" w:eastAsia="方正仿宋_GBK"/>
                <w:color w:val="000000"/>
                <w:kern w:val="0"/>
                <w:sz w:val="21"/>
                <w:szCs w:val="24"/>
                <w:highlight w:val="none"/>
                <w:lang w:val="en-US" w:eastAsia="zh-CN" w:bidi="ar"/>
              </w:rPr>
              <w:t>100分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default" w:eastAsia="方正仿宋_GBK"/>
                <w:color w:val="000000"/>
                <w:sz w:val="21"/>
                <w:szCs w:val="24"/>
                <w:highlight w:val="none"/>
              </w:rPr>
            </w:pPr>
          </w:p>
        </w:tc>
      </w:tr>
    </w:tbl>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第三部分 专业名词解释</w:t>
      </w:r>
      <w:bookmarkEnd w:id="59"/>
      <w:bookmarkEnd w:id="60"/>
      <w:bookmarkEnd w:id="61"/>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财政拨款收入：指同级财政当年拨付的资金。</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上级补助收入：指事业单位从主管部门和上级单位取得的非财政补助收入。</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事业收入：指事业单位开展专业业务活动及其辅助活动所取得的收入。</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附属单位上缴收入：指事业单位附属的独立核算单位按有关规定上缴的收入。</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其他收入：指除上述“财政拨款收入”、“事业收入”、“经营收入”、“附属单位上缴收入”等之外取得的收入。</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年初结转和结余：指以前年度支出预算因客观条件变化未执行完毕、结转到本年度按有关规定继续使用的资金，既包括财政拨款结转和结余，也包括事业收入、经营收入、其他收入的结转和结余。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年末结转和结余：指本年度或以前年度预算安排、因客观条件发生变化无法按原计划实施，需要延迟到以后年度按有关规定继续使用的资金，既包括财政拨款结转和结余，</w:t>
      </w:r>
      <w:r>
        <w:rPr>
          <w:rFonts w:hint="eastAsia" w:ascii="仿宋_GB2312" w:eastAsia="仿宋_GB2312"/>
          <w:sz w:val="32"/>
          <w:szCs w:val="32"/>
          <w:highlight w:val="none"/>
        </w:rPr>
        <w:t>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2" w:name="_Toc28903"/>
      <w:r>
        <w:rPr>
          <w:rFonts w:hint="eastAsia" w:ascii="黑体" w:hAnsi="黑体" w:eastAsia="黑体"/>
          <w:sz w:val="32"/>
          <w:szCs w:val="32"/>
          <w:highlight w:val="none"/>
        </w:rPr>
        <w:br w:type="page"/>
      </w:r>
      <w:bookmarkStart w:id="63" w:name="_Toc32549"/>
      <w:bookmarkStart w:id="64" w:name="_Toc5876"/>
      <w:r>
        <w:rPr>
          <w:rFonts w:hint="eastAsia" w:ascii="黑体" w:hAnsi="黑体" w:eastAsia="黑体"/>
          <w:sz w:val="32"/>
          <w:szCs w:val="32"/>
          <w:highlight w:val="none"/>
        </w:rPr>
        <w:t>第四部分 部门决算报表（见附表）</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5" w:name="_Toc3595"/>
      <w:bookmarkStart w:id="66" w:name="_Toc6062"/>
      <w:bookmarkStart w:id="67" w:name="_Toc5272"/>
      <w:r>
        <w:rPr>
          <w:rFonts w:hint="eastAsia" w:ascii="黑体" w:hAnsi="黑体" w:eastAsia="黑体" w:cs="宋体"/>
          <w:bCs/>
          <w:kern w:val="0"/>
          <w:sz w:val="32"/>
          <w:szCs w:val="32"/>
          <w:highlight w:val="none"/>
        </w:rPr>
        <w:t>一、《收入支出决算总表》</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8" w:name="_Toc6432"/>
      <w:bookmarkStart w:id="69" w:name="_Toc30364"/>
      <w:bookmarkStart w:id="70" w:name="_Toc30518"/>
      <w:r>
        <w:rPr>
          <w:rFonts w:hint="eastAsia" w:ascii="黑体" w:hAnsi="黑体" w:eastAsia="黑体" w:cs="宋体"/>
          <w:bCs/>
          <w:kern w:val="0"/>
          <w:sz w:val="32"/>
          <w:szCs w:val="32"/>
          <w:highlight w:val="none"/>
        </w:rPr>
        <w:t>二、《收入决算表》</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1" w:name="_Toc24682"/>
      <w:bookmarkStart w:id="72" w:name="_Toc23872"/>
      <w:bookmarkStart w:id="73" w:name="_Toc21304"/>
      <w:r>
        <w:rPr>
          <w:rFonts w:hint="eastAsia" w:ascii="黑体" w:hAnsi="黑体" w:eastAsia="黑体" w:cs="宋体"/>
          <w:bCs/>
          <w:kern w:val="0"/>
          <w:sz w:val="32"/>
          <w:szCs w:val="32"/>
          <w:highlight w:val="none"/>
        </w:rPr>
        <w:t>三、《支出决算表》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4" w:name="_Toc14238"/>
      <w:bookmarkStart w:id="75" w:name="_Toc32114"/>
      <w:bookmarkStart w:id="76" w:name="_Toc17363"/>
      <w:r>
        <w:rPr>
          <w:rFonts w:hint="eastAsia" w:ascii="黑体" w:hAnsi="黑体" w:eastAsia="黑体" w:cs="宋体"/>
          <w:bCs/>
          <w:kern w:val="0"/>
          <w:sz w:val="32"/>
          <w:szCs w:val="32"/>
          <w:highlight w:val="none"/>
        </w:rPr>
        <w:t>四、《财政拨款收入支出决算总表》</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7" w:name="_Toc10347"/>
      <w:bookmarkStart w:id="78" w:name="_Toc16665"/>
      <w:bookmarkStart w:id="79" w:name="_Toc1532"/>
      <w:r>
        <w:rPr>
          <w:rFonts w:hint="eastAsia" w:ascii="黑体" w:hAnsi="黑体" w:eastAsia="黑体" w:cs="宋体"/>
          <w:bCs/>
          <w:kern w:val="0"/>
          <w:sz w:val="32"/>
          <w:szCs w:val="32"/>
          <w:highlight w:val="none"/>
        </w:rPr>
        <w:t>五、《一般公共预算财政拨款支出决算表》</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0" w:name="_Toc5626"/>
      <w:bookmarkStart w:id="81" w:name="_Toc2980"/>
      <w:bookmarkStart w:id="82" w:name="_Toc24067"/>
      <w:r>
        <w:rPr>
          <w:rFonts w:hint="eastAsia" w:ascii="黑体" w:hAnsi="黑体" w:eastAsia="黑体" w:cs="宋体"/>
          <w:bCs/>
          <w:kern w:val="0"/>
          <w:sz w:val="32"/>
          <w:szCs w:val="32"/>
          <w:highlight w:val="none"/>
        </w:rPr>
        <w:t>六、《一般公共预算财政拨款基本支出决算表》</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3" w:name="_Toc9459"/>
      <w:bookmarkStart w:id="84" w:name="_Toc3931"/>
      <w:r>
        <w:rPr>
          <w:rFonts w:hint="eastAsia" w:ascii="黑体" w:hAnsi="黑体" w:eastAsia="黑体" w:cs="宋体"/>
          <w:bCs/>
          <w:kern w:val="0"/>
          <w:sz w:val="32"/>
          <w:szCs w:val="32"/>
          <w:highlight w:val="none"/>
        </w:rPr>
        <w:t>七、</w:t>
      </w:r>
      <w:bookmarkStart w:id="85" w:name="_Toc32663"/>
      <w:r>
        <w:rPr>
          <w:rFonts w:hint="eastAsia" w:ascii="黑体" w:hAnsi="黑体" w:eastAsia="黑体" w:cs="宋体"/>
          <w:bCs/>
          <w:kern w:val="0"/>
          <w:sz w:val="32"/>
          <w:szCs w:val="32"/>
          <w:highlight w:val="none"/>
        </w:rPr>
        <w:t>《财政拨款“三公”经费支出决算表》</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6" w:name="_Toc5453"/>
      <w:bookmarkStart w:id="87" w:name="_Toc482"/>
      <w:bookmarkStart w:id="88" w:name="_Toc20536"/>
      <w:r>
        <w:rPr>
          <w:rFonts w:hint="eastAsia" w:ascii="黑体" w:hAnsi="黑体" w:eastAsia="黑体" w:cs="宋体"/>
          <w:bCs/>
          <w:kern w:val="0"/>
          <w:sz w:val="32"/>
          <w:szCs w:val="32"/>
          <w:highlight w:val="none"/>
        </w:rPr>
        <w:t>八、《政府性基金预算财政拨款收入支出决算表》</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9" w:name="_Toc30064"/>
      <w:bookmarkStart w:id="90" w:name="_Toc19300"/>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2U2ZjExOTQ5NzA4MDhmOWZhNjk1ZjFjNDgxNmUifQ=="/>
  </w:docVars>
  <w:rsids>
    <w:rsidRoot w:val="00000000"/>
    <w:rsid w:val="00E65F3E"/>
    <w:rsid w:val="011726B8"/>
    <w:rsid w:val="01205ED0"/>
    <w:rsid w:val="01B057DD"/>
    <w:rsid w:val="020B1E19"/>
    <w:rsid w:val="02F73D26"/>
    <w:rsid w:val="034D4FEF"/>
    <w:rsid w:val="043E5B56"/>
    <w:rsid w:val="04C8148A"/>
    <w:rsid w:val="06182106"/>
    <w:rsid w:val="061D0810"/>
    <w:rsid w:val="06792773"/>
    <w:rsid w:val="06DB1E8B"/>
    <w:rsid w:val="086F792B"/>
    <w:rsid w:val="087C4124"/>
    <w:rsid w:val="0A1C6A2B"/>
    <w:rsid w:val="0A257B68"/>
    <w:rsid w:val="0A7B4867"/>
    <w:rsid w:val="0B8C3ECC"/>
    <w:rsid w:val="0BF657C0"/>
    <w:rsid w:val="0C7227A7"/>
    <w:rsid w:val="0D7270F0"/>
    <w:rsid w:val="0D751576"/>
    <w:rsid w:val="0D95707B"/>
    <w:rsid w:val="0DCE081D"/>
    <w:rsid w:val="102E443C"/>
    <w:rsid w:val="10D80544"/>
    <w:rsid w:val="126E7FF3"/>
    <w:rsid w:val="13065313"/>
    <w:rsid w:val="142B5C8A"/>
    <w:rsid w:val="17137374"/>
    <w:rsid w:val="17A9659B"/>
    <w:rsid w:val="182A38D6"/>
    <w:rsid w:val="187E287E"/>
    <w:rsid w:val="19DB6010"/>
    <w:rsid w:val="1A700524"/>
    <w:rsid w:val="1B3B0F26"/>
    <w:rsid w:val="1B975C14"/>
    <w:rsid w:val="1CA148EC"/>
    <w:rsid w:val="1D0C360F"/>
    <w:rsid w:val="1D1C0892"/>
    <w:rsid w:val="1D9D7450"/>
    <w:rsid w:val="1DAF458D"/>
    <w:rsid w:val="1DFA6FC7"/>
    <w:rsid w:val="1EA8342C"/>
    <w:rsid w:val="1F516E45"/>
    <w:rsid w:val="1F683448"/>
    <w:rsid w:val="204C3744"/>
    <w:rsid w:val="20DD6197"/>
    <w:rsid w:val="21C60EE0"/>
    <w:rsid w:val="223A3986"/>
    <w:rsid w:val="231811C8"/>
    <w:rsid w:val="23BC04D2"/>
    <w:rsid w:val="24A705FF"/>
    <w:rsid w:val="252D4147"/>
    <w:rsid w:val="25B4233E"/>
    <w:rsid w:val="260B6293"/>
    <w:rsid w:val="270C6310"/>
    <w:rsid w:val="27CF2642"/>
    <w:rsid w:val="292A036C"/>
    <w:rsid w:val="295F55B3"/>
    <w:rsid w:val="29B10A15"/>
    <w:rsid w:val="2A053397"/>
    <w:rsid w:val="2AFD60E1"/>
    <w:rsid w:val="2CB371D5"/>
    <w:rsid w:val="2D1136DF"/>
    <w:rsid w:val="2DAA4F3D"/>
    <w:rsid w:val="2E18598A"/>
    <w:rsid w:val="2EA87867"/>
    <w:rsid w:val="2F1A7CE7"/>
    <w:rsid w:val="2FD27414"/>
    <w:rsid w:val="30672250"/>
    <w:rsid w:val="31225582"/>
    <w:rsid w:val="315B609A"/>
    <w:rsid w:val="319501D5"/>
    <w:rsid w:val="31C63837"/>
    <w:rsid w:val="31D7657D"/>
    <w:rsid w:val="32901BB2"/>
    <w:rsid w:val="33B777EE"/>
    <w:rsid w:val="354E515D"/>
    <w:rsid w:val="36197594"/>
    <w:rsid w:val="370552AF"/>
    <w:rsid w:val="385E7907"/>
    <w:rsid w:val="388B6EB1"/>
    <w:rsid w:val="3914510A"/>
    <w:rsid w:val="39662DA7"/>
    <w:rsid w:val="3B564E69"/>
    <w:rsid w:val="3B8A672D"/>
    <w:rsid w:val="3CEF7BCF"/>
    <w:rsid w:val="3D5275AC"/>
    <w:rsid w:val="3E2B6937"/>
    <w:rsid w:val="40834692"/>
    <w:rsid w:val="4314793D"/>
    <w:rsid w:val="45E6305F"/>
    <w:rsid w:val="4635624E"/>
    <w:rsid w:val="46901EEE"/>
    <w:rsid w:val="469C74D2"/>
    <w:rsid w:val="46F870EF"/>
    <w:rsid w:val="470C497C"/>
    <w:rsid w:val="47AF5940"/>
    <w:rsid w:val="48022301"/>
    <w:rsid w:val="48A00A76"/>
    <w:rsid w:val="49114B81"/>
    <w:rsid w:val="4A9250D2"/>
    <w:rsid w:val="4B4C0111"/>
    <w:rsid w:val="4B674EE5"/>
    <w:rsid w:val="4BC504B0"/>
    <w:rsid w:val="4C9526A2"/>
    <w:rsid w:val="4CF026D5"/>
    <w:rsid w:val="4E9A0FD6"/>
    <w:rsid w:val="4F626015"/>
    <w:rsid w:val="50653746"/>
    <w:rsid w:val="50DB5F45"/>
    <w:rsid w:val="50FB174B"/>
    <w:rsid w:val="51B73A83"/>
    <w:rsid w:val="51DC1BF1"/>
    <w:rsid w:val="5217704A"/>
    <w:rsid w:val="525D7070"/>
    <w:rsid w:val="52981897"/>
    <w:rsid w:val="529D6258"/>
    <w:rsid w:val="52A11FF1"/>
    <w:rsid w:val="52F92565"/>
    <w:rsid w:val="535B58B4"/>
    <w:rsid w:val="5459272A"/>
    <w:rsid w:val="55B966B7"/>
    <w:rsid w:val="55CF1C7C"/>
    <w:rsid w:val="5625599A"/>
    <w:rsid w:val="56DF422C"/>
    <w:rsid w:val="571A2F2D"/>
    <w:rsid w:val="571C510A"/>
    <w:rsid w:val="57B91AC2"/>
    <w:rsid w:val="583059FA"/>
    <w:rsid w:val="5A9D66AD"/>
    <w:rsid w:val="5AC61715"/>
    <w:rsid w:val="5B983671"/>
    <w:rsid w:val="5D223904"/>
    <w:rsid w:val="5F0F21D9"/>
    <w:rsid w:val="5FA17648"/>
    <w:rsid w:val="61A46A97"/>
    <w:rsid w:val="627D5AD6"/>
    <w:rsid w:val="62DD7D21"/>
    <w:rsid w:val="63F66C47"/>
    <w:rsid w:val="65D97752"/>
    <w:rsid w:val="66420374"/>
    <w:rsid w:val="665A3587"/>
    <w:rsid w:val="66941F28"/>
    <w:rsid w:val="66F76672"/>
    <w:rsid w:val="67815D12"/>
    <w:rsid w:val="68DB0208"/>
    <w:rsid w:val="692C17C2"/>
    <w:rsid w:val="69770D7A"/>
    <w:rsid w:val="69AD798C"/>
    <w:rsid w:val="6A315CDF"/>
    <w:rsid w:val="6A5A3D01"/>
    <w:rsid w:val="6AB411A9"/>
    <w:rsid w:val="6B68175F"/>
    <w:rsid w:val="6C733C48"/>
    <w:rsid w:val="6E0F7A08"/>
    <w:rsid w:val="6FA029CF"/>
    <w:rsid w:val="70927C80"/>
    <w:rsid w:val="70F3754D"/>
    <w:rsid w:val="71473612"/>
    <w:rsid w:val="718F7F65"/>
    <w:rsid w:val="71FD163F"/>
    <w:rsid w:val="72340C45"/>
    <w:rsid w:val="72C20820"/>
    <w:rsid w:val="730920D9"/>
    <w:rsid w:val="73FB6630"/>
    <w:rsid w:val="7447570D"/>
    <w:rsid w:val="74511E48"/>
    <w:rsid w:val="749B62E1"/>
    <w:rsid w:val="74E76DCD"/>
    <w:rsid w:val="767E23C3"/>
    <w:rsid w:val="769901DB"/>
    <w:rsid w:val="76D53A35"/>
    <w:rsid w:val="77ED6F44"/>
    <w:rsid w:val="789E3018"/>
    <w:rsid w:val="796F5AC9"/>
    <w:rsid w:val="7A3E54DB"/>
    <w:rsid w:val="7AD2576A"/>
    <w:rsid w:val="7B957477"/>
    <w:rsid w:val="7C373527"/>
    <w:rsid w:val="7C883F0C"/>
    <w:rsid w:val="7D697356"/>
    <w:rsid w:val="7DEC608F"/>
    <w:rsid w:val="7E326A35"/>
    <w:rsid w:val="7EB31FD4"/>
    <w:rsid w:val="7F3D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WPSOffice手动目录 3"/>
    <w:uiPriority w:val="0"/>
    <w:pPr>
      <w:ind w:leftChars="400"/>
    </w:pPr>
    <w:rPr>
      <w:sz w:val="20"/>
      <w:szCs w:val="20"/>
    </w:rPr>
  </w:style>
  <w:style w:type="paragraph" w:customStyle="1" w:styleId="11">
    <w:name w:val="WPSOffice手动目录 2"/>
    <w:uiPriority w:val="0"/>
    <w:pPr>
      <w:ind w:leftChars="200"/>
    </w:pPr>
    <w:rPr>
      <w:sz w:val="20"/>
      <w:szCs w:val="20"/>
    </w:rPr>
  </w:style>
  <w:style w:type="paragraph" w:customStyle="1" w:styleId="12">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6211</Words>
  <Characters>6904</Characters>
  <Lines>0</Lines>
  <Paragraphs>0</Paragraphs>
  <TotalTime>1</TotalTime>
  <ScaleCrop>false</ScaleCrop>
  <LinksUpToDate>false</LinksUpToDate>
  <CharactersWithSpaces>6933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2023-09-13T10:58:50Z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8021A30A5823470EBC9AA886FC4D2A62</vt:lpwstr>
  </property>
</Properties>
</file>