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乌财社【2021】344号关于提前下达2022年中央财政困难群众救助补助资金预算【直达资金】的通知</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乌鲁木齐市水磨沟区民政局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乌鲁木齐市水磨沟区民政局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刘卓妍</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关于提高我市城乡低保标准的通知》（乌民发【2021】9号），《中华人民共和国国务院令—社会救助暂行办法》（第649号）的文件要求，城市居民最低生活保障，是国家为了解决城市居民的生活困难而建立的一种社会救济制度，是我国经济条件下的有中国特色的社会保障体系的一项重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市居民最低生活保障制度的基本政策框架，是围绕最低生活保障标准来制定的。最低生活保障制度的具体规定以及保障工作的每个环节，均必须以最低生活保障标准为基础，无论是认定最低生活保障对象的资格，确定保障范围和保障人数，预算所需最低生活保障资金数量，还是最低生活保障工作的管理和运转，都必须围绕最低生活保障标准进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城市居民最低生活保障制度的保障对象是家庭人均收入低于当地最低生活保障标准的、持有非农业户口的城市居民，家庭成员收入是确定城市低保对象的关键。主要对象是以下三类人员：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1.无生活来源、无劳动能力、无法定赡养人或抚养人的居民；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2.领取失业救济金期间或失业救济期满仍未重新就业，家庭人均收入低于最低生活保障标准的居民；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3.在职人员和下岗人员在领取工资、基本生活费后以及退休人员领取退休金后，其家庭人均收入仍低于最低生活保障标准的居民。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该项目按月对符合条件的城乡最低保障居民发放低保金，城市按照700元/月/人的标准，农村按照600元/月/人的标准进行发放。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居民根据所处家庭经济状况以及家庭成员是否有重大疾病和劳动能力向社区提出申请，社区经过实地入户情况上报所属街道管委会，经管委会经济核查后上报水区民政局审核，水区民政局将每月申请低保的居民信息资料上报市民政局经济核查中心进行最终审批，经上述审批流程后，可进行低保金的发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享受低保补贴的期间，民政局和街道会定期不定期的对低保户进行实地考察和入户，了解其家庭经济情况是否有变化，从而进行调整。对低保金多发放的家庭进行低保金的追回，对应享有低保金政策的家庭应救尽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中央财政困难群众基本生活救助补助资金管理办法》的通知（财社【2016】87号）文件批准，项目系2022年中央直达资金，共安排预算1503万元，是2022年年中追加预算批复项目。其中，乌财社【2021】344号】关于下达2021年中央财政困难群众救助补助资金预算（直达资金）的通知于2022年3月30日下达1126万元；乌财社【2022】91号关于拨付2022年中央财政困难群众救助补助资金（第二批）（直达资金）的通知于2022年6月27日下达377万元，该两笔资金共计下达1503万元，于2022年10月全部使用完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当年项目，在评价期间内预计完成对辖区范围内1800余户的2600余人困难群众的基本救助，达到保障困难群众基本生活的效果，具体参照依据为截止至2022年12月底水区城乡低保对象1827户2638人。计划通过该项目的实施，有效保障了城乡最低生活保障享受对象的基本生活水平和质量、显著提升了城乡最低生活保障享受对象的幸福感、获得感、安全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（1）绩效评价的对象：财政困难群众救助补助项目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1.项目范围：乌财社【2021】344号、乌财社【2022】91号关于下达2021年中央财政困难群众救助补助资金预算（直达资金）的通知的完成情况、资金投入的运行情况、项目实施后产生的绩效及影响效果。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（1）</w:t>
      </w:r>
      <w:r>
        <w:rPr>
          <w:rStyle w:val="18"/>
          <w:rFonts w:hint="eastAsia" w:ascii="楷体" w:hAnsi="楷体" w:eastAsia="楷体"/>
          <w:b w:val="0"/>
          <w:bCs w:val="0"/>
          <w:spacing w:val="-4"/>
          <w:sz w:val="32"/>
          <w:szCs w:val="32"/>
        </w:rPr>
        <w:t>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w:t>
      </w:r>
      <w:r>
        <w:rPr>
          <w:rStyle w:val="18"/>
          <w:rFonts w:hint="eastAsia" w:ascii="楷体" w:hAnsi="楷体" w:eastAsia="楷体"/>
          <w:b w:val="0"/>
          <w:bCs w:val="0"/>
          <w:spacing w:val="-4"/>
          <w:sz w:val="32"/>
          <w:szCs w:val="32"/>
        </w:rPr>
        <w:t>4</w:t>
      </w:r>
      <w:r>
        <w:rPr>
          <w:rStyle w:val="18"/>
          <w:rFonts w:hint="eastAsia" w:ascii="楷体" w:hAnsi="楷体" w:eastAsia="楷体"/>
          <w:b w:val="0"/>
          <w:bCs w:val="0"/>
          <w:spacing w:val="-4"/>
          <w:sz w:val="32"/>
          <w:szCs w:val="32"/>
          <w:lang w:val="en-US" w:eastAsia="zh-CN"/>
        </w:rPr>
        <w:t>）</w:t>
      </w:r>
      <w:r>
        <w:rPr>
          <w:rStyle w:val="18"/>
          <w:rFonts w:hint="eastAsia" w:ascii="楷体" w:hAnsi="楷体" w:eastAsia="楷体"/>
          <w:b w:val="0"/>
          <w:bCs w:val="0"/>
          <w:spacing w:val="-4"/>
          <w:sz w:val="32"/>
          <w:szCs w:val="32"/>
        </w:rPr>
        <w:t>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〔2020〕10号）文件指出部门评价的方法主要包括比较法、最低成本法、公众评判法、标杆管理法等。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根据本项目（财政困难群众救助补助项目）的特点，本次评价主要采用比较法和公众评判法，对项目总预算和明细预算的内容、标准、计划是否经济合理进行深入分析，以考察实际产出和效益是否达到预期。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·《项目支出绩效评价管理办法》（财预〔2020〕10号）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社【2021】344号、乌财社【2022】91号关于下达2021年中央财政困难群众救助补助资金预算（直达资金）的通知项目进行客观评价，最终评分结果为：总分为100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完成2603户城市低保对象的救助，36户农村低保对象的救助，共计完成2639户的困难补助救助。补助救助资金的发放完全按照国家、自治区、市级相关政策要求，以城市低保标准700元/月/户和农村低保标准600元/月/户于每月15日通过财政一卡通平台和银发相结合的方式直接是发放给个人。此项目有效保障和改善了民生，维护社会稳定和谐发展，显著提升了困难家庭的认同感、获得感、幸福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该项目的设置为保基本民生，属于国家性质的三保类支出，，是国家为了解决城市居民的生活困难而建立的一种社会救济制度，是我国经济条件下的有中国特色的社会保障体系的一项重要内容，补贴标准是围绕最低生活保障标准来制定的。执行时无需任何上级部门审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在实际执行时，居民根据所处家庭经济状况以及家庭成员是否有重大疾病和劳动能力向社区提出申请，社区经过实地入户情况上报所属街道管委会，经管委会经济核查后上报水区民政局审核，水区民政局将每月申请低保的居民信息资料上报市民政局经济核查中心进行最终审批，经上述审批流程后，可进行低保金的发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享受低保补贴的期间，民政局和街道会定期不定期的对低保户进行实地考察和入户，了解其家庭经济情况是否有变化，从而进行调整。对低保金多发放的家庭进行低保金的追回，对应享有低保金政策的家庭应救尽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所以，得4分。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 按时拨付困难群众救助补助资金，解决困难群众的基本生活问题，起到了促进社会稳定和谐发展的重要作用。项目明确了救助对象的救助标准和救助次数，要求按政策要求每月及时将救助金发放至困难群众手中。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该项目为困难群众救助资金，编制预算过程科学合理，主要依据水区历年困难群众人数、补贴标准以及预算执行情况进行编制，对历年困难群众救助情况进行了全面的分析并对当年情况进行了精准的预判。故预算编制科学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 我单位2022年度共有城乡低保对象1827户2638人，其中城市低保对象1793户2604人，农村低保对象34户34人，按照城市低保700元/月/人、农村低保600元/月/人的标准进行发放，并在政策规定时间段内全部使用完毕。故资</w:t>
      </w:r>
      <w:bookmarkStart w:id="0" w:name="_GoBack"/>
      <w:r>
        <w:rPr>
          <w:rStyle w:val="18"/>
          <w:rFonts w:hint="eastAsia" w:ascii="楷体" w:hAnsi="楷体" w:eastAsia="楷体"/>
          <w:b w:val="0"/>
          <w:bCs w:val="0"/>
          <w:spacing w:val="-4"/>
          <w:sz w:val="32"/>
          <w:szCs w:val="32"/>
        </w:rPr>
        <w:t>金分配合理性指标得分3分。</w:t>
      </w:r>
      <w:bookmarkEnd w:id="0"/>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 项目系2022年中央直达资金，共安排预算1503万元，是2022年年中追加预算批复项目。其中，乌财社【2021】344号】关于下达2021年中央财政困难群众救助补助资金预算（直达资金）的通知于2022年3月30日下达1126万元；乌财社【2022】91号关于拨付2022年中央财政困难群众救助补助资金（第二批）（直达资金）的通知于2022年6月27日下达377万元，该两笔资金共计下达1503万元，资金全部到位，资金到位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2022年3月支付给财政局代发过渡户低保金180.66万元，后通过一卡通发放和银行发放至困难群众；2022年4月支付给财政局代发过渡户低保金180.07万元，后通过一卡通发放和银行发放至困难群众；2022年5月支付给财政局代发过渡户低保金175.00万元，后通过一卡通发放和银行发放至困难群众；2022年6月支付给财政局代发过渡户低保金180.31万元，后通过一卡通发放和银行发放至困难群众；2022年7月支付给财政局代发过渡户低保金181.59万元，后通过一卡通发放和银行发放至困难群众；2022年8月支付给财政局代发过渡户低保金250.63万元，后通过一卡通发放和银行发放至困难群众；2022年9月支付给财政局代发过渡户低保金176.30万元，后通过一卡通发放和银行发放至困难群众；2022年10月支付给财政局代发过渡户低保金178.44万元，后通过一卡通发放和银行发放至困难群众。综合以上，项目资金于2022年10月全部使用完毕。预算执行率100%，故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管理制度健全性：乌鲁木齐市水磨沟区民政局已制定相应的财务和业务管理制度，且制度合法、合规、完整，为项目顺利实施提供重要保障。故管理制度健全性得分为3分。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财社【2021】344号、乌财社【2022】91号关于下达2021年中央财政困难群众救助补助资金预算（直达资金）的通知项目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项目产出指标由4个二级指标和4个三级指标构成，权重为40分，实际得分40分。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“救助覆盖城市低保对象户数”的目标值是至多2650户，2022年度我单位实际完成2603户，2022年度水区低保户搬迁至其他区县情况较多。该项指标5分，实际得分5分，指标得分率100%。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“救助覆盖农村低保对象户数”的目标值是至多38户，2022年度我单位实际完成36户，有两户低保户经济收入情况有所提高，不再符合低保政策要求。该项指标5分，实际得分5分，指标得分率100%。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“低保户救助补助覆盖率”的目标是至少覆盖95%，2022年度水区所有符合低保政策条件的居民均享受到了低保补贴。该项指标赋分10分，得分10分，得分率100%。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低保户低保金发放及时率”的目标值是100%，2022年度我单位实际完成值为100%，我单位每月严格执行市民政局关于救助金每月15日之前发放完毕的工作要求，每月按时足额发放低保金。该项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时效指标“补助预计覆盖时长”的目标值是8个月，2022年度我单位实际完成值为8个月，2022年度低保金的资金来源分为中央直达、自治区直达、区县配套，其中中央直达资金使用时长为8个月。该项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成本节约率：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成本指标“城市低保标准”的目标值是700元/月/户，2022年度我单位实际完成值为700元/月/户。该项指标赋分5分，得分5分，得分率100%。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成本指标“农村低保标准”的目标值是600元/月/户，2022年度我单位实际完成值为600元/月/户。该项指标赋分5分，得分5分，得分率100%。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综上，该指标满分40分，得分40分。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保障和改善民生，维护社会稳定和谐发展”，指标值：有效保障，实际完成值：达成年度指标。本项目的实施促进了社会稳定发展，促进了社会救助制度的创新与发展，推动了社会主义精神文明建设。该项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提升困难家庭的认同感、获得感、幸福感”，指标值：显著提升，实际完成值：达成年度指标。该项目的实施为绝望中的家庭点亮希望之光，为困难群众织就不可破的安全网，维护了困难群众基本生活权益，维护社会稳定和谐稳定，存进社会公平正义。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综上，该指标满分15分，得分15分。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受助群体满意度”，指标值：≥95%，实际完成值：95%。通过设置问卷调查的方式进行考评评价，共计调查样本总量为20个样本，有效调查问卷20份。其中，统计“受助群体满意度”的平均值为95%。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本项目预算执行率为100%，指标总体完成率为100%，二者之间的偏差值为0%，小于20%，。总体而言，该项目未完全达到年度总体目标，财政资金的使用效益和效率都基本完成，完全达到预期效果。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（1）一是严把申请关。低保评议工作小组认真核对申请者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提交的资料及真实性，做到资料不缺项，做到资料内容真实准确。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二是严把调查核实关。对低保申请家庭家家到、户户落。坚持做到“谁入户、谁调查、谁签字、谁负责”，通过入户调查，邻里访问逐户核实困难群众真实收入，真正让贫困家庭享受基本的生存权利。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（3）三是加强低保档案分户管理。按不同情况、不同类型进行了详细的分类归档，做到一户一档，户户有档可查，确保低保实施档案健全、过程完整、全面规范档案。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（1）预算执行率有待提高。预算执行效率还不够高，预算执行力度还要进一步加强。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（2）财务管理和业务管理制度仍需完善。财务和业务管理制度合法、合规，但还不够完善，制度还不够完整，今后进一步完善管理制度。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（3）预算执行过程有超预算的情况，主要因为年初预算人数在年中有所变动，人员增加，导致经费不足。以后编制预算因考虑这一因素，严格控制人数，按照预算经费执行。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（4）项目的社会效益主要为保障社会大局稳定，经济性效益方面，项目成本（预算）控制较合理,项目的效率性方面：项目实施（完成）的进度，按照月度发放，2020年1月至12月完成发放。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02C6A"/>
    <w:multiLevelType w:val="singleLevel"/>
    <w:tmpl w:val="BDB02C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5A92ABC"/>
    <w:rsid w:val="2A891760"/>
    <w:rsid w:val="3029612C"/>
    <w:rsid w:val="323D6058"/>
    <w:rsid w:val="32A221C5"/>
    <w:rsid w:val="33F20F2A"/>
    <w:rsid w:val="34C44675"/>
    <w:rsid w:val="3B5B5607"/>
    <w:rsid w:val="3CE21B3C"/>
    <w:rsid w:val="45F4175E"/>
    <w:rsid w:val="4D2606A1"/>
    <w:rsid w:val="4D5E7E1C"/>
    <w:rsid w:val="51830480"/>
    <w:rsid w:val="53A616BE"/>
    <w:rsid w:val="54662BFB"/>
    <w:rsid w:val="6052431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8382</Words>
  <Characters>8884</Characters>
  <Lines>4</Lines>
  <Paragraphs>1</Paragraphs>
  <TotalTime>10</TotalTime>
  <ScaleCrop>false</ScaleCrop>
  <LinksUpToDate>false</LinksUpToDate>
  <CharactersWithSpaces>8999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2023-09-05T08:53:10Z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9DF9B8E1A1754946A5281B8BC1BC2E5D</vt:lpwstr>
  </property>
</Properties>
</file>