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乌财社[2022]26号关于拨付2022年第一季度残疾人居家托养补助经费的通知（转移支付）</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乌鲁木齐市水磨沟区残疾人联合会</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乌鲁木齐市水磨沟区残疾人联合会</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穆兰娟</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2023年05月16日</w:t>
      </w:r>
    </w:p>
    <w:p>
      <w:pPr>
        <w:spacing w:line="540" w:lineRule="exact"/>
        <w:ind w:firstLine="624" w:firstLineChars="200"/>
        <w:rPr>
          <w:rStyle w:val="18"/>
          <w:rFonts w:hint="eastAsia"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left="636" w:leftChars="303" w:firstLine="0" w:firstLineChars="0"/>
        <w:jc w:val="both"/>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p>
    <w:p>
      <w:pPr>
        <w:spacing w:line="540" w:lineRule="exact"/>
        <w:ind w:left="636" w:leftChars="303" w:firstLine="624" w:firstLineChars="200"/>
        <w:jc w:val="both"/>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党中央、国务院高度重视残疾人事业发展，对残疾人格外关心、格外关注。“十三五”时期，残疾人事业取得重大成就，“全面建成小康社会，残疾人一个也不能少”的目标如期实现。710万农村建档立卡贫困残疾人脱贫，城乡新增180.8万残疾人就业，1076.8万困难残疾人被纳入最低生活保障范围。1212.6万困难残疾人得到生活补贴，1473.8万重度残疾人得到护理补贴。残疾人基本康复服务覆盖率达到80%，辅助器具适配率达到80%。城乡无障碍环境明显改善，关爱帮助残疾人的社会氛围日益浓厚。越来越多的残疾人更加勇敢地面对生活的挑战，更加坚强地为梦想而奋斗，为经济社会发展作出了重要贡献。我国在国际残疾人事务中的影响力显著提升。这些重大成就，有效改善了残疾人民生，有力推动了社会文明进步，成为全面建成小康社会的重要方面，彰显了中国共产党领导和中国特色社会主义制度的显著优势。水磨沟区残疾人联合会依据上述精神，结合我区情况设立残疾人居家托养项目（以下简称“该项目”），该项目安排预算资金总额为50万元，旨在积极推进智力、精神和重度残疾人托养服务工促进我市残疾人社会保障制度和服务体系建设，使残疾人托养服务工作能够全面有效的开展和实施， 该项目实施情况,该项目发放残疾人居家托养补贴206人，农村残疾人6人，使残疾人满意率大幅提升，使残疾人融入社会能力大幅提高，在评价期2022年度内预计达到项目进度100%，具体为发放残疾人居家托养补贴206人，农村残疾人6人，发放补助及时使残疾人满意率大幅提升，使残疾人融入社会能力大幅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乌鲁木齐市贫困残疾人居家托养资助办法，乌残[2011]（30），残疾人居家托养补助经费项目（旨在积极推进智力、精神和重度残疾人托养服务工促进我市残疾人社会保障制度和服务体系建设，使残疾人托养服务工作能够全面有效的开展和实施）。经乌财社【2022】26号，乌财社【2021】270号，乌财社【2022】132号，文件批准，项目系2022年本级资金与转移支付，共安排预算50万元，于2022年预算批复项目，资金已全部到位情况并已支付。</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left="319" w:leftChars="152"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为2022年当年项目，计划发放残疾人居家托养补贴206人，农村残疾人6人，使残疾人满意率大幅提升，使残疾人融入社会能力大幅提高，在评价期2022年度内预计达到项目进度100%，具体为发放残疾人居家托养补贴206人，农村残疾人6人，发放补助及时使残疾人满意率大幅提升，使残疾人融入社会能力大幅提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w:t>
      </w:r>
    </w:p>
    <w:p>
      <w:pPr>
        <w:spacing w:line="540" w:lineRule="exact"/>
        <w:ind w:left="950" w:leftChars="304" w:hanging="312" w:hanging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（1）绩效评价的对象：残疾人居家托养项目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1.项目范围：残疾人居家托养项目完成情况、资金投入的运行情况、项目实施后产生的绩效及影响效果。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（二）绩效评价原则、指标体系、方法及标准</w:t>
      </w:r>
    </w:p>
    <w:p>
      <w:p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（4）其他评价方法。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根据本项目（残疾人居家托养）的特点，本次评价主要采用比较法和公众评判法，对项目总预算和明细预算的内容、标准、计划是否经济合理进行深入分析，以考察实际产出和效益是否达到预期。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上述评价标准的基础上，本次评价依据以下文件为重要指导和准绳：《中共中央国务院关于全面实施预算绩效管理的意见》（中发〔2018〕34号）《关于印发&lt;乌鲁木齐市本级部门预算绩效目标管理暂行办法&gt;的通知》（乌财预〔2018〕56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《项目支出绩效评价管理办法》（财预〔2020〕10号）</w:t>
      </w:r>
    </w:p>
    <w:p>
      <w:pPr>
        <w:spacing w:line="540" w:lineRule="exact"/>
        <w:ind w:firstLine="877" w:firstLineChars="280"/>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left="319" w:leftChars="152"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p>
    <w:p>
      <w:pPr>
        <w:spacing w:line="540" w:lineRule="exact"/>
        <w:ind w:left="319" w:leftChars="152"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spacing w:line="540" w:lineRule="exact"/>
        <w:ind w:firstLine="936" w:firstLineChars="30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624" w:firstLineChars="200"/>
        <w:rPr>
          <w:rStyle w:val="18"/>
          <w:rFonts w:ascii="黑体" w:hAnsi="黑体" w:eastAsia="黑体"/>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结合项目特点，制定符合项目实际的绩效评价指标体系及评分标准，通过数据采集、问卷调查及访谈等形式，对2022年残疾人居家托养项目进行客观评价，最终评分结果为：总分为100分，绩效评级为“优秀”。</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项目各部分权重和绩效分值如附表所示：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（二）主要绩效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目资金区财政及时拨付，单位在此次评价期间内，有序完成设定目标的全部工作任务，发放残疾人居家托养补贴，旨在积极推进智力、精神和重度残疾人托养服务工促进我区残疾人社会保障制度和服务体系建设，使残疾人托养服务工作能够全面有效的开展和实施。发放残疾人居家托养补贴206人，农村残疾人6人，使残疾人满意率大幅提升，使残疾人融入社会能力大幅提高，在评价期2022年度内预计达到项目进度100%，具体为发放残疾人居家托养补贴206人，农村残疾人6人，发放补助及时使残疾人满意率大幅提升，使残疾人融入社会能力大幅提高。</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313" w:firstLineChars="100"/>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left="631" w:leftChars="152" w:hanging="312" w:hanging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p>
    <w:p>
      <w:p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p>
    <w:p>
      <w:p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十三五”时期，残疾人事业取得重大成就，按照十四五“全面建成小康社会，残疾人一个也不能少”的目标，有效改善了残疾人民生，水磨沟区残疾人联合会依据上述精神，结合我区情况设立残疾人居家托养项目，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立项程序规范性:项目按照规定的程序申请设立，审批文件、材料符合相关要求，故立项程序规范，得4分。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p>
    <w:p>
      <w:p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明确性：残疾人居家托养旨在积极推进智力、精神和重度残疾人托养服务工促进我区残疾人社会保障制度和服务体系建设，使残疾人托养服务工作能够全面有效的开展和实施，发放残疾人居家托养补贴206人，农村残疾人6人，使残疾人满意率大幅提升，使残疾人融入社会能力大幅提高，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综上，该指标满分6分，得分6分。</w:t>
      </w:r>
    </w:p>
    <w:p>
      <w:pPr>
        <w:tabs>
          <w:tab w:val="center" w:pos="4295"/>
        </w:tabs>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p>
    <w:p>
      <w:pPr>
        <w:tabs>
          <w:tab w:val="center" w:pos="4295"/>
        </w:tabs>
        <w:spacing w:line="540" w:lineRule="exact"/>
        <w:ind w:firstLine="624" w:firstLineChars="200"/>
        <w:rPr>
          <w:rStyle w:val="18"/>
          <w:rFonts w:ascii="楷体" w:hAnsi="楷体" w:eastAsia="楷体"/>
          <w:spacing w:val="-4"/>
          <w:sz w:val="32"/>
          <w:szCs w:val="32"/>
        </w:rPr>
      </w:pPr>
      <w:r>
        <w:rPr>
          <w:rStyle w:val="18"/>
          <w:rFonts w:hint="eastAsia" w:ascii="楷体" w:hAnsi="楷体" w:eastAsia="楷体"/>
          <w:b w:val="0"/>
          <w:bCs w:val="0"/>
          <w:spacing w:val="-4"/>
          <w:sz w:val="32"/>
          <w:szCs w:val="32"/>
        </w:rPr>
        <w:t>预算编制科学性：按照乌财社【2022】26号，水磨沟区残疾人联合会按照城镇居家托养残疾人600元/人/季度的标准进行发放，农村居家托养残疾人300元/人/季度的标准进行发放，符合国家相关政策。</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分配合理性：按照乌财社【2022】26号水磨沟区残疾人联合会按照城镇居家托养残疾人600元/人/季度的标准进行发放，农村居家托养残疾人300元/人/季度的标准进行发放，符合国家相关政策，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numPr>
          <w:ilvl w:val="0"/>
          <w:numId w:val="1"/>
        </w:numPr>
        <w:spacing w:line="540" w:lineRule="exact"/>
        <w:ind w:left="942" w:leftChars="0" w:hanging="312"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项目过程情况</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p>
    <w:p>
      <w:pPr>
        <w:numPr>
          <w:ilvl w:val="0"/>
          <w:numId w:val="0"/>
        </w:numPr>
        <w:spacing w:line="540" w:lineRule="exact"/>
        <w:ind w:firstLine="624" w:firstLineChars="200"/>
        <w:rPr>
          <w:rFonts w:ascii="楷体" w:hAnsi="楷体" w:eastAsia="楷体"/>
          <w:b/>
          <w:spacing w:val="-4"/>
          <w:sz w:val="32"/>
          <w:szCs w:val="32"/>
        </w:rPr>
      </w:pPr>
      <w:r>
        <w:rPr>
          <w:rStyle w:val="18"/>
          <w:rFonts w:hint="eastAsia" w:ascii="楷体" w:hAnsi="楷体" w:eastAsia="楷体"/>
          <w:b w:val="0"/>
          <w:bCs w:val="0"/>
          <w:spacing w:val="-4"/>
          <w:sz w:val="32"/>
          <w:szCs w:val="32"/>
        </w:rPr>
        <w:t>资金到位率：该资金为年中追加，追加金额为50万，到位率为100%，该项目资金由财政拨付，在2022年4月18日到位，资金直接支付到残疾人个人。故资金到位率指标得分5分。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预算执行率：该预算为50万，执行率为100%，在2022年4月18日到位，资金直接支付到残疾人个人。故预算执行100%率得分为5分。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综上，该指标满分13分，得分13分。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管理制度健全性：水磨沟区残疾人联合会已制定相应的财务和业务管理制度，且制度合法、合规、完整，为项目顺利实施提供重要保障。故管理制度健全性得分为3分。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根据现场调研和资料抽查情况，水磨沟区残疾人联合会严格遵守相关法律法规和相关管理规定，项目调整及支出调整手续完备，整体管理合理有序，项目完成后，及时将会计凭证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综上，该指标满分7分，得分7分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numPr>
          <w:ilvl w:val="0"/>
          <w:numId w:val="1"/>
        </w:numPr>
        <w:spacing w:line="540" w:lineRule="exact"/>
        <w:ind w:left="942" w:leftChars="0" w:hanging="312"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项目产出情况</w:t>
      </w:r>
    </w:p>
    <w:p>
      <w:pPr>
        <w:numPr>
          <w:ilvl w:val="0"/>
          <w:numId w:val="0"/>
        </w:numPr>
        <w:spacing w:line="540" w:lineRule="exact"/>
        <w:ind w:left="107" w:leftChars="51" w:firstLine="483" w:firstLineChars="155"/>
        <w:rPr>
          <w:rFonts w:ascii="楷体" w:hAnsi="楷体" w:eastAsia="楷体"/>
          <w:b/>
          <w:spacing w:val="-4"/>
          <w:sz w:val="32"/>
          <w:szCs w:val="32"/>
        </w:rPr>
      </w:pPr>
      <w:r>
        <w:rPr>
          <w:rStyle w:val="18"/>
          <w:rFonts w:hint="eastAsia" w:ascii="楷体" w:hAnsi="楷体" w:eastAsia="楷体"/>
          <w:b w:val="0"/>
          <w:bCs w:val="0"/>
          <w:spacing w:val="-4"/>
          <w:sz w:val="32"/>
          <w:szCs w:val="32"/>
        </w:rPr>
        <w:t>项目产出指标由4个二级指标和6个三级指标构成，权重为40分，实际得分40分。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“城镇居家托养补助人数”的目标值是206个，2022年度我单位实际完成206人，使得残疾人满意度大幅上升，有效的改善了残疾人家庭情况，残疾人融入社会能力显著增强，该项指标赋分5分，得分5分，得分率100%</w:t>
      </w: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数量指标“农村居家托养补助人数”的目标值是6人，使得残疾人满意度大幅上升，有效的改善了残疾人家庭情况，残疾人融入社会能力显著增强，2022年度我单位实际完成6人。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该项指标下设2个三级指标，指标分值10分，评价得分10分，得分率100%。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发放补助及时性率：此项的目标值是100%，2022年度我单位，及时向主管单位和财政局申请相关款项，并于2022年4月18日将资金支付给残疾人个人。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发放补助及时性得分为10分。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完成及时性：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资金执行时间：2022年4月18日将资金支付给残疾人个人。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故完成及时性得分为10分。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城镇居家托养补助标准，城镇居家托养补助标准为600元/人/季度，残联严格按此标准执行，故得分为5分。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农村居家托养补助标准，农村居家托养补助标准为300元/人/季度，残联严格按此标准执行故得分为5分。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综上，该指标满分40分，得分40分。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numPr>
          <w:ilvl w:val="0"/>
          <w:numId w:val="1"/>
        </w:numPr>
        <w:spacing w:line="540" w:lineRule="exact"/>
        <w:ind w:left="0" w:leftChars="0" w:firstLine="628"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项目效益指标由1个二级指标和2个三级指标构成，权重</w:t>
      </w:r>
    </w:p>
    <w:p>
      <w:pPr>
        <w:numPr>
          <w:ilvl w:val="0"/>
          <w:numId w:val="0"/>
        </w:numPr>
        <w:spacing w:line="540" w:lineRule="exact"/>
        <w:ind w:left="628" w:left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为10分，实际得分10分。 </w:t>
      </w:r>
    </w:p>
    <w:p>
      <w:pPr>
        <w:numPr>
          <w:ilvl w:val="0"/>
          <w:numId w:val="2"/>
        </w:numPr>
        <w:tabs>
          <w:tab w:val="left" w:pos="220"/>
          <w:tab w:val="clear" w:pos="312"/>
        </w:tabs>
        <w:spacing w:line="540" w:lineRule="exact"/>
        <w:ind w:left="420" w:leftChars="200" w:firstLine="340" w:firstLineChars="109"/>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（1）实施效益</w:t>
      </w:r>
    </w:p>
    <w:p>
      <w:pPr>
        <w:numPr>
          <w:ilvl w:val="0"/>
          <w:numId w:val="0"/>
        </w:numPr>
        <w:spacing w:line="540" w:lineRule="exact"/>
        <w:ind w:left="0" w:leftChars="0" w:firstLine="652" w:firstLineChars="209"/>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社会效益指标：评价指标“提高残疾人及其家庭生活水平率”，指标值：提高残疾人及其家庭生活水平率》85%，实际完成值：100%。本项目的实施显著的提高残疾人及其家庭生活水平。通过设置问卷调查的方式进行考评评价，共计调查样本总量为20个样本，有效调查问卷20份。其中，水磨沟区残联在提高残疾人基本生活水平，保障残疾人权益方面的平均值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提高残疾人融入社会生活能力”，指标值：有效提高，实际完成值：完全达到预期效果。显著的提高了残疾人融入社会生活能力，通过设置问卷调查的方式进行考评评价，共计调查样本总量为20个样本，有效调查问卷20份。其中，受托残疾人及家庭满意度方面的平均值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综上，该指标满分10分，得分10分。</w:t>
      </w:r>
    </w:p>
    <w:p>
      <w:pPr>
        <w:spacing w:line="540" w:lineRule="exact"/>
        <w:ind w:firstLine="313" w:firstLineChars="100"/>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left="319" w:leftChars="152" w:firstLine="312" w:firstLine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（1）满意度指标</w:t>
      </w:r>
    </w:p>
    <w:p>
      <w:pPr>
        <w:spacing w:line="540" w:lineRule="exact"/>
        <w:ind w:firstLine="624" w:firstLineChars="200"/>
        <w:rPr>
          <w:rStyle w:val="18"/>
          <w:rFonts w:ascii="黑体" w:hAnsi="黑体" w:eastAsia="黑体"/>
          <w:b w:val="0"/>
          <w:spacing w:val="-4"/>
          <w:sz w:val="32"/>
          <w:szCs w:val="32"/>
        </w:rPr>
      </w:pPr>
      <w:r>
        <w:rPr>
          <w:rStyle w:val="18"/>
          <w:rFonts w:hint="eastAsia" w:ascii="楷体" w:hAnsi="楷体" w:eastAsia="楷体"/>
          <w:b w:val="0"/>
          <w:bCs w:val="0"/>
          <w:spacing w:val="-4"/>
          <w:sz w:val="32"/>
          <w:szCs w:val="32"/>
        </w:rPr>
        <w:t>群众满意度：评价指标“享受残疾人补助人员流意度”，指标值：≥90%，实际完成值：100%。通过设置问卷调查的方式进行考评评价，共计调查样本总量为20个样本，有效调查问卷20份。其中，统计“享受残疾人补助人员流意度”的平均值为100%。故满意度指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综上，该指标满分10分，得分10分。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本项目预算执行率为100%，指标总体完成率为100%，二者之间的偏差值为0%，小于20%，我单位预算资金已全部执行完毕，故不存在偏差，总体而言，该项目完全达到年度总体目标，财政资金的使用效益和效率较高。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624" w:firstLineChars="200"/>
        <w:rPr>
          <w:rFonts w:ascii="仿宋_GB2312" w:eastAsia="仿宋_GB2312"/>
          <w:spacing w:val="-4"/>
          <w:sz w:val="32"/>
          <w:szCs w:val="32"/>
        </w:rPr>
      </w:pPr>
      <w:r>
        <w:rPr>
          <w:rStyle w:val="18"/>
          <w:rFonts w:hint="eastAsia" w:ascii="楷体" w:hAnsi="楷体" w:eastAsia="楷体"/>
          <w:b w:val="0"/>
          <w:bCs w:val="0"/>
          <w:spacing w:val="-4"/>
          <w:sz w:val="32"/>
          <w:szCs w:val="32"/>
        </w:rPr>
        <w:t>加强项目绩效评价，促进资金的使用效率。在项目执行期间做好项目和资金的跟踪管理。在项目完成后对项目的制度保障、配套资金落实、支出的合法性和有效性以及项目实施所取得的绩效等情况进行专项检查或绩效评价。定期将资金使用情况及康复项显绩效评价结果向社会公开，接受社会监督，以促进资金的使用效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要更加完善资金审计制度，加强对资金的监督管理。对残疾人康复专项资金的审计形成一种更完善的方法和措施，避免资金有可能被滥用的风险。在残疾人康复资金的使用中应加强对资金的监管，完善资金审计制度使资金充分利用，防止谋求私利现象的发展，提高资金的使用效率。</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黑体" w:hAnsi="黑体" w:eastAsia="黑体"/>
          <w:b w:val="0"/>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黑体" w:hAnsi="黑体" w:eastAsia="黑体"/>
          <w:b w:val="0"/>
          <w:spacing w:val="-4"/>
          <w:sz w:val="32"/>
          <w:szCs w:val="32"/>
        </w:rPr>
        <w:t>八、其他需要说明的问题</w:t>
      </w:r>
    </w:p>
    <w:p>
      <w:pPr>
        <w:spacing w:line="540" w:lineRule="exact"/>
        <w:ind w:left="638" w:leftChars="304" w:firstLine="0" w:firstLineChars="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3.项目的</w:t>
      </w:r>
      <w:bookmarkStart w:id="0" w:name="_GoBack"/>
      <w:bookmarkEnd w:id="0"/>
      <w:r>
        <w:rPr>
          <w:rStyle w:val="18"/>
          <w:rFonts w:hint="eastAsia" w:ascii="楷体" w:hAnsi="楷体" w:eastAsia="楷体"/>
          <w:b w:val="0"/>
          <w:bCs w:val="0"/>
          <w:spacing w:val="-4"/>
          <w:sz w:val="32"/>
          <w:szCs w:val="32"/>
        </w:rPr>
        <w:t>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675F82"/>
    <w:multiLevelType w:val="singleLevel"/>
    <w:tmpl w:val="2B675F82"/>
    <w:lvl w:ilvl="0" w:tentative="0">
      <w:start w:val="1"/>
      <w:numFmt w:val="decimal"/>
      <w:lvlText w:val="%1."/>
      <w:lvlJc w:val="left"/>
      <w:pPr>
        <w:tabs>
          <w:tab w:val="left" w:pos="312"/>
        </w:tabs>
      </w:pPr>
    </w:lvl>
  </w:abstractNum>
  <w:abstractNum w:abstractNumId="1">
    <w:nsid w:val="5DF5B9C1"/>
    <w:multiLevelType w:val="singleLevel"/>
    <w:tmpl w:val="5DF5B9C1"/>
    <w:lvl w:ilvl="0" w:tentative="0">
      <w:start w:val="2"/>
      <w:numFmt w:val="chineseCounting"/>
      <w:suff w:val="nothing"/>
      <w:lvlText w:val="（%1）"/>
      <w:lvlJc w:val="left"/>
      <w:pPr>
        <w:ind w:left="31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172329E"/>
    <w:rsid w:val="07261865"/>
    <w:rsid w:val="07F653E6"/>
    <w:rsid w:val="0856517C"/>
    <w:rsid w:val="09DF7DFC"/>
    <w:rsid w:val="0A1C6F75"/>
    <w:rsid w:val="0AFD4198"/>
    <w:rsid w:val="0BFB189F"/>
    <w:rsid w:val="11BD75F7"/>
    <w:rsid w:val="13BE561A"/>
    <w:rsid w:val="144D0216"/>
    <w:rsid w:val="15392994"/>
    <w:rsid w:val="18FE139B"/>
    <w:rsid w:val="19317564"/>
    <w:rsid w:val="1A0C2B2D"/>
    <w:rsid w:val="213903EE"/>
    <w:rsid w:val="21885DAD"/>
    <w:rsid w:val="24772B89"/>
    <w:rsid w:val="2A891760"/>
    <w:rsid w:val="2C004074"/>
    <w:rsid w:val="2CAC5CD8"/>
    <w:rsid w:val="2E0325B8"/>
    <w:rsid w:val="2EE358EC"/>
    <w:rsid w:val="2F8A22DD"/>
    <w:rsid w:val="3029612C"/>
    <w:rsid w:val="30775CA5"/>
    <w:rsid w:val="32A221C5"/>
    <w:rsid w:val="33250AFA"/>
    <w:rsid w:val="33F20F2A"/>
    <w:rsid w:val="34C44675"/>
    <w:rsid w:val="374C5E34"/>
    <w:rsid w:val="3A5F3081"/>
    <w:rsid w:val="3B5B5607"/>
    <w:rsid w:val="3BAD35E4"/>
    <w:rsid w:val="3C630462"/>
    <w:rsid w:val="3CE21B3C"/>
    <w:rsid w:val="3D96092B"/>
    <w:rsid w:val="41A430A8"/>
    <w:rsid w:val="41D3277B"/>
    <w:rsid w:val="424157B9"/>
    <w:rsid w:val="42BF4527"/>
    <w:rsid w:val="4D2606A1"/>
    <w:rsid w:val="4ED63501"/>
    <w:rsid w:val="4F223C5C"/>
    <w:rsid w:val="51830480"/>
    <w:rsid w:val="522A1F3E"/>
    <w:rsid w:val="53A616BE"/>
    <w:rsid w:val="54662BFB"/>
    <w:rsid w:val="54825672"/>
    <w:rsid w:val="55AF7962"/>
    <w:rsid w:val="62051CA5"/>
    <w:rsid w:val="62457592"/>
    <w:rsid w:val="66F16792"/>
    <w:rsid w:val="696101FB"/>
    <w:rsid w:val="6AB01AE3"/>
    <w:rsid w:val="6C3A69EF"/>
    <w:rsid w:val="6DF14809"/>
    <w:rsid w:val="6F400BCF"/>
    <w:rsid w:val="74991368"/>
    <w:rsid w:val="75E025EE"/>
    <w:rsid w:val="775073D9"/>
    <w:rsid w:val="776121BD"/>
    <w:rsid w:val="7CF3074D"/>
    <w:rsid w:val="7D8C4866"/>
    <w:rsid w:val="7D9E4173"/>
    <w:rsid w:val="7DB12889"/>
    <w:rsid w:val="7E606334"/>
    <w:rsid w:val="7E6F0418"/>
    <w:rsid w:val="7FF32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6980</Words>
  <Characters>7294</Characters>
  <Lines>4</Lines>
  <Paragraphs>1</Paragraphs>
  <TotalTime>82</TotalTime>
  <ScaleCrop>false</ScaleCrop>
  <LinksUpToDate>false</LinksUpToDate>
  <CharactersWithSpaces>7487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2023-09-07T08:39:17Z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5B5636DF01BC4C54A9D0CA3911F295EB</vt:lpwstr>
  </property>
</Properties>
</file>