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bookmarkStart w:id="54" w:name="_GoBack"/>
      <w:bookmarkEnd w:id="54"/>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乌鲁木齐市水磨沟区卫生健康委员会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一）贯彻执行国家、自治区、乌鲁木齐市有关卫生健康工作的方针、政策和法律、法规及相关标准、技术规范、统筹规划全区卫生健康资源配置；拟订卫生健康事业发展规划和年度计划，并组织实施和监督检查；制定并组织实施推进卫生健康基本公共服务均等化、普惠化、便捷化和公共资源向基层延伸等政策措施。</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二）协调推进深化医药卫生体制改革，研究提出深化医药卫生体制改革重大方针、政策、措施的建议。组织深化公立医院综合改革，推进管办分离，健全现代化医院管理制度，制定并组织实施推动卫生健康公共服务提供主体多元化、提供方式多元化的政策措施，提出医疗服务和药品价格政策的建议。</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三）制定并组织落实全区疾病预防控制规划、免疫规划及严重危害人民健康的公共卫生问题的干预措施；执行国家检疫传染病和监测传染病目录；负责卫生应急工作，组织指导突发公共卫生事件的预防控制和各类突发公共卫生事件的医疗卫生救援。</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（四）组织协调落实应对人口老龄化政策措施，负责推进老年健康服务体系建设和医养结合工作。</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五）贯彻落实国家药物政策和国家基本药物制度；执行国家药品法典，提出基本药物价格政策的建议；监督指导全区医疗药品、医疗器械、疫苗的采购；指导药物临床应用及安全监管；组织开展食品安全风险监测评估。</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六）负责权限内的职业卫生、放射卫生、环境卫生、学校卫生、公共场所卫生、饮用水卫生等公共卫生和监督管理，负责传染病防治监督，健全卫生健康综合监督体系；落实《烟草控制框架公约》履约有关工作。</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七）承担全区医疗机构、医疗服务行业管理责任，建立医疗服务评价和监督管理体系；承担权限内卫生健康行政审批工作；会同有关部门实施卫生健康专业技术人员准入、资格标准；组织实施医疗服务规范、标准和卫生健康专业技术人员执业规则、服务规范。</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（八）负责计划生育管理和服务工作，开展人口监测预警，研究提出人口与家庭发展相关政策建议，完善和落实计划生育政策。</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（九）指导全区卫生健康工作，指导基层医疗卫生、妇幼健康服务体系和全科医生队伍建设；推进卫生健康科技创新发展。</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（十）负责重要会议与重要活动的医疗卫生保障工作。</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（十一）承担区老龄工作委员会的日常工作。</w:t>
      </w:r>
    </w:p>
    <w:p>
      <w:pPr>
        <w:shd w:val="clear" w:color="auto" w:fill="FFFFFF"/>
        <w:spacing w:beforeLines="0" w:afterLines="0" w:line="360" w:lineRule="auto"/>
        <w:ind w:firstLine="640"/>
        <w:rPr>
          <w:rFonts w:hint="eastAsia" w:ascii="仿宋_GB2312" w:hAnsi="仿宋_GB2312" w:eastAsia="仿宋_GB2312"/>
          <w:color w:val="000000"/>
          <w:kern w:val="0"/>
          <w:sz w:val="32"/>
          <w:highlight w:val="none"/>
          <w:lang w:val="en-US"/>
        </w:rPr>
      </w:pPr>
      <w:r>
        <w:rPr>
          <w:rFonts w:hint="eastAsia" w:ascii="仿宋_GB2312" w:hAnsi="仿宋_GB2312" w:eastAsia="仿宋_GB2312"/>
          <w:color w:val="000000"/>
          <w:kern w:val="0"/>
          <w:sz w:val="32"/>
          <w:highlight w:val="none"/>
          <w:lang w:val="en-US"/>
        </w:rPr>
        <w:t>（十二）承办区委、区人民政府交办的其他事项。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shd w:val="clear" w:color="auto" w:fill="FFFFFF"/>
        <w:spacing w:beforeLines="0" w:afterLines="0" w:line="360" w:lineRule="auto"/>
        <w:ind w:firstLine="640"/>
        <w:rPr>
          <w:rFonts w:hint="default" w:eastAsia="Times New Roman"/>
          <w:color w:val="000000"/>
          <w:kern w:val="0"/>
          <w:sz w:val="32"/>
          <w:highlight w:val="none"/>
          <w:lang w:val="en-US"/>
        </w:rPr>
      </w:pPr>
      <w:r>
        <w:rPr>
          <w:rFonts w:hint="eastAsia" w:ascii="仿宋_GB2312" w:hAnsi="仿宋_GB2312" w:eastAsia="仿宋_GB2312"/>
          <w:color w:val="000000"/>
          <w:kern w:val="0"/>
          <w:sz w:val="32"/>
          <w:highlight w:val="none"/>
          <w:lang w:val="en-US"/>
        </w:rPr>
        <w:t>乌鲁木齐市水磨沟区卫生健康委员会202</w:t>
      </w:r>
      <w:r>
        <w:rPr>
          <w:rFonts w:hint="eastAsia" w:ascii="仿宋_GB2312" w:hAnsi="仿宋_GB2312" w:eastAsia="仿宋_GB2312"/>
          <w:color w:val="000000"/>
          <w:kern w:val="0"/>
          <w:sz w:val="32"/>
          <w:highlight w:val="none"/>
          <w:lang w:val="en-US" w:eastAsia="zh-CN"/>
        </w:rPr>
        <w:t>2</w:t>
      </w:r>
      <w:r>
        <w:rPr>
          <w:rFonts w:hint="eastAsia" w:ascii="仿宋_GB2312" w:hAnsi="仿宋_GB2312" w:eastAsia="仿宋_GB2312"/>
          <w:color w:val="000000"/>
          <w:kern w:val="0"/>
          <w:sz w:val="32"/>
          <w:highlight w:val="none"/>
          <w:lang w:val="en-US"/>
        </w:rPr>
        <w:t>年度，实有人数</w:t>
      </w:r>
      <w:r>
        <w:rPr>
          <w:rFonts w:hint="eastAsia" w:ascii="仿宋_GB2312" w:hAnsi="仿宋_GB2312" w:eastAsia="仿宋_GB2312"/>
          <w:color w:val="000000"/>
          <w:kern w:val="0"/>
          <w:sz w:val="32"/>
          <w:highlight w:val="none"/>
          <w:lang w:val="en-US" w:eastAsia="zh-CN"/>
        </w:rPr>
        <w:t>23</w:t>
      </w:r>
      <w:r>
        <w:rPr>
          <w:rFonts w:hint="eastAsia" w:ascii="仿宋_GB2312" w:hAnsi="仿宋_GB2312" w:eastAsia="仿宋_GB2312"/>
          <w:color w:val="000000"/>
          <w:kern w:val="0"/>
          <w:sz w:val="32"/>
          <w:highlight w:val="none"/>
          <w:lang w:val="en-US"/>
        </w:rPr>
        <w:t>人，其中：在职人员2</w:t>
      </w:r>
      <w:r>
        <w:rPr>
          <w:rFonts w:hint="eastAsia" w:ascii="仿宋_GB2312" w:hAnsi="仿宋_GB2312" w:eastAsia="仿宋_GB2312"/>
          <w:color w:val="000000"/>
          <w:kern w:val="0"/>
          <w:sz w:val="32"/>
          <w:highlight w:val="none"/>
          <w:lang w:val="en-US" w:eastAsia="zh-CN"/>
        </w:rPr>
        <w:t>0</w:t>
      </w:r>
      <w:r>
        <w:rPr>
          <w:rFonts w:hint="eastAsia" w:ascii="仿宋_GB2312" w:hAnsi="仿宋_GB2312" w:eastAsia="仿宋_GB2312"/>
          <w:color w:val="000000"/>
          <w:kern w:val="0"/>
          <w:sz w:val="32"/>
          <w:highlight w:val="none"/>
          <w:lang w:val="en-US"/>
        </w:rPr>
        <w:t>人，离休人员0人，退休人员</w:t>
      </w:r>
      <w:r>
        <w:rPr>
          <w:rFonts w:hint="eastAsia" w:ascii="仿宋_GB2312" w:hAnsi="仿宋_GB2312" w:eastAsia="仿宋_GB2312"/>
          <w:color w:val="000000"/>
          <w:kern w:val="0"/>
          <w:sz w:val="32"/>
          <w:highlight w:val="none"/>
          <w:lang w:val="en-US" w:eastAsia="zh-CN"/>
        </w:rPr>
        <w:t>3</w:t>
      </w:r>
      <w:r>
        <w:rPr>
          <w:rFonts w:hint="eastAsia" w:ascii="仿宋_GB2312" w:hAnsi="仿宋_GB2312" w:eastAsia="仿宋_GB2312"/>
          <w:color w:val="000000"/>
          <w:kern w:val="0"/>
          <w:sz w:val="32"/>
          <w:highlight w:val="none"/>
          <w:lang w:val="en-US"/>
        </w:rPr>
        <w:t>人。</w:t>
      </w:r>
    </w:p>
    <w:p>
      <w:pPr>
        <w:shd w:val="clear" w:color="auto" w:fill="FFFFFF"/>
        <w:autoSpaceDE w:val="0"/>
        <w:autoSpaceDN w:val="0"/>
        <w:adjustRightInd w:val="0"/>
        <w:spacing w:before="100" w:beforeLines="0" w:afterLines="0" w:line="360" w:lineRule="auto"/>
        <w:ind w:firstLine="482"/>
        <w:rPr>
          <w:rFonts w:hint="default" w:eastAsia="仿宋_GB2312"/>
          <w:kern w:val="0"/>
          <w:sz w:val="28"/>
          <w:highlight w:val="white"/>
          <w:lang w:val="zh-CN"/>
        </w:rPr>
      </w:pPr>
      <w:r>
        <w:rPr>
          <w:rFonts w:hint="eastAsia" w:ascii="仿宋_GB2312" w:hAnsi="仿宋_GB2312" w:eastAsia="仿宋_GB2312"/>
          <w:kern w:val="0"/>
          <w:sz w:val="32"/>
          <w:lang w:val="en-US"/>
        </w:rPr>
        <w:t>从部门决算单位构成看，乌鲁木齐市水磨沟区卫生健康委员会部门决算包括：乌鲁木齐市水磨沟区卫生健康委员会</w:t>
      </w:r>
      <w:r>
        <w:rPr>
          <w:rFonts w:hint="eastAsia" w:ascii="仿宋_GB2312" w:hAnsi="仿宋_GB2312" w:eastAsia="仿宋_GB2312"/>
          <w:kern w:val="0"/>
          <w:sz w:val="32"/>
          <w:lang w:val="zh-CN"/>
        </w:rPr>
        <w:t>决算。单位无下属预算单位，下设</w:t>
      </w:r>
      <w:r>
        <w:rPr>
          <w:rFonts w:hint="eastAsia" w:ascii="仿宋_GB2312" w:hAnsi="仿宋_GB2312" w:eastAsia="仿宋_GB2312"/>
          <w:kern w:val="0"/>
          <w:sz w:val="32"/>
          <w:lang w:val="en-US" w:eastAsia="zh-CN"/>
        </w:rPr>
        <w:t>2</w:t>
      </w:r>
      <w:r>
        <w:rPr>
          <w:rFonts w:hint="eastAsia" w:ascii="仿宋_GB2312" w:hAnsi="仿宋_GB2312" w:eastAsia="仿宋_GB2312"/>
          <w:kern w:val="0"/>
          <w:sz w:val="32"/>
          <w:lang w:val="zh-CN"/>
        </w:rPr>
        <w:t>个科室，分别是</w:t>
      </w:r>
      <w:r>
        <w:rPr>
          <w:rFonts w:hint="eastAsia" w:ascii="仿宋_GB2312" w:hAnsi="仿宋_GB2312" w:eastAsia="仿宋_GB2312"/>
          <w:kern w:val="0"/>
          <w:sz w:val="32"/>
          <w:highlight w:val="white"/>
          <w:lang w:val="zh-CN"/>
        </w:rPr>
        <w:t>：</w:t>
      </w:r>
      <w:r>
        <w:rPr>
          <w:rFonts w:hint="eastAsia" w:ascii="仿宋_GB2312" w:eastAsia="仿宋_GB2312"/>
          <w:kern w:val="0"/>
          <w:sz w:val="32"/>
          <w:highlight w:val="white"/>
          <w:lang w:val="zh-CN"/>
        </w:rPr>
        <w:t>水磨沟区妇幼保健服务中心和水磨沟区社区卫生服务业务指导中心。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bookmarkStart w:id="6" w:name="_Toc29374"/>
      <w:bookmarkStart w:id="7" w:name="_Toc309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19968.68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其中：本年收入合计19630.01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338.66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4736.39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19.17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较上年度减少专项债工程经费收入11000万元，减少其他城乡社区支出收入503.36万元，减少公共卫生其他项目收入768.16万元。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总计19968.68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其中：本年支出合计19536.91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431.76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4736.39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19.17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：较上年度减少专项债工程经费支出11000万元，减少其他城乡社区支出503.36万元，减少公共卫生其他项目支出770.72万元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19630.01</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19013.30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96.86</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616.71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3.14</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19536.91</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383.67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1.96</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19153.24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98.04</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总计19292.33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其中：年初财政拨款结转和结余279.03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财政拨款本年收入19013.3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5310.14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21.58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较上年度减少专项债工程经费收入11000万元，减少其他城乡社区支出收入503.36万元，减少公共卫生其他项目收入768.16万元。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总计19292.33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其中：年末财政拨款结转和结余74.82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财政拨款本年支出19217.51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5310.14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21.58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：较上年度减少专项债工程经费支出11000万元，减少其他城乡社区支出503.36万元，减少公共卫生其他项目支出770.72万元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8199.95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19292.33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135.27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主要原因是：增加了上级防控补助资金，基本公共卫生服务补助资金和计划生育奖扶资金收入</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8199.95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19217.51</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134.36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主要原因是：增加了上级防控补助资金，基本公共卫生服务补助资金和计划生育奖扶资金支出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15217.51</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77.89</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与上年相比，增加</w:t>
      </w:r>
      <w:r>
        <w:rPr>
          <w:rFonts w:hint="eastAsia" w:ascii="仿宋_GB2312" w:eastAsia="仿宋_GB2312"/>
          <w:spacing w:val="0"/>
          <w:sz w:val="32"/>
          <w:szCs w:val="32"/>
          <w:highlight w:val="none"/>
          <w:lang w:val="en-US" w:eastAsia="zh-CN"/>
        </w:rPr>
        <w:t>5894.07</w:t>
      </w:r>
      <w:r>
        <w:rPr>
          <w:rFonts w:hint="eastAsia" w:ascii="仿宋_GB2312" w:eastAsia="仿宋_GB2312"/>
          <w:spacing w:val="0"/>
          <w:sz w:val="32"/>
          <w:szCs w:val="32"/>
          <w:highlight w:val="none"/>
        </w:rPr>
        <w:t>万元，增长</w:t>
      </w:r>
      <w:r>
        <w:rPr>
          <w:rFonts w:hint="eastAsia" w:ascii="仿宋_GB2312" w:eastAsia="仿宋_GB2312"/>
          <w:spacing w:val="0"/>
          <w:sz w:val="32"/>
          <w:szCs w:val="32"/>
          <w:highlight w:val="none"/>
          <w:lang w:val="en-US" w:eastAsia="zh-CN"/>
        </w:rPr>
        <w:t>63.22</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eastAsia="zh-CN"/>
        </w:rPr>
        <w:t>增加了</w:t>
      </w:r>
      <w:r>
        <w:rPr>
          <w:rFonts w:hint="eastAsia" w:ascii="仿宋_GB2312" w:eastAsia="仿宋_GB2312"/>
          <w:sz w:val="32"/>
          <w:szCs w:val="32"/>
          <w:highlight w:val="none"/>
          <w:lang w:eastAsia="zh-CN"/>
        </w:rPr>
        <w:t>基本公共卫生服务补助资金和计划生育奖扶资金支出</w:t>
      </w:r>
      <w:r>
        <w:rPr>
          <w:rFonts w:hint="eastAsia" w:ascii="仿宋_GB2312" w:eastAsia="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2"/>
        <w:rPr>
          <w:rFonts w:hint="eastAsia" w:ascii="仿宋_GB2312" w:eastAsia="仿宋_GB2312"/>
          <w:spacing w:val="0"/>
          <w:sz w:val="32"/>
          <w:szCs w:val="32"/>
          <w:highlight w:val="none"/>
          <w:lang w:val="en-US" w:eastAsia="zh-CN"/>
        </w:rPr>
      </w:pPr>
      <w:r>
        <w:rPr>
          <w:rFonts w:hint="eastAsia" w:ascii="黑体" w:hAnsi="黑体" w:eastAsia="黑体"/>
          <w:sz w:val="32"/>
          <w:szCs w:val="32"/>
          <w:highlight w:val="none"/>
          <w:lang w:val="en-US" w:eastAsia="zh-CN"/>
        </w:rPr>
        <w:t xml:space="preserve">   </w:t>
      </w:r>
      <w:r>
        <w:rPr>
          <w:rFonts w:hint="eastAsia" w:ascii="仿宋_GB2312" w:eastAsia="仿宋_GB2312"/>
          <w:spacing w:val="0"/>
          <w:sz w:val="32"/>
          <w:szCs w:val="32"/>
          <w:highlight w:val="none"/>
          <w:lang w:val="en-US" w:eastAsia="zh-CN"/>
        </w:rPr>
        <w:t xml:space="preserve">  1.208社会保障和就业支出41.16万元，占比0.27%；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2"/>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 xml:space="preserve">     2.210卫生健康支出15169.14万元，占比99.68%；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2"/>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 xml:space="preserve">     3.229其他支出7.22万元，占比0.05%。</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一般公共预算财政拨款支出决算具体情况</w:t>
      </w:r>
    </w:p>
    <w:p>
      <w:pPr>
        <w:autoSpaceDE w:val="0"/>
        <w:autoSpaceDN w:val="0"/>
        <w:adjustRightInd w:val="0"/>
        <w:spacing w:beforeLines="0" w:afterLines="0" w:line="360" w:lineRule="auto"/>
        <w:ind w:firstLine="640"/>
        <w:rPr>
          <w:rFonts w:hint="default" w:ascii="仿宋_GB2312" w:eastAsia="仿宋_GB2312"/>
          <w:kern w:val="0"/>
          <w:sz w:val="32"/>
          <w:lang w:val="en-US" w:eastAsia="zh-CN"/>
        </w:rPr>
      </w:pPr>
      <w:r>
        <w:rPr>
          <w:rFonts w:hint="eastAsia" w:ascii="黑体" w:hAnsi="黑体" w:eastAsia="黑体"/>
          <w:sz w:val="32"/>
          <w:szCs w:val="32"/>
          <w:highlight w:val="none"/>
          <w:lang w:val="en-US" w:eastAsia="zh-CN"/>
        </w:rPr>
        <w:t xml:space="preserve">  </w:t>
      </w:r>
      <w:r>
        <w:rPr>
          <w:rFonts w:hint="eastAsia" w:ascii="仿宋_GB2312" w:eastAsia="仿宋_GB2312"/>
          <w:kern w:val="0"/>
          <w:sz w:val="32"/>
          <w:highlight w:val="none"/>
          <w:lang w:val="en-US" w:eastAsia="zh-CN"/>
        </w:rPr>
        <w:t>1</w:t>
      </w:r>
      <w:r>
        <w:rPr>
          <w:rFonts w:hint="eastAsia" w:ascii="仿宋_GB2312" w:eastAsia="仿宋_GB2312"/>
          <w:kern w:val="0"/>
          <w:sz w:val="32"/>
          <w:lang w:val="en-US" w:eastAsia="zh-CN"/>
        </w:rPr>
        <w:t>.</w:t>
      </w:r>
      <w:r>
        <w:rPr>
          <w:rFonts w:hint="eastAsia" w:ascii="仿宋_GB2312" w:eastAsia="仿宋_GB2312"/>
          <w:kern w:val="0"/>
          <w:sz w:val="32"/>
        </w:rPr>
        <w:t>2080208基层政权建设和社区治理</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17.06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31.98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65.21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将临聘人员经费剔除。</w:t>
      </w:r>
      <w:r>
        <w:rPr>
          <w:rFonts w:hint="eastAsia" w:ascii="仿宋_GB2312" w:hAnsi="仿宋_GB2312" w:eastAsia="仿宋_GB2312" w:cs="仿宋_GB2312"/>
          <w:kern w:val="0"/>
          <w:sz w:val="32"/>
          <w:szCs w:val="32"/>
          <w:highlight w:val="none"/>
        </w:rPr>
        <w:t xml:space="preserve"> </w:t>
      </w:r>
    </w:p>
    <w:p>
      <w:pPr>
        <w:autoSpaceDE w:val="0"/>
        <w:autoSpaceDN w:val="0"/>
        <w:adjustRightInd w:val="0"/>
        <w:spacing w:beforeLines="0" w:afterLines="0" w:line="360" w:lineRule="auto"/>
        <w:ind w:firstLine="960" w:firstLineChars="300"/>
        <w:rPr>
          <w:rFonts w:hint="default" w:ascii="仿宋_GB2312" w:eastAsia="仿宋_GB2312"/>
          <w:kern w:val="0"/>
          <w:sz w:val="32"/>
          <w:lang w:val="en-US" w:eastAsia="zh-CN"/>
        </w:rPr>
      </w:pPr>
      <w:r>
        <w:rPr>
          <w:rFonts w:hint="eastAsia" w:ascii="仿宋_GB2312" w:eastAsia="仿宋_GB2312"/>
          <w:kern w:val="0"/>
          <w:sz w:val="32"/>
          <w:lang w:val="en-US" w:eastAsia="zh-CN"/>
        </w:rPr>
        <w:t>2.2080501行政单位离退休：</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kern w:val="0"/>
          <w:sz w:val="32"/>
          <w:lang w:val="en-US" w:eastAsia="zh-CN"/>
        </w:rPr>
        <w:t>0.23万元，</w:t>
      </w:r>
      <w:r>
        <w:rPr>
          <w:rFonts w:hint="eastAsia" w:ascii="仿宋_GB2312" w:eastAsia="仿宋_GB2312"/>
          <w:kern w:val="0"/>
          <w:sz w:val="32"/>
          <w:highlight w:val="none"/>
          <w:lang w:val="en-US" w:eastAsia="zh-CN"/>
        </w:rPr>
        <w:t>上年无行政单位离退休。</w:t>
      </w:r>
    </w:p>
    <w:p>
      <w:pPr>
        <w:autoSpaceDE w:val="0"/>
        <w:autoSpaceDN w:val="0"/>
        <w:adjustRightInd w:val="0"/>
        <w:spacing w:beforeLines="0" w:afterLines="0" w:line="360" w:lineRule="auto"/>
        <w:ind w:firstLine="960" w:firstLineChars="300"/>
        <w:rPr>
          <w:rFonts w:hint="default" w:ascii="仿宋_GB2312" w:eastAsia="仿宋_GB2312"/>
          <w:kern w:val="0"/>
          <w:sz w:val="32"/>
          <w:lang w:val="en-US" w:eastAsia="zh-CN"/>
        </w:rPr>
      </w:pPr>
      <w:r>
        <w:rPr>
          <w:rFonts w:hint="eastAsia" w:ascii="仿宋_GB2312" w:eastAsia="仿宋_GB2312"/>
          <w:kern w:val="0"/>
          <w:sz w:val="32"/>
          <w:lang w:val="en-US" w:eastAsia="zh-CN"/>
        </w:rPr>
        <w:t>3.</w:t>
      </w:r>
      <w:r>
        <w:rPr>
          <w:rFonts w:hint="eastAsia" w:ascii="仿宋_GB2312" w:eastAsia="仿宋_GB2312"/>
          <w:kern w:val="0"/>
          <w:sz w:val="32"/>
        </w:rPr>
        <w:t>2080505机关事业单位基本养老保险缴费支出</w:t>
      </w:r>
      <w:r>
        <w:rPr>
          <w:rFonts w:hint="eastAsia" w:ascii="仿宋_GB2312" w:eastAsia="仿宋_GB2312"/>
          <w:kern w:val="0"/>
          <w:sz w:val="32"/>
          <w:lang w:eastAsia="zh-CN"/>
        </w:rPr>
        <w:t>：决算数为</w:t>
      </w:r>
      <w:r>
        <w:rPr>
          <w:rFonts w:hint="eastAsia" w:ascii="仿宋_GB2312" w:eastAsia="仿宋_GB2312"/>
          <w:kern w:val="0"/>
          <w:sz w:val="32"/>
          <w:lang w:val="en-US" w:eastAsia="zh-CN"/>
        </w:rPr>
        <w:t>23.88</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1.23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5.43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养老缴费基数上调。</w:t>
      </w:r>
      <w:r>
        <w:rPr>
          <w:rFonts w:hint="eastAsia" w:ascii="仿宋_GB2312" w:hAnsi="仿宋_GB2312" w:eastAsia="仿宋_GB2312" w:cs="仿宋_GB2312"/>
          <w:kern w:val="0"/>
          <w:sz w:val="32"/>
          <w:szCs w:val="32"/>
          <w:highlight w:val="none"/>
        </w:rPr>
        <w:t xml:space="preserve"> </w:t>
      </w:r>
    </w:p>
    <w:p>
      <w:pPr>
        <w:autoSpaceDE w:val="0"/>
        <w:autoSpaceDN w:val="0"/>
        <w:adjustRightInd w:val="0"/>
        <w:spacing w:beforeLines="0" w:afterLines="0" w:line="360" w:lineRule="auto"/>
        <w:ind w:firstLine="960" w:firstLineChars="300"/>
        <w:rPr>
          <w:rFonts w:hint="default" w:ascii="仿宋_GB2312" w:eastAsia="仿宋_GB2312"/>
          <w:kern w:val="0"/>
          <w:sz w:val="32"/>
          <w:lang w:val="en-US" w:eastAsia="zh-CN"/>
        </w:rPr>
      </w:pPr>
      <w:r>
        <w:rPr>
          <w:rFonts w:hint="eastAsia" w:ascii="仿宋_GB2312" w:eastAsia="仿宋_GB2312"/>
          <w:kern w:val="0"/>
          <w:sz w:val="32"/>
          <w:lang w:val="en-US" w:eastAsia="zh-CN"/>
        </w:rPr>
        <w:t>4.</w:t>
      </w:r>
      <w:r>
        <w:rPr>
          <w:rFonts w:hint="eastAsia" w:ascii="仿宋_GB2312" w:eastAsia="仿宋_GB2312"/>
          <w:kern w:val="0"/>
          <w:sz w:val="32"/>
        </w:rPr>
        <w:t>2100101行政运行</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157.85</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65.42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29.3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减少委托业务费</w:t>
      </w:r>
      <w:r>
        <w:rPr>
          <w:rFonts w:hint="eastAsia" w:ascii="仿宋_GB2312" w:hAnsi="仿宋_GB2312" w:eastAsia="仿宋_GB2312" w:cs="仿宋_GB2312"/>
          <w:kern w:val="0"/>
          <w:sz w:val="32"/>
          <w:szCs w:val="32"/>
          <w:highlight w:val="none"/>
          <w:lang w:val="en-US" w:eastAsia="zh-CN"/>
        </w:rPr>
        <w:t>82万元。</w:t>
      </w:r>
      <w:r>
        <w:rPr>
          <w:rFonts w:hint="eastAsia" w:ascii="仿宋_GB2312" w:hAnsi="仿宋_GB2312" w:eastAsia="仿宋_GB2312" w:cs="仿宋_GB2312"/>
          <w:kern w:val="0"/>
          <w:sz w:val="32"/>
          <w:szCs w:val="32"/>
          <w:highlight w:val="none"/>
        </w:rPr>
        <w:t xml:space="preserve"> </w:t>
      </w:r>
    </w:p>
    <w:p>
      <w:pPr>
        <w:autoSpaceDE w:val="0"/>
        <w:autoSpaceDN w:val="0"/>
        <w:adjustRightInd w:val="0"/>
        <w:spacing w:beforeLines="0" w:afterLines="0" w:line="360" w:lineRule="auto"/>
        <w:ind w:firstLine="960" w:firstLineChars="300"/>
        <w:rPr>
          <w:rFonts w:hint="eastAsia" w:ascii="仿宋_GB2312" w:eastAsia="仿宋_GB2312"/>
          <w:kern w:val="0"/>
          <w:sz w:val="32"/>
          <w:lang w:eastAsia="zh-CN"/>
        </w:rPr>
      </w:pPr>
      <w:r>
        <w:rPr>
          <w:rFonts w:hint="eastAsia" w:ascii="仿宋_GB2312" w:eastAsia="仿宋_GB2312"/>
          <w:kern w:val="0"/>
          <w:sz w:val="32"/>
          <w:lang w:val="en-US" w:eastAsia="zh-CN"/>
        </w:rPr>
        <w:t>5.</w:t>
      </w:r>
      <w:r>
        <w:rPr>
          <w:rFonts w:hint="eastAsia" w:ascii="仿宋_GB2312" w:eastAsia="仿宋_GB2312"/>
          <w:kern w:val="0"/>
          <w:sz w:val="32"/>
        </w:rPr>
        <w:t>2100103机关服务</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201.41</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6.85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3.29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减少了对个人和家庭的补助。</w:t>
      </w:r>
    </w:p>
    <w:p>
      <w:pPr>
        <w:autoSpaceDE w:val="0"/>
        <w:autoSpaceDN w:val="0"/>
        <w:adjustRightInd w:val="0"/>
        <w:spacing w:beforeLines="0" w:afterLines="0" w:line="360" w:lineRule="auto"/>
        <w:ind w:firstLine="960" w:firstLineChars="300"/>
        <w:rPr>
          <w:rFonts w:hint="default" w:ascii="仿宋_GB2312" w:eastAsia="仿宋_GB2312"/>
          <w:kern w:val="0"/>
          <w:sz w:val="32"/>
          <w:lang w:val="en-US" w:eastAsia="zh-CN"/>
        </w:rPr>
      </w:pPr>
      <w:r>
        <w:rPr>
          <w:rFonts w:hint="eastAsia" w:ascii="仿宋_GB2312" w:eastAsia="仿宋_GB2312"/>
          <w:kern w:val="0"/>
          <w:sz w:val="32"/>
          <w:lang w:val="en-US" w:eastAsia="zh-CN"/>
        </w:rPr>
        <w:t>6.</w:t>
      </w:r>
      <w:r>
        <w:rPr>
          <w:rFonts w:hint="eastAsia" w:ascii="仿宋_GB2312" w:eastAsia="仿宋_GB2312"/>
          <w:kern w:val="0"/>
          <w:sz w:val="32"/>
        </w:rPr>
        <w:t>2100399其他基层医疗卫生机构支出</w:t>
      </w:r>
      <w:r>
        <w:rPr>
          <w:rFonts w:hint="eastAsia" w:ascii="仿宋_GB2312" w:eastAsia="仿宋_GB2312"/>
          <w:kern w:val="0"/>
          <w:sz w:val="32"/>
          <w:lang w:eastAsia="zh-CN"/>
        </w:rPr>
        <w:t>：决算数为</w:t>
      </w:r>
      <w:r>
        <w:rPr>
          <w:rFonts w:hint="eastAsia" w:ascii="仿宋_GB2312" w:eastAsia="仿宋_GB2312"/>
          <w:kern w:val="0"/>
          <w:sz w:val="32"/>
          <w:lang w:val="en-US" w:eastAsia="zh-CN"/>
        </w:rPr>
        <w:t>274.33</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145.3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112.61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增加了基本药物的补助。</w:t>
      </w:r>
      <w:r>
        <w:rPr>
          <w:rFonts w:hint="eastAsia" w:ascii="仿宋_GB2312" w:hAnsi="仿宋_GB2312" w:eastAsia="仿宋_GB2312" w:cs="仿宋_GB2312"/>
          <w:kern w:val="0"/>
          <w:sz w:val="32"/>
          <w:szCs w:val="32"/>
          <w:highlight w:val="none"/>
        </w:rPr>
        <w:t xml:space="preserve"> </w:t>
      </w:r>
    </w:p>
    <w:p>
      <w:pPr>
        <w:autoSpaceDE w:val="0"/>
        <w:autoSpaceDN w:val="0"/>
        <w:adjustRightInd w:val="0"/>
        <w:spacing w:beforeLines="0" w:afterLines="0" w:line="360" w:lineRule="auto"/>
        <w:ind w:firstLine="960" w:firstLineChars="300"/>
        <w:rPr>
          <w:rFonts w:hint="eastAsia" w:ascii="仿宋_GB2312" w:eastAsia="仿宋_GB2312"/>
          <w:kern w:val="0"/>
          <w:sz w:val="32"/>
          <w:lang w:eastAsia="zh-CN"/>
        </w:rPr>
      </w:pPr>
      <w:r>
        <w:rPr>
          <w:rFonts w:hint="eastAsia" w:ascii="仿宋_GB2312" w:eastAsia="仿宋_GB2312"/>
          <w:kern w:val="0"/>
          <w:sz w:val="32"/>
          <w:lang w:val="en-US" w:eastAsia="zh-CN"/>
        </w:rPr>
        <w:t>7.</w:t>
      </w:r>
      <w:r>
        <w:rPr>
          <w:rFonts w:hint="eastAsia" w:ascii="仿宋_GB2312" w:eastAsia="仿宋_GB2312"/>
          <w:kern w:val="0"/>
          <w:sz w:val="32"/>
        </w:rPr>
        <w:t>2100408基本公共卫生服务</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1766.73</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225.83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11.33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减少了基本公共卫生服务补助资金。</w:t>
      </w:r>
    </w:p>
    <w:p>
      <w:pPr>
        <w:autoSpaceDE w:val="0"/>
        <w:autoSpaceDN w:val="0"/>
        <w:adjustRightInd w:val="0"/>
        <w:spacing w:beforeLines="0" w:afterLines="0" w:line="360" w:lineRule="auto"/>
        <w:ind w:firstLine="960" w:firstLineChars="300"/>
        <w:rPr>
          <w:rFonts w:hint="eastAsia" w:ascii="仿宋_GB2312" w:eastAsia="仿宋_GB2312"/>
          <w:kern w:val="0"/>
          <w:sz w:val="32"/>
        </w:rPr>
      </w:pPr>
      <w:r>
        <w:rPr>
          <w:rFonts w:hint="eastAsia" w:ascii="仿宋_GB2312" w:eastAsia="仿宋_GB2312"/>
          <w:kern w:val="0"/>
          <w:sz w:val="32"/>
          <w:lang w:val="en-US" w:eastAsia="zh-CN"/>
        </w:rPr>
        <w:t>8.</w:t>
      </w:r>
      <w:r>
        <w:rPr>
          <w:rFonts w:hint="eastAsia" w:ascii="仿宋_GB2312" w:eastAsia="仿宋_GB2312"/>
          <w:kern w:val="0"/>
          <w:sz w:val="32"/>
        </w:rPr>
        <w:t>2100409重大公共卫生服务</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1</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147.48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99.33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减少了重大传染病经费的支付。</w:t>
      </w:r>
    </w:p>
    <w:p>
      <w:pPr>
        <w:autoSpaceDE w:val="0"/>
        <w:autoSpaceDN w:val="0"/>
        <w:adjustRightInd w:val="0"/>
        <w:spacing w:beforeLines="0" w:afterLines="0" w:line="360" w:lineRule="auto"/>
        <w:ind w:firstLine="960" w:firstLineChars="300"/>
        <w:rPr>
          <w:rFonts w:hint="eastAsia" w:ascii="仿宋_GB2312" w:eastAsia="仿宋_GB2312"/>
          <w:kern w:val="0"/>
          <w:sz w:val="32"/>
        </w:rPr>
      </w:pPr>
      <w:r>
        <w:rPr>
          <w:rFonts w:hint="eastAsia" w:ascii="仿宋_GB2312" w:eastAsia="仿宋_GB2312"/>
          <w:kern w:val="0"/>
          <w:sz w:val="32"/>
          <w:lang w:val="en-US" w:eastAsia="zh-CN"/>
        </w:rPr>
        <w:t>9.</w:t>
      </w:r>
      <w:r>
        <w:rPr>
          <w:rFonts w:hint="eastAsia" w:ascii="仿宋_GB2312" w:eastAsia="仿宋_GB2312"/>
          <w:kern w:val="0"/>
          <w:sz w:val="32"/>
        </w:rPr>
        <w:t>2100410突发公共卫生事件应急处理</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12021.37</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7414.73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160.96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增加了上级</w:t>
      </w:r>
      <w:r>
        <w:rPr>
          <w:rFonts w:hint="eastAsia" w:ascii="仿宋_GB2312" w:hAnsi="仿宋_GB2312" w:eastAsia="仿宋_GB2312" w:cs="仿宋_GB2312"/>
          <w:kern w:val="0"/>
          <w:sz w:val="32"/>
          <w:szCs w:val="32"/>
          <w:highlight w:val="none"/>
          <w:lang w:val="en-US" w:eastAsia="zh-CN"/>
        </w:rPr>
        <w:t>防控</w:t>
      </w:r>
      <w:r>
        <w:rPr>
          <w:rFonts w:hint="eastAsia" w:ascii="仿宋_GB2312" w:hAnsi="仿宋_GB2312" w:eastAsia="仿宋_GB2312" w:cs="仿宋_GB2312"/>
          <w:kern w:val="0"/>
          <w:sz w:val="32"/>
          <w:szCs w:val="32"/>
          <w:highlight w:val="none"/>
          <w:lang w:eastAsia="zh-CN"/>
        </w:rPr>
        <w:t>资金支付。</w:t>
      </w:r>
    </w:p>
    <w:p>
      <w:pPr>
        <w:autoSpaceDE w:val="0"/>
        <w:autoSpaceDN w:val="0"/>
        <w:adjustRightInd w:val="0"/>
        <w:spacing w:beforeLines="0" w:afterLines="0" w:line="360" w:lineRule="auto"/>
        <w:ind w:firstLine="960" w:firstLineChars="300"/>
        <w:rPr>
          <w:rFonts w:hint="eastAsia" w:ascii="仿宋_GB2312" w:eastAsia="仿宋_GB2312"/>
          <w:kern w:val="0"/>
          <w:sz w:val="32"/>
        </w:rPr>
      </w:pPr>
      <w:r>
        <w:rPr>
          <w:rFonts w:hint="eastAsia" w:ascii="仿宋_GB2312" w:eastAsia="仿宋_GB2312"/>
          <w:kern w:val="0"/>
          <w:sz w:val="32"/>
          <w:lang w:val="en-US" w:eastAsia="zh-CN"/>
        </w:rPr>
        <w:t>10.</w:t>
      </w:r>
      <w:r>
        <w:rPr>
          <w:rFonts w:hint="eastAsia" w:ascii="仿宋_GB2312" w:eastAsia="仿宋_GB2312"/>
          <w:kern w:val="0"/>
          <w:sz w:val="32"/>
        </w:rPr>
        <w:t>2100601中医（民族医）药专项</w:t>
      </w:r>
      <w:r>
        <w:rPr>
          <w:rFonts w:hint="eastAsia" w:ascii="仿宋_GB2312" w:eastAsia="仿宋_GB2312"/>
          <w:kern w:val="0"/>
          <w:sz w:val="32"/>
          <w:lang w:eastAsia="zh-CN"/>
        </w:rPr>
        <w:t>：支出决算数为</w:t>
      </w:r>
      <w:r>
        <w:rPr>
          <w:rFonts w:hint="eastAsia" w:ascii="仿宋_GB2312" w:eastAsia="仿宋_GB2312"/>
          <w:kern w:val="0"/>
          <w:sz w:val="32"/>
          <w:lang w:val="en-US" w:eastAsia="zh-CN"/>
        </w:rPr>
        <w:t>60</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29.95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99.67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增加了中医药传承和发展补助资金。</w:t>
      </w:r>
    </w:p>
    <w:p>
      <w:pPr>
        <w:autoSpaceDE w:val="0"/>
        <w:autoSpaceDN w:val="0"/>
        <w:adjustRightInd w:val="0"/>
        <w:spacing w:beforeLines="0" w:afterLines="0" w:line="360" w:lineRule="auto"/>
        <w:ind w:firstLine="960" w:firstLineChars="300"/>
        <w:rPr>
          <w:rFonts w:hint="eastAsia" w:ascii="仿宋_GB2312" w:eastAsia="仿宋_GB2312"/>
          <w:kern w:val="0"/>
          <w:sz w:val="32"/>
          <w:lang w:eastAsia="zh-CN"/>
        </w:rPr>
      </w:pPr>
      <w:r>
        <w:rPr>
          <w:rFonts w:hint="eastAsia" w:ascii="仿宋_GB2312" w:eastAsia="仿宋_GB2312"/>
          <w:kern w:val="0"/>
          <w:sz w:val="32"/>
          <w:lang w:val="en-US" w:eastAsia="zh-CN"/>
        </w:rPr>
        <w:t>11.</w:t>
      </w:r>
      <w:r>
        <w:rPr>
          <w:rFonts w:hint="eastAsia" w:ascii="仿宋_GB2312" w:eastAsia="仿宋_GB2312"/>
          <w:kern w:val="0"/>
          <w:sz w:val="32"/>
        </w:rPr>
        <w:t>21007</w:t>
      </w:r>
      <w:r>
        <w:rPr>
          <w:rFonts w:hint="eastAsia" w:ascii="仿宋_GB2312" w:eastAsia="仿宋_GB2312"/>
          <w:kern w:val="0"/>
          <w:sz w:val="32"/>
          <w:lang w:val="en-US" w:eastAsia="zh-CN"/>
        </w:rPr>
        <w:t>17</w:t>
      </w:r>
      <w:r>
        <w:rPr>
          <w:rFonts w:hint="eastAsia" w:ascii="仿宋_GB2312" w:eastAsia="仿宋_GB2312"/>
          <w:kern w:val="0"/>
          <w:sz w:val="32"/>
          <w:lang w:eastAsia="zh-CN"/>
        </w:rPr>
        <w:t>计划生育服务：支出决算数为</w:t>
      </w:r>
      <w:r>
        <w:rPr>
          <w:rFonts w:hint="eastAsia" w:ascii="仿宋_GB2312" w:eastAsia="仿宋_GB2312"/>
          <w:kern w:val="0"/>
          <w:sz w:val="32"/>
          <w:lang w:val="en-US" w:eastAsia="zh-CN"/>
        </w:rPr>
        <w:t>197.86</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17.95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8.32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上级计划生育奖扶资金减少。</w:t>
      </w:r>
    </w:p>
    <w:p>
      <w:pPr>
        <w:autoSpaceDE w:val="0"/>
        <w:autoSpaceDN w:val="0"/>
        <w:adjustRightInd w:val="0"/>
        <w:spacing w:beforeLines="0" w:afterLines="0" w:line="360" w:lineRule="auto"/>
        <w:ind w:firstLine="960" w:firstLineChars="300"/>
        <w:rPr>
          <w:rFonts w:hint="default" w:ascii="仿宋_GB2312" w:eastAsia="仿宋_GB2312"/>
          <w:kern w:val="0"/>
          <w:sz w:val="32"/>
          <w:lang w:val="en-US" w:eastAsia="zh-CN"/>
        </w:rPr>
      </w:pPr>
      <w:r>
        <w:rPr>
          <w:rFonts w:hint="eastAsia" w:ascii="仿宋_GB2312" w:eastAsia="仿宋_GB2312"/>
          <w:kern w:val="0"/>
          <w:sz w:val="32"/>
          <w:lang w:val="en-US" w:eastAsia="zh-CN"/>
        </w:rPr>
        <w:t>12.</w:t>
      </w:r>
      <w:r>
        <w:rPr>
          <w:rFonts w:hint="eastAsia" w:ascii="仿宋_GB2312" w:eastAsia="仿宋_GB2312"/>
          <w:kern w:val="0"/>
          <w:sz w:val="32"/>
        </w:rPr>
        <w:t>2100799其他计划生育事务支出</w:t>
      </w:r>
      <w:r>
        <w:rPr>
          <w:rFonts w:hint="eastAsia" w:ascii="仿宋_GB2312" w:eastAsia="仿宋_GB2312"/>
          <w:kern w:val="0"/>
          <w:sz w:val="32"/>
          <w:lang w:eastAsia="zh-CN"/>
        </w:rPr>
        <w:t>：决算数为</w:t>
      </w:r>
      <w:r>
        <w:rPr>
          <w:rFonts w:hint="eastAsia" w:ascii="仿宋_GB2312" w:eastAsia="仿宋_GB2312"/>
          <w:kern w:val="0"/>
          <w:sz w:val="32"/>
          <w:lang w:val="en-US" w:eastAsia="zh-CN"/>
        </w:rPr>
        <w:t>488.58</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24.28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4.73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取消了计生干部的补贴</w:t>
      </w:r>
      <w:r>
        <w:rPr>
          <w:rFonts w:hint="eastAsia" w:ascii="仿宋_GB2312" w:hAnsi="仿宋_GB2312" w:eastAsia="仿宋_GB2312" w:cs="仿宋_GB2312"/>
          <w:kern w:val="0"/>
          <w:sz w:val="32"/>
          <w:szCs w:val="32"/>
          <w:highlight w:val="none"/>
          <w:lang w:val="en-US" w:eastAsia="zh-CN"/>
        </w:rPr>
        <w:t>149.4万元。</w:t>
      </w:r>
    </w:p>
    <w:p>
      <w:pPr>
        <w:autoSpaceDE w:val="0"/>
        <w:autoSpaceDN w:val="0"/>
        <w:adjustRightInd w:val="0"/>
        <w:spacing w:beforeLines="0" w:afterLines="0" w:line="360" w:lineRule="auto"/>
        <w:ind w:firstLine="960" w:firstLineChars="300"/>
        <w:rPr>
          <w:rFonts w:hint="default" w:ascii="黑体" w:hAnsi="黑体" w:eastAsia="黑体"/>
          <w:sz w:val="32"/>
          <w:szCs w:val="32"/>
          <w:highlight w:val="none"/>
          <w:lang w:val="en-US" w:eastAsia="zh-CN"/>
        </w:rPr>
      </w:pPr>
      <w:r>
        <w:rPr>
          <w:rFonts w:hint="eastAsia" w:ascii="仿宋_GB2312" w:eastAsia="仿宋_GB2312"/>
          <w:kern w:val="0"/>
          <w:sz w:val="32"/>
          <w:lang w:val="en-US" w:eastAsia="zh-CN"/>
        </w:rPr>
        <w:t>13.</w:t>
      </w:r>
      <w:r>
        <w:rPr>
          <w:rFonts w:hint="eastAsia" w:ascii="仿宋_GB2312" w:eastAsia="仿宋_GB2312"/>
          <w:kern w:val="0"/>
          <w:sz w:val="32"/>
        </w:rPr>
        <w:t>22999</w:t>
      </w:r>
      <w:r>
        <w:rPr>
          <w:rFonts w:hint="eastAsia" w:ascii="仿宋_GB2312" w:eastAsia="仿宋_GB2312"/>
          <w:kern w:val="0"/>
          <w:sz w:val="32"/>
          <w:lang w:val="en-US" w:eastAsia="zh-CN"/>
        </w:rPr>
        <w:t>99</w:t>
      </w:r>
      <w:r>
        <w:rPr>
          <w:rFonts w:hint="eastAsia" w:ascii="仿宋_GB2312" w:eastAsia="仿宋_GB2312"/>
          <w:kern w:val="0"/>
          <w:sz w:val="32"/>
        </w:rPr>
        <w:t>其他支出</w:t>
      </w:r>
      <w:r>
        <w:rPr>
          <w:rFonts w:hint="eastAsia" w:ascii="仿宋_GB2312" w:eastAsia="仿宋_GB2312"/>
          <w:kern w:val="0"/>
          <w:sz w:val="32"/>
          <w:lang w:eastAsia="zh-CN"/>
        </w:rPr>
        <w:t>：决算数为</w:t>
      </w:r>
      <w:r>
        <w:rPr>
          <w:rFonts w:hint="eastAsia" w:ascii="仿宋_GB2312" w:eastAsia="仿宋_GB2312"/>
          <w:kern w:val="0"/>
          <w:sz w:val="32"/>
          <w:lang w:val="en-US" w:eastAsia="zh-CN"/>
        </w:rPr>
        <w:t>7.22</w:t>
      </w:r>
      <w:r>
        <w:rPr>
          <w:rFonts w:hint="eastAsia" w:ascii="仿宋_GB2312" w:eastAsia="仿宋_GB2312"/>
          <w:kern w:val="0"/>
          <w:sz w:val="32"/>
        </w:rPr>
        <w:t>万元</w:t>
      </w:r>
      <w:r>
        <w:rPr>
          <w:rFonts w:hint="eastAsia" w:ascii="仿宋_GB2312" w:eastAsia="仿宋_GB2312"/>
          <w:kern w:val="0"/>
          <w:sz w:val="32"/>
          <w:lang w:eastAsia="zh-CN"/>
        </w:rPr>
        <w:t>，</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6.06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45.63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减少访惠聚工作经费。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383.27</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367.41</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、退休费、抚恤金、生活补助。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15.86</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lang w:eastAsia="zh-CN"/>
        </w:rPr>
        <w:t>万元，比上年增加</w:t>
      </w:r>
      <w:r>
        <w:rPr>
          <w:rFonts w:hint="eastAsia" w:ascii="仿宋_GB2312" w:eastAsia="仿宋_GB2312"/>
          <w:sz w:val="32"/>
          <w:szCs w:val="32"/>
          <w:highlight w:val="none"/>
          <w:lang w:val="en-US" w:eastAsia="zh-CN"/>
        </w:rPr>
        <w:t>2.98</w:t>
      </w:r>
      <w:r>
        <w:rPr>
          <w:rFonts w:hint="eastAsia" w:ascii="仿宋_GB2312" w:eastAsia="仿宋_GB2312"/>
          <w:sz w:val="32"/>
          <w:szCs w:val="32"/>
          <w:highlight w:val="none"/>
          <w:lang w:eastAsia="zh-CN"/>
        </w:rPr>
        <w:t>万元，增长</w:t>
      </w:r>
      <w:r>
        <w:rPr>
          <w:rFonts w:hint="eastAsia" w:ascii="仿宋_GB2312" w:eastAsia="仿宋_GB2312"/>
          <w:sz w:val="32"/>
          <w:szCs w:val="32"/>
          <w:highlight w:val="none"/>
          <w:lang w:val="en-US" w:eastAsia="zh-CN"/>
        </w:rPr>
        <w:t>44.54</w:t>
      </w:r>
      <w:r>
        <w:rPr>
          <w:rFonts w:hint="eastAsia" w:ascii="仿宋_GB2312" w:eastAsia="仿宋_GB2312"/>
          <w:sz w:val="32"/>
          <w:szCs w:val="32"/>
          <w:highlight w:val="none"/>
          <w:lang w:eastAsia="zh-CN"/>
        </w:rPr>
        <w:t>%，主要原因是：主要增加2辆租赁创博公司车辆的维修费、油料费。</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因公出国（境）费；公务用车购置及运行维护费支出</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2.98</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44.54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主要原因是：主要增加2辆租赁创博公司车辆的维修费、油料费。</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公务接待费。具体情况如下：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开支内容。单位全年安排的因公出国（境）团组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公务用车燃油费、修理费、保险费等</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开支内容。单位全年安排的国内公务接待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11.38</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-15.03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主要原因是：厉行节约</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因公出国（境）费</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11.32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9.67</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-14.58</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主要原因是：厉行节约</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0.06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hAnsi="宋体" w:eastAsia="仿宋_GB2312" w:cs="宋体"/>
          <w:kern w:val="0"/>
          <w:sz w:val="32"/>
          <w:szCs w:val="32"/>
          <w:highlight w:val="none"/>
        </w:rPr>
        <w:t>公务接待费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年初结转和结余0</w:t>
      </w:r>
      <w:r>
        <w:rPr>
          <w:rFonts w:hint="eastAsia" w:ascii="仿宋_GB2312" w:eastAsia="仿宋_GB2312"/>
          <w:sz w:val="32"/>
          <w:szCs w:val="32"/>
          <w:highlight w:val="none"/>
        </w:rPr>
        <w:t>万元，财政拨款收入</w:t>
      </w:r>
      <w:r>
        <w:rPr>
          <w:rFonts w:hint="eastAsia" w:ascii="仿宋_GB2312" w:eastAsia="仿宋_GB2312"/>
          <w:sz w:val="32"/>
          <w:szCs w:val="32"/>
          <w:highlight w:val="none"/>
          <w:lang w:val="en-US" w:eastAsia="zh-CN"/>
        </w:rPr>
        <w:t>4000</w:t>
      </w:r>
      <w:r>
        <w:rPr>
          <w:rFonts w:hint="eastAsia" w:ascii="仿宋_GB2312" w:eastAsia="仿宋_GB2312"/>
          <w:sz w:val="32"/>
          <w:szCs w:val="32"/>
          <w:highlight w:val="none"/>
        </w:rPr>
        <w:t>万元，与上年相比，减少</w:t>
      </w:r>
      <w:r>
        <w:rPr>
          <w:rFonts w:hint="eastAsia" w:ascii="仿宋_GB2312" w:eastAsia="仿宋_GB2312"/>
          <w:sz w:val="32"/>
          <w:szCs w:val="32"/>
          <w:highlight w:val="none"/>
          <w:lang w:val="en-US" w:eastAsia="zh-CN"/>
        </w:rPr>
        <w:t>11000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63.64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本年度4000万元专项债收入用于妇幼保健院和中医院项目，比上年度下降11000万元。</w:t>
      </w:r>
      <w:r>
        <w:rPr>
          <w:rFonts w:hint="eastAsia" w:ascii="仿宋_GB2312" w:eastAsia="仿宋_GB2312"/>
          <w:sz w:val="32"/>
          <w:szCs w:val="32"/>
          <w:highlight w:val="none"/>
        </w:rPr>
        <w:t>政府性基金预算</w:t>
      </w:r>
      <w:r>
        <w:rPr>
          <w:rFonts w:hint="eastAsia" w:ascii="仿宋_GB2312" w:eastAsia="仿宋_GB2312"/>
          <w:sz w:val="32"/>
          <w:szCs w:val="32"/>
          <w:highlight w:val="none"/>
          <w:lang w:val="en-US" w:eastAsia="zh-CN"/>
        </w:rPr>
        <w:t>年末结转结余0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4000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11000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63.64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本年度4000万元专项债支出用于妇幼保健院和中医院项目，比上年度下降11000万元。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政府性基金预算财政拨款支出</w:t>
      </w:r>
      <w:r>
        <w:rPr>
          <w:rFonts w:hint="eastAsia" w:ascii="仿宋_GB2312" w:eastAsia="仿宋_GB2312"/>
          <w:sz w:val="32"/>
          <w:szCs w:val="32"/>
          <w:highlight w:val="none"/>
          <w:lang w:val="en-US" w:eastAsia="zh-CN"/>
        </w:rPr>
        <w:t>4000</w:t>
      </w:r>
      <w:r>
        <w:rPr>
          <w:rFonts w:hint="eastAsia" w:ascii="仿宋_GB2312" w:eastAsia="仿宋_GB2312"/>
          <w:sz w:val="32"/>
          <w:szCs w:val="32"/>
          <w:highlight w:val="none"/>
        </w:rPr>
        <w:t>万元。按功能分类科目</w:t>
      </w:r>
      <w:r>
        <w:rPr>
          <w:rFonts w:hint="eastAsia" w:ascii="仿宋_GB2312" w:eastAsia="仿宋_GB2312"/>
          <w:sz w:val="32"/>
          <w:szCs w:val="32"/>
          <w:highlight w:val="none"/>
          <w:lang w:eastAsia="zh-CN"/>
        </w:rPr>
        <w:t>项</w:t>
      </w:r>
      <w:r>
        <w:rPr>
          <w:rFonts w:hint="eastAsia" w:ascii="仿宋_GB2312" w:eastAsia="仿宋_GB2312"/>
          <w:sz w:val="32"/>
          <w:szCs w:val="32"/>
          <w:highlight w:val="none"/>
        </w:rPr>
        <w:t>级科目公开</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2290402  其他地方自行试点项目收益专项债券收入安排的支出4000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乌鲁木齐市水磨沟区卫生健康委员会</w:t>
      </w:r>
      <w:r>
        <w:rPr>
          <w:rFonts w:hint="eastAsia" w:ascii="仿宋_GB2312" w:eastAsia="仿宋_GB2312"/>
          <w:sz w:val="32"/>
          <w:szCs w:val="32"/>
          <w:highlight w:val="none"/>
        </w:rPr>
        <w:t>单位（行政单位和参照公务员法管理事业单位）机关运行经费支出</w:t>
      </w:r>
      <w:r>
        <w:rPr>
          <w:rFonts w:hint="eastAsia" w:ascii="仿宋_GB2312" w:eastAsia="仿宋_GB2312"/>
          <w:sz w:val="32"/>
          <w:szCs w:val="32"/>
          <w:highlight w:val="none"/>
          <w:lang w:val="en-US" w:eastAsia="zh-CN"/>
        </w:rPr>
        <w:t>15.86</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93.18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85.45</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：减少访惠聚工作经费</w:t>
      </w:r>
      <w:r>
        <w:rPr>
          <w:rFonts w:hint="eastAsia" w:ascii="仿宋_GB2312" w:eastAsia="仿宋_GB2312"/>
          <w:sz w:val="32"/>
          <w:szCs w:val="32"/>
          <w:highlight w:val="none"/>
          <w:lang w:val="en-US" w:eastAsia="zh-CN"/>
        </w:rPr>
        <w:t>82万元</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1401.41</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1401.41</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1401.41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1088.01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77.64%。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2846.45万元，房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69</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7.7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158.29</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辆，其他用车主要是：</w:t>
      </w:r>
      <w:r>
        <w:rPr>
          <w:rFonts w:hint="eastAsia" w:ascii="仿宋_GB2312" w:hAnsi="仿宋_GB2312" w:eastAsia="仿宋_GB2312"/>
          <w:sz w:val="32"/>
          <w:lang w:eastAsia="zh-CN"/>
        </w:rPr>
        <w:t>计划生育技术服务车辆</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2台（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shd w:val="clear" w:color="auto" w:fill="FFFFFF"/>
        <w:autoSpaceDE w:val="0"/>
        <w:autoSpaceDN w:val="0"/>
        <w:adjustRightInd w:val="0"/>
        <w:spacing w:before="100" w:beforeLines="0" w:afterLines="0" w:line="360" w:lineRule="auto"/>
        <w:ind w:firstLine="640" w:firstLineChars="200"/>
        <w:rPr>
          <w:rFonts w:hint="eastAsia" w:ascii="仿宋_GB2312" w:hAnsi="仿宋_GB2312" w:eastAsia="仿宋_GB2312"/>
          <w:kern w:val="0"/>
          <w:sz w:val="32"/>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全年预算数10737.64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全年执行数10212.28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hAnsi="仿宋_GB2312" w:eastAsia="仿宋_GB2312"/>
          <w:kern w:val="0"/>
          <w:sz w:val="32"/>
        </w:rPr>
        <w:t>预算绩效管理取得的成效：一是执行时采取直接或授权等支付形式，严格按照项目资金管理办法对资金进行计划、申请、划拨、使用，及时规范对收支业务进行账务处理和会计核算；二是项目资金落实到位，使其充分发挥作用，保证基本公共卫生服务、计划生育、基本药物制度等各项工作顺利进行。自</w:t>
      </w:r>
      <w:r>
        <w:rPr>
          <w:rFonts w:hint="eastAsia" w:ascii="仿宋_GB2312" w:hAnsi="仿宋_GB2312" w:eastAsia="仿宋_GB2312"/>
          <w:kern w:val="0"/>
          <w:sz w:val="32"/>
          <w:highlight w:val="none"/>
          <w:lang w:val="en-US" w:eastAsia="zh-CN"/>
        </w:rPr>
        <w:t>防控</w:t>
      </w:r>
      <w:r>
        <w:rPr>
          <w:rFonts w:hint="eastAsia" w:ascii="仿宋_GB2312" w:hAnsi="仿宋_GB2312" w:eastAsia="仿宋_GB2312"/>
          <w:kern w:val="0"/>
          <w:sz w:val="32"/>
        </w:rPr>
        <w:t>以来，区委区政府高度重视，加大新冠肺炎</w:t>
      </w:r>
      <w:r>
        <w:rPr>
          <w:rFonts w:hint="eastAsia" w:ascii="仿宋_GB2312" w:hAnsi="仿宋_GB2312" w:eastAsia="仿宋_GB2312"/>
          <w:kern w:val="0"/>
          <w:sz w:val="32"/>
          <w:highlight w:val="none"/>
          <w:lang w:val="en-US" w:eastAsia="zh-CN"/>
        </w:rPr>
        <w:t>防控</w:t>
      </w:r>
      <w:r>
        <w:rPr>
          <w:rFonts w:hint="eastAsia" w:ascii="仿宋_GB2312" w:hAnsi="仿宋_GB2312" w:eastAsia="仿宋_GB2312"/>
          <w:kern w:val="0"/>
          <w:sz w:val="32"/>
        </w:rPr>
        <w:t>资金投入，使我区防控工作取得了一定成效，为全区广大居民提供健康保障，使防控资金充分发挥使用效益。发现的问题及原因：一是项目没按照进度严格执行，导致项目周期延长；二是资金文件用途不明确太笼统，造成支付存在困难。三是预算编制时间短，预算编制需要考虑单位的方方面面，与每个部门息息相关，要高度重视。其次人员流动变化导致预算执行过程不准确。四是对突发性公共卫生预判不足。下一步改进措施：一是明确专项资金的管理使用部门；二是建立好专项资金使用台账。三是加强专项资金的管理，不挤占不挪用，做到专款专用。四是协调好各部门关系，为下年预算工作打好基础。具体项目自评情况附项目支出绩效自评表。</w:t>
      </w:r>
    </w:p>
    <w:p>
      <w:pPr>
        <w:shd w:val="clear" w:color="auto" w:fill="FFFFFF"/>
        <w:autoSpaceDE w:val="0"/>
        <w:autoSpaceDN w:val="0"/>
        <w:adjustRightInd w:val="0"/>
        <w:spacing w:before="100" w:beforeLines="0" w:afterLines="0" w:line="360" w:lineRule="auto"/>
        <w:ind w:firstLine="640" w:firstLineChars="200"/>
        <w:rPr>
          <w:rFonts w:hint="eastAsia" w:ascii="仿宋_GB2312" w:hAnsi="仿宋_GB2312" w:eastAsia="仿宋_GB2312"/>
          <w:kern w:val="0"/>
          <w:sz w:val="32"/>
        </w:rPr>
      </w:pPr>
    </w:p>
    <w:p>
      <w:pPr>
        <w:shd w:val="clear" w:color="auto" w:fill="FFFFFF"/>
        <w:autoSpaceDE w:val="0"/>
        <w:autoSpaceDN w:val="0"/>
        <w:adjustRightInd w:val="0"/>
        <w:spacing w:before="100" w:beforeLines="0" w:afterLines="0" w:line="360" w:lineRule="auto"/>
        <w:ind w:firstLine="640" w:firstLineChars="200"/>
        <w:rPr>
          <w:rFonts w:hint="eastAsia" w:ascii="仿宋_GB2312" w:hAnsi="仿宋_GB2312" w:eastAsia="仿宋_GB2312"/>
          <w:kern w:val="0"/>
          <w:sz w:val="32"/>
        </w:rPr>
      </w:pPr>
    </w:p>
    <w:p>
      <w:pPr>
        <w:shd w:val="clear" w:color="auto" w:fill="FFFFFF"/>
        <w:autoSpaceDE w:val="0"/>
        <w:autoSpaceDN w:val="0"/>
        <w:adjustRightInd w:val="0"/>
        <w:spacing w:before="100" w:beforeLines="0" w:afterLines="0" w:line="360" w:lineRule="auto"/>
        <w:ind w:firstLine="640" w:firstLineChars="200"/>
        <w:rPr>
          <w:rFonts w:hint="eastAsia" w:ascii="仿宋_GB2312" w:hAnsi="仿宋_GB2312" w:eastAsia="仿宋_GB2312"/>
          <w:kern w:val="0"/>
          <w:sz w:val="32"/>
        </w:rPr>
      </w:pP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rPr>
      </w:pPr>
    </w:p>
    <w:tbl>
      <w:tblPr>
        <w:tblStyle w:val="8"/>
        <w:tblpPr w:leftFromText="180" w:rightFromText="180" w:vertAnchor="text" w:horzAnchor="page" w:tblpX="854" w:tblpY="151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6"/>
        <w:gridCol w:w="556"/>
        <w:gridCol w:w="793"/>
        <w:gridCol w:w="1462"/>
        <w:gridCol w:w="1783"/>
        <w:gridCol w:w="915"/>
        <w:gridCol w:w="613"/>
        <w:gridCol w:w="687"/>
        <w:gridCol w:w="160"/>
        <w:gridCol w:w="401"/>
        <w:gridCol w:w="414"/>
        <w:gridCol w:w="467"/>
        <w:gridCol w:w="429"/>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500" w:type="dxa"/>
            <w:gridSpan w:val="14"/>
            <w:tcBorders>
              <w:top w:val="single" w:color="E9AD1D" w:sz="0" w:space="0"/>
              <w:left w:val="single" w:color="FFFFFF" w:sz="0" w:space="0"/>
              <w:bottom w:val="single" w:color="E9AD1D" w:sz="0" w:space="0"/>
              <w:right w:val="single" w:color="FBF1D7" w:sz="0"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10500" w:type="dxa"/>
            <w:gridSpan w:val="14"/>
            <w:tcBorders>
              <w:top w:val="single" w:color="E9AD1D" w:sz="0" w:space="0"/>
              <w:left w:val="single" w:color="FFFFFF" w:sz="0" w:space="0"/>
              <w:bottom w:val="single" w:color="FBF1D7" w:sz="0" w:space="0"/>
              <w:right w:val="single" w:color="FBF1D7" w:sz="0"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388" w:type="dxa"/>
            <w:gridSpan w:val="1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各类计划生育政策家庭奖扶经费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566" w:type="dxa"/>
            <w:gridSpan w:val="5"/>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847"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75" w:type="dxa"/>
            <w:gridSpan w:val="5"/>
            <w:tcBorders>
              <w:top w:val="single" w:color="FBF1D7" w:sz="4" w:space="0"/>
              <w:left w:val="single" w:color="FBF1D7" w:sz="4" w:space="0"/>
              <w:bottom w:val="single" w:color="FBF1D7" w:sz="4" w:space="0"/>
              <w:right w:val="single" w:color="FFFFFF"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vMerge w:val="restart"/>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5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28" w:type="dxa"/>
            <w:gridSpan w:val="2"/>
            <w:tcBorders>
              <w:top w:val="single" w:color="FBF1D7" w:sz="4" w:space="0"/>
              <w:left w:val="single" w:color="FBF1D7" w:sz="4" w:space="0"/>
              <w:bottom w:val="single" w:color="FBF1D7" w:sz="4" w:space="0"/>
              <w:right w:val="single" w:color="FFFFFF"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47" w:type="dxa"/>
            <w:gridSpan w:val="2"/>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1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96"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78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28" w:type="dxa"/>
            <w:gridSpan w:val="2"/>
            <w:tcBorders>
              <w:top w:val="single" w:color="FBF1D7" w:sz="4" w:space="0"/>
              <w:left w:val="single" w:color="FBF1D7" w:sz="4" w:space="0"/>
              <w:bottom w:val="single" w:color="FBF1D7" w:sz="4" w:space="0"/>
              <w:right w:val="single" w:color="FFFFFF"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338.58</w:t>
            </w:r>
          </w:p>
        </w:tc>
        <w:tc>
          <w:tcPr>
            <w:tcW w:w="847" w:type="dxa"/>
            <w:gridSpan w:val="2"/>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338.58</w:t>
            </w:r>
          </w:p>
        </w:tc>
        <w:tc>
          <w:tcPr>
            <w:tcW w:w="815"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6"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78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28" w:type="dxa"/>
            <w:gridSpan w:val="2"/>
            <w:tcBorders>
              <w:top w:val="single" w:color="FBF1D7" w:sz="4" w:space="0"/>
              <w:left w:val="single" w:color="FBF1D7" w:sz="4" w:space="0"/>
              <w:bottom w:val="single" w:color="FBF1D7" w:sz="4" w:space="0"/>
              <w:right w:val="single" w:color="FFFFFF"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338.58</w:t>
            </w:r>
          </w:p>
        </w:tc>
        <w:tc>
          <w:tcPr>
            <w:tcW w:w="847" w:type="dxa"/>
            <w:gridSpan w:val="2"/>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338.58</w:t>
            </w:r>
          </w:p>
        </w:tc>
        <w:tc>
          <w:tcPr>
            <w:tcW w:w="81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96"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78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28" w:type="dxa"/>
            <w:gridSpan w:val="2"/>
            <w:tcBorders>
              <w:top w:val="single" w:color="FBF1D7" w:sz="4" w:space="0"/>
              <w:left w:val="single" w:color="FBF1D7" w:sz="4" w:space="0"/>
              <w:bottom w:val="single" w:color="FBF1D7" w:sz="4" w:space="0"/>
              <w:right w:val="single" w:color="FFFFFF"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7" w:type="dxa"/>
            <w:gridSpan w:val="2"/>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5"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96"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4"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12" w:type="dxa"/>
            <w:gridSpan w:val="2"/>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5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78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28" w:type="dxa"/>
            <w:gridSpan w:val="2"/>
            <w:tcBorders>
              <w:top w:val="single" w:color="FBF1D7" w:sz="4" w:space="0"/>
              <w:left w:val="single" w:color="FBF1D7" w:sz="4" w:space="0"/>
              <w:bottom w:val="single" w:color="FBF1D7" w:sz="4" w:space="0"/>
              <w:right w:val="single" w:color="FFFFFF"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7" w:type="dxa"/>
            <w:gridSpan w:val="2"/>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5"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96"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restart"/>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122" w:type="dxa"/>
            <w:gridSpan w:val="6"/>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22" w:type="dxa"/>
            <w:gridSpan w:val="7"/>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22" w:type="dxa"/>
            <w:gridSpan w:val="6"/>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对计划生育奖励扶助制度的规定，开展各项奖励扶助工作，该经费用于：农村部分计划生育家庭奖励扶助、独生子女伤残死亡家庭扶助，通过国家补助，让失独家庭感受到党和政府的温暖。保障符合政策居的居民权益，使计划生育家庭能够享受到党和国家的惠民政策保障和改善民生，提高全民族人口质量，优化人口结构，促进优生优育，保证计划生育奖扶工作顺利完成，缓解计划生育困难家庭在生产、生活、医疗和养老等方面的特殊困难，实现国家西部地区“少生快富”。主要用于独生子女保健费，城镇居民计划生育奖励金，特殊家庭慰问，当年新增死亡家庭一次性补助等</w:t>
            </w:r>
          </w:p>
        </w:tc>
        <w:tc>
          <w:tcPr>
            <w:tcW w:w="3822" w:type="dxa"/>
            <w:gridSpan w:val="7"/>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对计划生育奖励扶助制度的规定，开展各项奖励扶助工作，独生子女保健费1205人，按60元/人/年的标准，共发放85440元，城镇居民计划生育奖励金1181人，按3000元/人/年，共发放3430000元，当年新增独生子女一次性死亡家庭扶助20人，按5000元/人/年，共发放100000元，计划生育特殊家庭慰问395人，按500元/人/年，共发放197500元。通过计划生育家庭奖励补助，让计划生育家庭感受到党和政府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tcBorders>
              <w:top w:val="single" w:color="FBF1D7" w:sz="4" w:space="0"/>
              <w:left w:val="single" w:color="FBF1D7" w:sz="4"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93"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462" w:type="dxa"/>
            <w:tcBorders>
              <w:top w:val="single" w:color="FBF1D7" w:sz="4" w:space="0"/>
              <w:left w:val="single" w:color="FBF1D7" w:sz="0" w:space="0"/>
              <w:bottom w:val="single" w:color="FBF1D7" w:sz="4" w:space="0"/>
              <w:right w:val="single" w:color="FFFFFF"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83" w:type="dxa"/>
            <w:tcBorders>
              <w:top w:val="single" w:color="FBF1D7" w:sz="4" w:space="0"/>
              <w:left w:val="single" w:color="FFFFFF"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15"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613" w:type="dxa"/>
            <w:tcBorders>
              <w:top w:val="single" w:color="FBF1D7" w:sz="4" w:space="0"/>
              <w:left w:val="single" w:color="FBF1D7" w:sz="0" w:space="0"/>
              <w:bottom w:val="single" w:color="FBF1D7" w:sz="4" w:space="0"/>
              <w:right w:val="single" w:color="FBF1D7" w:sz="4"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687" w:type="dxa"/>
            <w:tcBorders>
              <w:top w:val="single" w:color="FBF1D7" w:sz="4" w:space="0"/>
              <w:left w:val="single" w:color="FBF1D7" w:sz="4"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60"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01"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14"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67"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29" w:type="dxa"/>
            <w:tcBorders>
              <w:top w:val="single" w:color="FBF1D7" w:sz="4" w:space="0"/>
              <w:left w:val="single" w:color="FBF1D7" w:sz="0" w:space="0"/>
              <w:bottom w:val="single" w:color="FBF1D7" w:sz="4" w:space="0"/>
              <w:right w:val="single" w:color="FBF1D7" w:sz="0"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264" w:type="dxa"/>
            <w:tcBorders>
              <w:top w:val="single" w:color="FBF1D7" w:sz="4" w:space="0"/>
              <w:left w:val="single" w:color="FBF1D7" w:sz="0" w:space="0"/>
              <w:bottom w:val="single" w:color="FBF1D7" w:sz="4" w:space="0"/>
              <w:right w:val="single" w:color="FBF1D7" w:sz="4" w:space="0"/>
            </w:tcBorders>
            <w:shd w:val="clear" w:color="auto" w:fill="FFFDFA"/>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56" w:type="dxa"/>
            <w:vMerge w:val="restart"/>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793" w:type="dxa"/>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160" w:type="dxa"/>
            <w:gridSpan w:val="3"/>
            <w:vMerge w:val="restart"/>
            <w:tcBorders>
              <w:top w:val="single" w:color="FBF1D7" w:sz="4" w:space="0"/>
              <w:left w:val="single" w:color="FBF1D7" w:sz="4" w:space="0"/>
              <w:bottom w:val="single" w:color="FBF1D7" w:sz="4" w:space="0"/>
              <w:right w:val="single" w:color="FFFFFF"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3" w:type="dxa"/>
            <w:vMerge w:val="restart"/>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87" w:type="dxa"/>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61" w:type="dxa"/>
            <w:gridSpan w:val="2"/>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81" w:type="dxa"/>
            <w:gridSpan w:val="2"/>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693" w:type="dxa"/>
            <w:gridSpan w:val="2"/>
            <w:vMerge w:val="restart"/>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60" w:type="dxa"/>
            <w:gridSpan w:val="3"/>
            <w:vMerge w:val="continue"/>
            <w:tcBorders>
              <w:top w:val="single" w:color="FBF1D7" w:sz="4" w:space="0"/>
              <w:left w:val="single" w:color="FBF1D7" w:sz="4" w:space="0"/>
              <w:bottom w:val="single" w:color="FBF1D7" w:sz="4" w:space="0"/>
              <w:right w:val="single" w:color="FFFFFF"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3"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7"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1" w:type="dxa"/>
            <w:gridSpan w:val="2"/>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dxa"/>
            <w:gridSpan w:val="2"/>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3" w:type="dxa"/>
            <w:gridSpan w:val="2"/>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restart"/>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556" w:type="dxa"/>
            <w:vMerge w:val="restart"/>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发放独生子女保健费人数</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&lt;=1424人</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1205人</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发放城镇居民计划生育奖励金人数</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&lt;=1035人</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1005人</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因无法确定实际人数，按2021年扶助人数设置指标，所以偏差较大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当年新增死亡家庭一次性补助人数</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&lt;=15人</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20人</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因无法确定实际人数，按2021年扶助人数设置指标，所以偏差较大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特殊家庭慰问人数</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&lt;=357人</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395人</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因无法确定实际人数，按2021年扶助人数设置指标，所以偏差较大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符合条件申报对象覆盖率</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奖励和扶助资金到位率</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独生子女保健费发放标准</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=60元/人/年</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60元/人/年</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城镇居民计划生育奖励金发放标准</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=3000元/人/年</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3000元/人/年</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当年新增死亡家庭一次性补助标准</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=5000元/人/年</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5000元/人/年</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特殊家庭慰问标准</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=500元/人/年</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500元/人/年</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restart"/>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落实计划生育奖扶政策，关心计生家庭。</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有效落实</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加强服务管理，不断提高整体服务水平</w:t>
            </w:r>
          </w:p>
        </w:tc>
        <w:tc>
          <w:tcPr>
            <w:tcW w:w="613"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长期有效</w:t>
            </w: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vMerge w:val="continue"/>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93"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160" w:type="dxa"/>
            <w:gridSpan w:val="3"/>
            <w:tcBorders>
              <w:top w:val="single" w:color="FBF1D7" w:sz="4" w:space="0"/>
              <w:left w:val="single" w:color="FBF1D7" w:sz="4" w:space="0"/>
              <w:bottom w:val="single" w:color="FBF1D7" w:sz="4" w:space="0"/>
              <w:right w:val="single" w:color="FFFFFF" w:sz="4" w:space="0"/>
            </w:tcBorders>
            <w:shd w:val="clear" w:color="auto" w:fill="FFFDF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符合政策群众满意度</w:t>
            </w:r>
          </w:p>
        </w:tc>
        <w:tc>
          <w:tcPr>
            <w:tcW w:w="613" w:type="dxa"/>
            <w:tcBorders>
              <w:top w:val="single" w:color="FBF1D7" w:sz="4" w:space="0"/>
              <w:left w:val="single" w:color="FFFFFF"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687" w:type="dxa"/>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56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1"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93" w:type="dxa"/>
            <w:gridSpan w:val="2"/>
            <w:tcBorders>
              <w:top w:val="single" w:color="FBF1D7" w:sz="4" w:space="0"/>
              <w:left w:val="single" w:color="FBF1D7" w:sz="4" w:space="0"/>
              <w:bottom w:val="single" w:color="FBF1D7" w:sz="4" w:space="0"/>
              <w:right w:val="single" w:color="FBF1D7" w:sz="4" w:space="0"/>
            </w:tcBorders>
            <w:shd w:val="clear" w:color="auto" w:fill="FFFDFA"/>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56" w:type="dxa"/>
            <w:tcBorders>
              <w:top w:val="single" w:color="FBF1D7" w:sz="4" w:space="0"/>
              <w:left w:val="single" w:color="FFFFFF"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2" w:type="dxa"/>
            <w:tcBorders>
              <w:top w:val="single" w:color="FBF1D7" w:sz="4" w:space="0"/>
              <w:left w:val="single" w:color="FBF1D7" w:sz="4" w:space="0"/>
              <w:bottom w:val="single" w:color="FBF1D7" w:sz="4" w:space="0"/>
              <w:right w:val="single" w:color="FFFFFF" w:sz="0"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83" w:type="dxa"/>
            <w:tcBorders>
              <w:top w:val="single" w:color="FBF1D7" w:sz="4" w:space="0"/>
              <w:left w:val="single" w:color="FFFFFF" w:sz="0" w:space="0"/>
              <w:bottom w:val="single" w:color="FBF1D7" w:sz="4" w:space="0"/>
              <w:right w:val="single" w:color="FBF1D7" w:sz="0"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single" w:color="FBF1D7" w:sz="4" w:space="0"/>
              <w:left w:val="single" w:color="FBF1D7" w:sz="0" w:space="0"/>
              <w:bottom w:val="single" w:color="FBF1D7" w:sz="4" w:space="0"/>
              <w:right w:val="single" w:color="FBF1D7"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3"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7"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0" w:type="dxa"/>
            <w:tcBorders>
              <w:top w:val="single" w:color="FBF1D7" w:sz="4" w:space="0"/>
              <w:left w:val="single" w:color="FBF1D7" w:sz="4" w:space="0"/>
              <w:bottom w:val="single" w:color="FBF1D7" w:sz="4" w:space="0"/>
              <w:right w:val="single" w:color="FBF1D7" w:sz="0"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1" w:type="dxa"/>
            <w:tcBorders>
              <w:top w:val="single" w:color="FBF1D7" w:sz="4" w:space="0"/>
              <w:left w:val="single" w:color="FBF1D7" w:sz="0"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tcBorders>
              <w:top w:val="single" w:color="FBF1D7" w:sz="4" w:space="0"/>
              <w:left w:val="single" w:color="FBF1D7" w:sz="4" w:space="0"/>
              <w:bottom w:val="single" w:color="FBF1D7" w:sz="4" w:space="0"/>
              <w:right w:val="single" w:color="FBF1D7" w:sz="0"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FBF1D7" w:sz="4" w:space="0"/>
              <w:left w:val="single" w:color="FBF1D7" w:sz="0"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9"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4" w:type="dxa"/>
            <w:tcBorders>
              <w:top w:val="single" w:color="FBF1D7" w:sz="4" w:space="0"/>
              <w:left w:val="single" w:color="FBF1D7" w:sz="4" w:space="0"/>
              <w:bottom w:val="single" w:color="FBF1D7" w:sz="4" w:space="0"/>
              <w:right w:val="single" w:color="FBF1D7"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65" w:type="dxa"/>
            <w:gridSpan w:val="8"/>
            <w:tcBorders>
              <w:top w:val="single" w:color="FBF1D7" w:sz="4" w:space="0"/>
              <w:left w:val="single" w:color="FFFFFF" w:sz="4" w:space="0"/>
              <w:bottom w:val="single" w:color="E9AD1D" w:sz="4" w:space="0"/>
              <w:right w:val="single" w:color="FBF1D7" w:sz="4" w:space="0"/>
            </w:tcBorders>
            <w:shd w:val="clear" w:color="auto" w:fill="FBF1D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61" w:type="dxa"/>
            <w:gridSpan w:val="2"/>
            <w:tcBorders>
              <w:top w:val="single" w:color="FBF1D7" w:sz="4" w:space="0"/>
              <w:left w:val="single" w:color="FBF1D7" w:sz="4" w:space="0"/>
              <w:bottom w:val="single" w:color="E9AD1D" w:sz="4" w:space="0"/>
              <w:right w:val="single" w:color="FBF1D7" w:sz="4" w:space="0"/>
            </w:tcBorders>
            <w:shd w:val="clear" w:color="auto" w:fill="FBF1D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1" w:type="dxa"/>
            <w:gridSpan w:val="2"/>
            <w:tcBorders>
              <w:top w:val="single" w:color="FBF1D7" w:sz="4" w:space="0"/>
              <w:left w:val="single" w:color="FBF1D7" w:sz="4" w:space="0"/>
              <w:bottom w:val="single" w:color="E9AD1D" w:sz="4" w:space="0"/>
              <w:right w:val="single" w:color="FBF1D7" w:sz="4" w:space="0"/>
            </w:tcBorders>
            <w:shd w:val="clear" w:color="auto" w:fill="FBF1D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90.00分</w:t>
            </w:r>
          </w:p>
        </w:tc>
        <w:tc>
          <w:tcPr>
            <w:tcW w:w="1693" w:type="dxa"/>
            <w:gridSpan w:val="2"/>
            <w:tcBorders>
              <w:top w:val="single" w:color="FBF1D7" w:sz="4" w:space="0"/>
              <w:left w:val="single" w:color="FBF1D7" w:sz="4" w:space="0"/>
              <w:bottom w:val="single" w:color="E9AD1D" w:sz="4" w:space="0"/>
              <w:right w:val="single" w:color="FFFFFF" w:sz="4" w:space="0"/>
            </w:tcBorders>
            <w:shd w:val="clear" w:color="auto" w:fill="FBF1D7"/>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539" w:tblpY="1184"/>
        <w:tblOverlap w:val="never"/>
        <w:tblW w:w="11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6"/>
        <w:gridCol w:w="428"/>
        <w:gridCol w:w="1006"/>
        <w:gridCol w:w="1738"/>
        <w:gridCol w:w="2082"/>
        <w:gridCol w:w="1070"/>
        <w:gridCol w:w="1033"/>
        <w:gridCol w:w="912"/>
        <w:gridCol w:w="170"/>
        <w:gridCol w:w="90"/>
        <w:gridCol w:w="389"/>
        <w:gridCol w:w="260"/>
        <w:gridCol w:w="90"/>
        <w:gridCol w:w="188"/>
        <w:gridCol w:w="350"/>
        <w:gridCol w:w="51"/>
        <w:gridCol w:w="350"/>
        <w:gridCol w:w="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1160"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11160"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306"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公共卫生补助经费区级配套资金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8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69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乌鲁木齐市水磨沟区卫生健康委员会</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6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85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6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8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278.00</w:t>
            </w: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278.00</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278.00</w:t>
            </w:r>
          </w:p>
        </w:tc>
        <w:tc>
          <w:tcPr>
            <w:tcW w:w="6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2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6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2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735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37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9"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国家对医疗卫生体制改革的规划，基层医疗卫生机构开展15项基本公共卫生服务项目，该经费的具体开支包括：慢性病管理、65岁以上老年人、孕产妇、0-6岁儿童、严重精神障碍者等特殊人群管理、传染病防控、计划免疫、家庭医生签约、中医药保健服务以及卫生监督协管等。计划到2022年高血压、2型糖尿病患者规范管理率达到60%及以上，适龄儿童免疫规划疫苗接种率保持在90%以上。建立区域职业病防治中心，逐步完善全区职业病危害防治技术支撑体系。监测全区饮用水卫生基本状况，掌握重点公共场所主要健康危害因素，评价健康风险，掌握环境卫生健康危害因素水平及动态变化。</w:t>
            </w:r>
          </w:p>
        </w:tc>
        <w:tc>
          <w:tcPr>
            <w:tcW w:w="337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医疗卫生机构开展15项基本公共卫生服务项目,适龄人群国家免疫规划疫苗接种率为96.25%，居民健康档案建档率为77.28%，7岁以下儿童健康管理率为94.06%，提高居民健康保健意识和身体素质，增强基本公共卫生服务水平，推动公共卫生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0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73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08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7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82"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9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649"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9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538"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01" w:type="dxa"/>
            <w:gridSpan w:val="2"/>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527"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8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47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53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278"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4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4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公共卫生惠及我区人口数</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&gt;=16.10万人</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16.13万人</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公共卫生服务覆盖率</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补助资金发放准确率</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经费发放及时率</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基本公共卫生人均标准</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&lt;=17.24元/人/年</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17.24元/人/年</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提高居民健康保健意识、推动公共卫生事业发展</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有效提高</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完全达到预期效果</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提高我区居民身体素质、增强基本公共卫生服务水平</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持续增强</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完全达到预期效果</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8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辖区居民满意度</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10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886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4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100.00分</w:t>
            </w:r>
          </w:p>
        </w:tc>
        <w:tc>
          <w:tcPr>
            <w:tcW w:w="12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tbl>
      <w:tblPr>
        <w:tblStyle w:val="8"/>
        <w:tblpPr w:leftFromText="180" w:rightFromText="180" w:vertAnchor="text" w:horzAnchor="page" w:tblpX="239" w:tblpY="1366"/>
        <w:tblOverlap w:val="never"/>
        <w:tblW w:w="11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8"/>
        <w:gridCol w:w="777"/>
        <w:gridCol w:w="795"/>
        <w:gridCol w:w="1451"/>
        <w:gridCol w:w="2914"/>
        <w:gridCol w:w="673"/>
        <w:gridCol w:w="872"/>
        <w:gridCol w:w="1140"/>
        <w:gridCol w:w="711"/>
        <w:gridCol w:w="69"/>
        <w:gridCol w:w="361"/>
        <w:gridCol w:w="330"/>
        <w:gridCol w:w="338"/>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628" w:hRule="atLeast"/>
        </w:trPr>
        <w:tc>
          <w:tcPr>
            <w:tcW w:w="1149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22" w:hRule="atLeast"/>
        </w:trPr>
        <w:tc>
          <w:tcPr>
            <w:tcW w:w="1149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3"/>
                <w:szCs w:val="13"/>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638"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1096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944"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74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乌鲁木齐市水磨沟区卫生健康委员会</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16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638"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c>
          <w:tcPr>
            <w:tcW w:w="3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638"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2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160.00</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160.00</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1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2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1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2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1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2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2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8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90"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74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4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9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拨付全面健康体检经费和已婚妇女体检经费，用于全民免费健康体检和已婚妇女体检工作，全面健康体检按人均100元补助，体检人数达1万人，已婚妇女体检按人均1000元补助，体检人数600人。通过体检、通过筛查，把防和治有机结合起来，也普及了健康的基本知识。开展全民健康体检工作，体检覆盖率达到100%，并在2022年11月底前完成体检工作。使居民健康保健意识、知晓率和健康水平逐步提高。</w:t>
            </w:r>
          </w:p>
        </w:tc>
        <w:tc>
          <w:tcPr>
            <w:tcW w:w="34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该项目推进我区医疗惠民工程，提高基层公共卫生服务能力，增强群众健康意识，保障群众身心健康，2022年度全民健康体检受益人数为39277人，居民知晓率和健康水平逐步提高。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503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8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03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4"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全民免费体检覆盖率</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&gt;=98%</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3.14</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3"/>
                <w:szCs w:val="13"/>
                <w:u w:val="none"/>
                <w:lang w:val="en-US" w:eastAsia="zh-CN" w:bidi="ar"/>
              </w:rPr>
              <w:t>因受</w:t>
            </w:r>
            <w:r>
              <w:rPr>
                <w:rFonts w:hint="eastAsia" w:ascii="宋体" w:hAnsi="宋体" w:cs="宋体"/>
                <w:i w:val="0"/>
                <w:color w:val="000000"/>
                <w:kern w:val="0"/>
                <w:sz w:val="13"/>
                <w:szCs w:val="13"/>
                <w:highlight w:val="none"/>
                <w:u w:val="none"/>
                <w:lang w:val="en-US" w:eastAsia="zh-CN" w:bidi="ar"/>
              </w:rPr>
              <w:t>防控</w:t>
            </w:r>
            <w:r>
              <w:rPr>
                <w:rFonts w:hint="eastAsia" w:ascii="宋体" w:hAnsi="宋体" w:eastAsia="宋体" w:cs="宋体"/>
                <w:i w:val="0"/>
                <w:color w:val="000000"/>
                <w:kern w:val="0"/>
                <w:sz w:val="13"/>
                <w:szCs w:val="13"/>
                <w:u w:val="none"/>
                <w:lang w:val="en-US" w:eastAsia="zh-CN" w:bidi="ar"/>
              </w:rPr>
              <w:t>影响，居民不能出户，未能参加体检，导致全民健康体检人数未达标。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全民免费体检人数</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&lt;=1万人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0.4379万人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已婚妇女体检人数</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&lt;=600人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体检工作完成率</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3.42</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w:t>
            </w:r>
            <w:r>
              <w:rPr>
                <w:rFonts w:hint="eastAsia" w:ascii="宋体" w:hAnsi="宋体" w:eastAsia="宋体" w:cs="宋体"/>
                <w:i w:val="0"/>
                <w:color w:val="000000"/>
                <w:kern w:val="0"/>
                <w:sz w:val="16"/>
                <w:szCs w:val="16"/>
                <w:highlight w:val="none"/>
                <w:u w:val="none"/>
                <w:lang w:val="en-US" w:eastAsia="zh-CN" w:bidi="ar"/>
              </w:rPr>
              <w:t>受</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影响，居民不能出户，未能参加体检，导致全民健康体检人数未达标。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经费支付及时率</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全民体检人均标准</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=100元/人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0元/人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由于财政紧张该经费未及时下拨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已婚妇女体检人均标准</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=1000元/人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0元/人</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由于财政紧张该经费未及时下拨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做到早发现、早诊断、早治疗、早预防，提高群众健康水平的生活质量。</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有效提高</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完全达到预期效果</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提高我区居民身体素质、增强卫生服务水平</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持续增强</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完全达到预期效果</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2"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50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全区居民满意度</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68" w:hRule="atLeast"/>
        </w:trPr>
        <w:tc>
          <w:tcPr>
            <w:tcW w:w="915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67.56分</w:t>
            </w:r>
          </w:p>
        </w:tc>
        <w:tc>
          <w:tcPr>
            <w:tcW w:w="8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tbl>
      <w:tblPr>
        <w:tblStyle w:val="8"/>
        <w:tblpPr w:leftFromText="180" w:rightFromText="180" w:vertAnchor="text" w:horzAnchor="page" w:tblpX="299" w:tblpY="1171"/>
        <w:tblOverlap w:val="never"/>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4"/>
        <w:gridCol w:w="405"/>
        <w:gridCol w:w="486"/>
        <w:gridCol w:w="1902"/>
        <w:gridCol w:w="2715"/>
        <w:gridCol w:w="986"/>
        <w:gridCol w:w="750"/>
        <w:gridCol w:w="750"/>
        <w:gridCol w:w="231"/>
        <w:gridCol w:w="334"/>
        <w:gridCol w:w="315"/>
        <w:gridCol w:w="533"/>
        <w:gridCol w:w="385"/>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114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14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1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26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乌财社[2021]348号关于提前下达2022年自治区基本公共卫生服务补助资金预算[直达资金]的通知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11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8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44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11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24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2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9"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4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对医疗卫生体制改革的规划，基层医疗卫生机构开展15项基本公共卫生服务项目，该经费的具体开支包括：慢性病管理、65岁以上老年人、孕产妇、0-6岁儿童、严重精神障碍者等特殊人群管理、传染病防控、计划免疫、家庭医生签约、中医药保健服务以及卫生监督协管等。计划到2022年高血压、2型糖尿病患者规范管理率达到60%及以上，适龄儿童免疫规划疫苗接种率保持在90%以上。建立区域职业病防治中心，逐步完善全区职业病危害防治技术支撑体系。监测全区饮用水卫生基本状况，掌握重点公共场所主要健康危害因素，评价健康风险，掌握环境卫生健康危害因素水平及动态变化。</w:t>
            </w:r>
          </w:p>
        </w:tc>
        <w:tc>
          <w:tcPr>
            <w:tcW w:w="342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基层医疗卫生机构开展15项基本公共卫生服务项目,适龄人群国家免疫规划疫苗接种率为96.25%，居民健康档案建档率为77.28%，7岁以下儿童健康管理率为94.06%，提高居民健康保健意识和身体素质，增强基本公共卫生服务水平，推动公共卫生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8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90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71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8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3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3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1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3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874"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560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5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0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4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适龄人群国家免疫规划疫苗接种人数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96.25%</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肺结核患者管理率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公共卫生惠及我区人口数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&gt;=18.6万人</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18.66万人</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公共卫生服务覆盖率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补助资金发放准确率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项目预算控制率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基本公共卫生人均标准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&gt;=4.5元</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提高居民健康保健意识、推动公共卫生事业发展</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提高我区居民身体素质、增强基本公共卫生服务水平</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2" w:hRule="atLeast"/>
        </w:trPr>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60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辖区居民满意度</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72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100.00分</w:t>
            </w:r>
          </w:p>
        </w:tc>
        <w:tc>
          <w:tcPr>
            <w:tcW w:w="12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464" w:tblpY="727"/>
        <w:tblOverlap w:val="never"/>
        <w:tblW w:w="11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
        <w:gridCol w:w="795"/>
        <w:gridCol w:w="870"/>
        <w:gridCol w:w="1161"/>
        <w:gridCol w:w="3112"/>
        <w:gridCol w:w="422"/>
        <w:gridCol w:w="1080"/>
        <w:gridCol w:w="1305"/>
        <w:gridCol w:w="184"/>
        <w:gridCol w:w="206"/>
        <w:gridCol w:w="226"/>
        <w:gridCol w:w="524"/>
        <w:gridCol w:w="346"/>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11131"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1131"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06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乌财社[2021]355号关于提前下达2022年中央基本药物制度补助资金[直达资金]预算的通知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64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9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112.70</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112.70</w:t>
            </w:r>
          </w:p>
        </w:tc>
        <w:tc>
          <w:tcPr>
            <w:tcW w:w="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112.7</w:t>
            </w:r>
          </w:p>
        </w:tc>
        <w:tc>
          <w:tcPr>
            <w:tcW w:w="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4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2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9"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百分之百落实基本药物制度，推进综合改革顺利进行。对实施国家基本药物制度的村卫生室、乡卫生院、社服中心（站）给予补助，支持国家基本药物制度确保在基层医疗卫生机构顺利实施。该项目的实施保证基层医疗卫生机构的公益性，减少我区群众用药负担，缓解我区居民看病贵问题，以采购量优势换取价格优势，大幅降低进药成本，并且按照零差价销售基本药物，让利群众，满足大多数人口的需求，引导群众形成合理科学的用药习惯，从而提高我区群众健康素质。</w:t>
            </w:r>
          </w:p>
        </w:tc>
        <w:tc>
          <w:tcPr>
            <w:tcW w:w="342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要求基层医疗卫生机构全面施行“基本药物制度”为降低医疗服务成本，缓解群众就医经济压力。实施基本药物制度医疗卫生机构数量为10家，实施基本药物制度村卫生室数量为1家。以采购量优势换取价格优势，大幅降低进药成本；并且按照零差价销售基本药物，让利群众。基层医疗卫生机构百分之百落实基本药物制度，推进综合改革顺利进行。该项目的实施保证基层医疗卫生机构的公益性，减少我区群众用药负担，缓解我区居民看病贵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87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6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11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2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8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0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2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24"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4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3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3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5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97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2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实施基本药物制度医疗卫生机构数量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=10家</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10家</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实施基本药物制度村卫生室数量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=1家</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1家</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基层医疗卫生机构实施国家基本药物制度覆盖率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医疗卫生机构补助资金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&lt;=110.60万元</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110.6万元</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村卫生室补助资金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&lt;=2.10万元</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2.1万元</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支持国家基本药物制度顺利实施，保证医疗卫生机构的公益性</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有效支持</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提高我区居民健康素质，减轻居民用药负担</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trPr>
        <w:tc>
          <w:tcPr>
            <w:tcW w:w="2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6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服务群众满意度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90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100.00分</w:t>
            </w:r>
          </w:p>
        </w:tc>
        <w:tc>
          <w:tcPr>
            <w:tcW w:w="9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494" w:tblpY="716"/>
        <w:tblOverlap w:val="never"/>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445"/>
        <w:gridCol w:w="525"/>
        <w:gridCol w:w="1739"/>
        <w:gridCol w:w="2452"/>
        <w:gridCol w:w="1359"/>
        <w:gridCol w:w="630"/>
        <w:gridCol w:w="750"/>
        <w:gridCol w:w="291"/>
        <w:gridCol w:w="327"/>
        <w:gridCol w:w="316"/>
        <w:gridCol w:w="480"/>
        <w:gridCol w:w="367"/>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113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113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09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乌财社[2021]363号关于提前下达2022年中央基本公共卫生服务补助资金[直达资金]预算的通知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7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34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0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1260.00</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1223.00</w:t>
            </w:r>
          </w:p>
        </w:tc>
        <w:tc>
          <w:tcPr>
            <w:tcW w:w="6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97.06%</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1223</w:t>
            </w:r>
          </w:p>
        </w:tc>
        <w:tc>
          <w:tcPr>
            <w:tcW w:w="6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38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对医疗卫生体制改革的规划，基层医疗卫生机构开展15项基本公共卫生服务项目，该经费的具体开支包括：慢性病管理、65岁以上老年人、孕产妇、0-6岁儿童、严重精神障碍者等特殊人群管理、传染病防控、计划免疫、家庭医生签约、中医药保健服务以及卫生监督协管等。计划有效控制疾病流行，为指定相关政策提供科学依据。助力国家脱贫攻坚，保持重点地方病防治措施全面落实。开展职业病监测，最大限度地保护放射工作人员、患者和公众的健康权益，同时推进妇幼卫生、健康素养促进、医养结合和老年监控服务、卫生应急等。</w:t>
            </w:r>
          </w:p>
        </w:tc>
        <w:tc>
          <w:tcPr>
            <w:tcW w:w="338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开展15项基本公共卫生服务项目,适龄人群国家免疫规划疫苗接种率为96.25%，居民健康档案建档率为77.28%，7岁以下儿童健康管理率为94.06%，提高居民健康保健意识和身体素质，增强基本公共卫生服务水平，推动公共卫生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2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73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45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35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9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2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1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8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6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855"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55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1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9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4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适龄人群国家免疫规划疫苗接种率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96.25%</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7岁以下儿童健康管理率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94.06%</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全员人口覆盖率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公共卫生惠及我区人口数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&gt;=21万人</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21万人</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公共卫生服务覆盖率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补助资金发放准确率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项目预算控制率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基本公共卫生人均标准</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&gt;=60元/人</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60元/人</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提高居民健康保健意识、推动公共卫生事业发展</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提高我区居民身体素质、增强基本公共卫生服务水平</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不断提高</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5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辖区居民满意度</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84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99.71分</w:t>
            </w:r>
          </w:p>
        </w:tc>
        <w:tc>
          <w:tcPr>
            <w:tcW w:w="12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pPr w:leftFromText="180" w:rightFromText="180" w:vertAnchor="text" w:horzAnchor="page" w:tblpX="509" w:tblpY="553"/>
        <w:tblOverlap w:val="never"/>
        <w:tblW w:w="11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7"/>
        <w:gridCol w:w="868"/>
        <w:gridCol w:w="945"/>
        <w:gridCol w:w="1353"/>
        <w:gridCol w:w="2503"/>
        <w:gridCol w:w="240"/>
        <w:gridCol w:w="1034"/>
        <w:gridCol w:w="1080"/>
        <w:gridCol w:w="419"/>
        <w:gridCol w:w="240"/>
        <w:gridCol w:w="426"/>
        <w:gridCol w:w="325"/>
        <w:gridCol w:w="432"/>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11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11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959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乌财社【2021】350号关于提前下达2022年自治区公共卫生服务[地方公共卫生]补助资金预算的通知（转移支付）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60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乌鲁木齐市水磨沟区卫生健康委员会</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0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5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172.11</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2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172.11</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2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69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5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市卫健委要求，为水磨沟区所有新疆籍群众开展健康体检服务，检测全人群的健康指标，及时掌握各类疾病对社会造成的负担，实现从“治疗为主”向“预防为主”的健康保障方式的转变。及时拨付全面健康体检经费，用于全民免费健康体检工作，按人均100元补助，体检人数可以高达1,7万人，通过体检、通过筛查，把防和治有机结合起来，也普及了健康的基本知识。开展全民健康体检工作，体检覆盖率达到100%，全民体检设备到位率达到70%并在2022年11月底前完成体检工作。使居民健康保健意识、知晓率和健康水平逐步提高。</w:t>
            </w:r>
          </w:p>
        </w:tc>
        <w:tc>
          <w:tcPr>
            <w:tcW w:w="35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该项目推进我区医疗惠民工程，提高基层公共卫生服务能力，增强群众健康意识，保障群众身心健康，2022年度全民健康体检受益人数为39277人，居民知晓率和健康水平逐步提高。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94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35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50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34"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19"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2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32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3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593"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09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8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全民健康体检受益人数</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&lt;=1.72万人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0.3405万人</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全民健康体检覆盖率</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影响，居民不能出户，未能参加体检，导致全民健康体检人数未达标。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体检完成率</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影响，居民不能出户，未能参加体检，导致全民健康体检人数未达标。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居民健康档案规范化电子建档率</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&gt;=75%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77.28%</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资金拨付及时率</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全民健康体检人均费用</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=100元/人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0元/人</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影响，居民不能出户，未能参加体检，导致全民健康体检人数未达标。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提升了居民健康意识，提高居民健康水平</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完全达到预期效果</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增强了群众健康获得感，提高居民生活质量和健康意识率</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持续增强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完全达到预期效果</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0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全民健康体检受益人满意度</w:t>
            </w: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86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67.43</w:t>
            </w:r>
          </w:p>
        </w:tc>
        <w:tc>
          <w:tcPr>
            <w:tcW w:w="10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tbl>
      <w:tblPr>
        <w:tblStyle w:val="8"/>
        <w:tblpPr w:leftFromText="180" w:rightFromText="180" w:vertAnchor="text" w:horzAnchor="page" w:tblpX="539" w:tblpY="879"/>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8"/>
        <w:gridCol w:w="762"/>
        <w:gridCol w:w="1110"/>
        <w:gridCol w:w="638"/>
        <w:gridCol w:w="2407"/>
        <w:gridCol w:w="1095"/>
        <w:gridCol w:w="1058"/>
        <w:gridCol w:w="772"/>
        <w:gridCol w:w="66"/>
        <w:gridCol w:w="609"/>
        <w:gridCol w:w="48"/>
        <w:gridCol w:w="637"/>
        <w:gridCol w:w="325"/>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27" w:hRule="atLeast"/>
        </w:trPr>
        <w:tc>
          <w:tcPr>
            <w:tcW w:w="1125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270" w:hRule="atLeast"/>
        </w:trPr>
        <w:tc>
          <w:tcPr>
            <w:tcW w:w="1125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48" w:hRule="atLeast"/>
        </w:trPr>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332"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乌财社【2022】8号关于拨付各区县2021年第四季度集中医学观察点食宿费补助资金的通知（转移支付）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36" w:hRule="atLeast"/>
        </w:trPr>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01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42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36" w:hRule="atLeast"/>
        </w:trPr>
        <w:tc>
          <w:tcPr>
            <w:tcW w:w="9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5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2088.00</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2088.00</w:t>
            </w:r>
          </w:p>
        </w:tc>
        <w:tc>
          <w:tcPr>
            <w:tcW w:w="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4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w:t>
            </w:r>
          </w:p>
        </w:tc>
        <w:tc>
          <w:tcPr>
            <w:tcW w:w="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4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4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48" w:hRule="atLeast"/>
        </w:trPr>
        <w:tc>
          <w:tcPr>
            <w:tcW w:w="9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01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市委财经委《2021年第2次会议纪要》和市防控指挥部综合组医学观察专班《乌鲁木齐市2021年第四季度累计集中医学观察人数》，保障集中医学观察点工作顺利开展，根据隔离人数，按照126元/天的标准和每人隔离14天的时长计算，该项目我区2021年第四季度隔离人数11837人，项目经费资金2088万元，专项用于集中医学观察点的食宿费用。要打赢新型冠状病毒感染的肺炎阻击战，保障群众的身体健康和生命安全，保证我区新冠肺炎0病例，0传染，保障我区人民正常生产生活。</w:t>
            </w:r>
          </w:p>
        </w:tc>
        <w:tc>
          <w:tcPr>
            <w:tcW w:w="4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了保障集中医学观察点工作顺利开展，按照126元/天的标准和每人隔离14天的时长计算，拨付项目经费2088万元，专项用于集中医学观察点的食宿费用。做好新型冠状病毒肺炎防控工作，提高新型冠状病毒防治水平和应对能力，建立健全新型冠状病毒肺炎防控救治体系，及时有效的采取防控措施，控制的传播、蔓延，构建平安和谐社会。保障广大群众的身体健康和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9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14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8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四季度隔离累计人数</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=1.18万人</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1.18万人</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隔离人员平均补助天数</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=14天</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14天</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定点宾馆数量</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&gt;=45家</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51家</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定点供餐企业数量</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&gt;=7家</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9家</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特定人员隔离率</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防控时效</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隔离人员食宿标准</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=126元/人/天</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126元/人/天</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打赢防控阻击战，保障群众的身体健康和生命安全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新冠病毒病例数量</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=0例</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0例</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新冠病毒二次传染数量</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=0例</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0例</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提高新冠病毒防治水平，确保防控工作平稳可控</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新冠防疫期</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隔离人员满意率</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9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工作人员满意度</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356" w:hRule="atLeast"/>
        </w:trPr>
        <w:tc>
          <w:tcPr>
            <w:tcW w:w="876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1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599" w:tblpY="495"/>
        <w:tblOverlap w:val="never"/>
        <w:tblW w:w="11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
        <w:gridCol w:w="897"/>
        <w:gridCol w:w="810"/>
        <w:gridCol w:w="1437"/>
        <w:gridCol w:w="2763"/>
        <w:gridCol w:w="60"/>
        <w:gridCol w:w="930"/>
        <w:gridCol w:w="1560"/>
        <w:gridCol w:w="139"/>
        <w:gridCol w:w="339"/>
        <w:gridCol w:w="335"/>
        <w:gridCol w:w="177"/>
        <w:gridCol w:w="591"/>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119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119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87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乌财社【2022】25号关于拨付2021年7月至12月免费婚前医学检查费用的通知（配套）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0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1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8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8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8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8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89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7"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9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通过各婚检医院对新婚夫妇实施科学婚前医学检查，享受免费婚前检查2107人，市级补助标准45元/人，为群众提供免费的、优质的婚前医学检查，有效控制传染病的传播，减少新生儿出生缺陷，促进优生优育，提高人口素质。</w:t>
            </w:r>
          </w:p>
        </w:tc>
        <w:tc>
          <w:tcPr>
            <w:tcW w:w="38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遵从上级部门的工作安排，保质保量的完成上级下达的各项任务。严格把控项目资金使用，使得资金落实到位。 以市级补助标准45元/人，发放2170人，共拨付9.48万元，有效控制传染病的传播，减少新生儿出生缺陷，促进优生优育，提高人口素质。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2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7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1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3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2021年7月至12月享受免费婚前医学检查人数</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=2107人</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2107人</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享受免费婚前医学检查补助标准</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提高出生人口质量，优生优育</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为群众提高免费的优质的婚前保健服务，有效控制传染病的传播</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持续控制</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2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享受婚前免费检查群众满意度</w:t>
            </w:r>
          </w:p>
        </w:tc>
        <w:tc>
          <w:tcPr>
            <w:tcW w:w="9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8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464" w:tblpY="400"/>
        <w:tblOverlap w:val="never"/>
        <w:tblW w:w="11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9"/>
        <w:gridCol w:w="851"/>
        <w:gridCol w:w="1170"/>
        <w:gridCol w:w="819"/>
        <w:gridCol w:w="1466"/>
        <w:gridCol w:w="1093"/>
        <w:gridCol w:w="1407"/>
        <w:gridCol w:w="540"/>
        <w:gridCol w:w="680"/>
        <w:gridCol w:w="464"/>
        <w:gridCol w:w="600"/>
        <w:gridCol w:w="90"/>
        <w:gridCol w:w="1616"/>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26" w:hRule="atLeast"/>
        </w:trPr>
        <w:tc>
          <w:tcPr>
            <w:tcW w:w="1117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28" w:hRule="atLeast"/>
        </w:trPr>
        <w:tc>
          <w:tcPr>
            <w:tcW w:w="1117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45" w:hRule="atLeast"/>
        </w:trPr>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94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乌财社【2022】25号关于拨付2021年7月至12月免费婚前医学检查费用的通知(转移支付）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2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95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5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2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2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5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8" w:hRule="atLeast"/>
        </w:trPr>
        <w:tc>
          <w:tcPr>
            <w:tcW w:w="3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8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9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1863"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8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通过各婚检医院对新婚夫妇实施科学婚前医学检查，享受免费婚前检查2107人，市级补助标准45元/人，为群众提供免费的、优质的婚前医学检查，有效控制传染病的传播，减少新生儿出生缺陷，促进优生优育，提高人口素质。</w:t>
            </w:r>
          </w:p>
        </w:tc>
        <w:tc>
          <w:tcPr>
            <w:tcW w:w="39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遵从上级部门的工作安排，保质保量的完成上级下达的各项任务。严格把控项目资金使用，使得资金落实到位。  享受免费婚前检查2107人，市级补助标准45元/人，共拨付9.48万元，为群众提供免费的、优质的婚前医学检查，有效控制传染病的传播，减少新生儿出生缺陷，促进优生优育，提高人口素质。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28" w:hRule="atLeast"/>
        </w:trPr>
        <w:tc>
          <w:tcPr>
            <w:tcW w:w="3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28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4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2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7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12"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8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45" w:hRule="atLeast"/>
        </w:trPr>
        <w:tc>
          <w:tcPr>
            <w:tcW w:w="3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2021年7月至12月享受免费婚前医学检查人数</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=2107人</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2107人</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95"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45"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53"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享受免费婚前医学检查补助标准</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64"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46"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提高出生人口质量，优生优育</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294"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35"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为群众提高免费的优质的婚前保健服务，有效控制传染病的传播</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持续控制</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740" w:hRule="atLeast"/>
        </w:trPr>
        <w:tc>
          <w:tcPr>
            <w:tcW w:w="3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享受婚前免费检查群众满意度</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1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70" w:hRule="atLeast"/>
        </w:trPr>
        <w:tc>
          <w:tcPr>
            <w:tcW w:w="718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2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90.00分</w:t>
            </w:r>
          </w:p>
        </w:tc>
        <w:tc>
          <w:tcPr>
            <w:tcW w:w="1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449" w:tblpY="702"/>
        <w:tblOverlap w:val="never"/>
        <w:tblW w:w="11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0"/>
        <w:gridCol w:w="865"/>
        <w:gridCol w:w="1275"/>
        <w:gridCol w:w="729"/>
        <w:gridCol w:w="2647"/>
        <w:gridCol w:w="1310"/>
        <w:gridCol w:w="750"/>
        <w:gridCol w:w="870"/>
        <w:gridCol w:w="199"/>
        <w:gridCol w:w="297"/>
        <w:gridCol w:w="206"/>
        <w:gridCol w:w="495"/>
        <w:gridCol w:w="378"/>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112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112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99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乌财社【2022】55号和乌财社【2022】59号关于下达2022年“三保”及防控补助资金预算的通知（转移支付）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7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2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5723.00</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5723.00</w:t>
            </w:r>
          </w:p>
        </w:tc>
        <w:tc>
          <w:tcPr>
            <w:tcW w:w="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5723</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5723</w:t>
            </w:r>
          </w:p>
        </w:tc>
        <w:tc>
          <w:tcPr>
            <w:tcW w:w="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57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27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6"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7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支持水区落实新冠肺炎防控各项政策措施，尽快实现“六个清零”，稳妥恢复正常生产生活秩序，缓解水区财政压力，水区“三保”及防控补助资金预算拨入防控补助资金5723万元，主要用于保障基层“三保”，安排核酸检测、患者救治、防疫物资及必要生活物资保供等防控必要支出。一定坚决打赢新型冠状病毒感染的肺炎狙击战，保障群众的身体健康和生命安全，保障我区人民正常生产生活。</w:t>
            </w:r>
          </w:p>
        </w:tc>
        <w:tc>
          <w:tcPr>
            <w:tcW w:w="327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们严格按照文件要求，给22家供餐企业支付餐费1811.29万元，给34家物资供应商支付经费2831万元，，给5家核酸试剂及采样管商家支付经费1000万元，给5家供应住宿商家支付经费80万元，资金拨付准确率和及时率达到95%，社会效益和可持续效益完全达到了预期效果，提高了新型冠状病毒防治水平和应对能力，建立健全了新型冠状病毒肺炎防控救治体系，及时有效的采取防控措施，控制传播、蔓延，构建平安和谐社会。保障广大群众的身体健康和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68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9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1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8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供应核酸试剂及采样管商家数量</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&lt;=5家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5家</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防控物资供应商数量</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&lt;=34家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34家</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供应餐饮商家数量</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&lt;=22家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20家</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资金分配时，因特殊情况商务局少分配两家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供应住宿商家数量</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5家</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支付核酸试剂及采样管经费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&lt;=1000万元</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1000万元</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支付防控物资经费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&lt;=2831万元</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2831万元</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8"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支付商家住宿经费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&lt;=446万元</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80万元</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w:t>
            </w:r>
            <w:r>
              <w:rPr>
                <w:rFonts w:hint="eastAsia" w:ascii="宋体" w:hAnsi="宋体" w:cs="宋体"/>
                <w:i w:val="0"/>
                <w:color w:val="000000"/>
                <w:kern w:val="0"/>
                <w:sz w:val="18"/>
                <w:szCs w:val="18"/>
                <w:highlight w:val="none"/>
                <w:u w:val="none"/>
                <w:lang w:val="en-US" w:eastAsia="zh-CN" w:bidi="ar"/>
              </w:rPr>
              <w:t>防控</w:t>
            </w:r>
            <w:r>
              <w:rPr>
                <w:rFonts w:hint="eastAsia" w:ascii="宋体" w:hAnsi="宋体" w:eastAsia="宋体" w:cs="宋体"/>
                <w:i w:val="0"/>
                <w:color w:val="000000"/>
                <w:kern w:val="0"/>
                <w:sz w:val="18"/>
                <w:szCs w:val="18"/>
                <w:highlight w:val="none"/>
                <w:u w:val="none"/>
                <w:lang w:val="en-US" w:eastAsia="zh-CN" w:bidi="ar"/>
              </w:rPr>
              <w:t>原</w:t>
            </w:r>
            <w:r>
              <w:rPr>
                <w:rFonts w:hint="eastAsia" w:ascii="宋体" w:hAnsi="宋体" w:eastAsia="宋体" w:cs="宋体"/>
                <w:i w:val="0"/>
                <w:color w:val="000000"/>
                <w:kern w:val="0"/>
                <w:sz w:val="18"/>
                <w:szCs w:val="18"/>
                <w:u w:val="none"/>
                <w:lang w:val="en-US" w:eastAsia="zh-CN" w:bidi="ar"/>
              </w:rPr>
              <w:t>因急需支付隔离点餐费，所以少付住宿费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7"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支付商家餐费经费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&lt;=1440万元</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1811.29万元</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w:t>
            </w:r>
            <w:r>
              <w:rPr>
                <w:rFonts w:hint="eastAsia" w:ascii="宋体" w:hAnsi="宋体" w:cs="宋体"/>
                <w:i w:val="0"/>
                <w:color w:val="000000"/>
                <w:kern w:val="0"/>
                <w:sz w:val="18"/>
                <w:szCs w:val="18"/>
                <w:highlight w:val="none"/>
                <w:u w:val="none"/>
                <w:lang w:val="en-US" w:eastAsia="zh-CN" w:bidi="ar"/>
              </w:rPr>
              <w:t>防控</w:t>
            </w:r>
            <w:r>
              <w:rPr>
                <w:rFonts w:hint="eastAsia" w:ascii="宋体" w:hAnsi="宋体" w:eastAsia="宋体" w:cs="宋体"/>
                <w:i w:val="0"/>
                <w:color w:val="000000"/>
                <w:kern w:val="0"/>
                <w:sz w:val="18"/>
                <w:szCs w:val="18"/>
                <w:u w:val="none"/>
                <w:lang w:val="en-US" w:eastAsia="zh-CN" w:bidi="ar"/>
              </w:rPr>
              <w:t>原因隔离人数增加导致供餐数量增加，根据财政要求增加餐费支出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增强做好防控的责任感和紧迫感，统筹做好防控工作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有效增强</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完全达到预期数量</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持续提升防控能力水平，守护人民群众生命安全和身体健康</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完全达到预期数量</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6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隔离人员满意度</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879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94.50分</w:t>
            </w:r>
          </w:p>
        </w:tc>
        <w:tc>
          <w:tcPr>
            <w:tcW w:w="1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494" w:tblpY="616"/>
        <w:tblOverlap w:val="never"/>
        <w:tblW w:w="11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2"/>
        <w:gridCol w:w="913"/>
        <w:gridCol w:w="1395"/>
        <w:gridCol w:w="720"/>
        <w:gridCol w:w="2819"/>
        <w:gridCol w:w="496"/>
        <w:gridCol w:w="1380"/>
        <w:gridCol w:w="630"/>
        <w:gridCol w:w="208"/>
        <w:gridCol w:w="301"/>
        <w:gridCol w:w="272"/>
        <w:gridCol w:w="533"/>
        <w:gridCol w:w="376"/>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12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1120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93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乌财社【2022】112号关于拨付2022年中央医疗服务与保障能力提升（中医药传承与发展部分）（直达资金）补助资金（第二批）的通知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68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2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5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5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72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1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主要用于打造七纺、龙盛街、华光街、南湖北、六二、观园路等6个中医馆项目，购置中医理疗设备及耗材，打造中医文化氛围，有利于提升中医药服务能力，提高中医药服务质量，推进中医药特色人才建设，进一步提高基层中医药人才数量和质量，充分发挥中医药在医疗与预防保健的作用和优势，不断满足居民日益增长的服务需求，使广大居民感受到浓厚中医药文化。</w:t>
            </w:r>
          </w:p>
        </w:tc>
        <w:tc>
          <w:tcPr>
            <w:tcW w:w="31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用于打造七纺、龙盛街、华光街、南湖北、六二、河马泉社区卫生服务中心等6个中医馆项目，6个项目均购置中医理疗设备及耗材，部分中心打造中医文化氛围、进行人才培训，提升了中医药服务能力，提高中医药服务质量，推进中医药特色人才建设，使广大居民感受到浓厚中医药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3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0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7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3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中医馆建设数量</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&lt;=6个</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购买中医理疗设备的机构数量</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&lt;=6个</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购置中医理疗设备质量合格率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建设项目验收合格率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项目周期</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&lt;=6个月</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打造中医文化氛围成本</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&lt;=20万元</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17.27万元</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购置中医理疗设备及耗材</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&lt;=40万元</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23.8万元</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成本控制有效性</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严格采购程序，按照财政部有关经费标准执行</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有效提高中医药人才技术水平、服务能力，提升中医药服务质量</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持续提升中医药服务能力，更好的服务社区居民</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提高人民群众中医药服务获得感</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0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患者满意度</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871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100.00分</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509" w:tblpY="328"/>
        <w:tblOverlap w:val="never"/>
        <w:tblW w:w="11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4"/>
        <w:gridCol w:w="886"/>
        <w:gridCol w:w="1170"/>
        <w:gridCol w:w="1215"/>
        <w:gridCol w:w="3040"/>
        <w:gridCol w:w="815"/>
        <w:gridCol w:w="765"/>
        <w:gridCol w:w="608"/>
        <w:gridCol w:w="268"/>
        <w:gridCol w:w="328"/>
        <w:gridCol w:w="343"/>
        <w:gridCol w:w="223"/>
        <w:gridCol w:w="486"/>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111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14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82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乌财社【2022】117号关于拨付2022年中央医疗服务与保障能力提升（医疗卫生机构能力建设)(直达资金）补助资金（第二批）的通知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7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9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789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8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9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用于重点支持1-2个基层卫生医疗机构加强人才队伍建设、配备基本设备、对现有业务用房进行装修改造，达到优质服务基层行推荐标准，有利于加强基层服务体系能力建设，持续提升基层医疗卫生服务能力，推动基层医疗卫生事业发展，满足居民日益增长的服务需求。</w:t>
            </w:r>
          </w:p>
        </w:tc>
        <w:tc>
          <w:tcPr>
            <w:tcW w:w="28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507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9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辖区内“优质服务基层行”推荐标准的机构装修数量</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0个</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基层医疗卫生机构（乡镇卫生院和社区卫生服务中心）达到服务能力基本标准的比例</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&gt;=30%</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设备购置数量（个）</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&lt;=10台</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0台</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达到“优质服务基层行”推荐标准</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辖区内“优质服务基层行”推荐标准的机构装修补助标准</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&lt;=5万元</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0万元</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设备采购经费补助</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&lt;=53万元</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0万元</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人员培训经费</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&lt;=2万元</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0万元</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有效提高基层卫生机构管理水平和服务质量</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基本达到预期效果</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财政无库款，资金未到位，此项工作正在筹备中。基层医疗卫生机构目前正自行提高服务能力与服务质量。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3"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持续提升基层医疗卫生机构服务能力，改善服务质量</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基本达到预期效果</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财政无库款，资金未到位，此项工作正在筹备中。基层医疗卫生机构目前正自行提高服务能力与服务质量。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0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患者满意度</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财政无库款，资金未到位，此项工作正在筹备中。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893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30.00分</w:t>
            </w:r>
          </w:p>
        </w:tc>
        <w:tc>
          <w:tcPr>
            <w:tcW w:w="10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569" w:tblpY="387"/>
        <w:tblOverlap w:val="never"/>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
        <w:gridCol w:w="802"/>
        <w:gridCol w:w="1155"/>
        <w:gridCol w:w="1042"/>
        <w:gridCol w:w="2268"/>
        <w:gridCol w:w="500"/>
        <w:gridCol w:w="795"/>
        <w:gridCol w:w="719"/>
        <w:gridCol w:w="403"/>
        <w:gridCol w:w="465"/>
        <w:gridCol w:w="510"/>
        <w:gridCol w:w="496"/>
        <w:gridCol w:w="471"/>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113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113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69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乌财社【2022】207号关于拨付2022年第三十九批防控补助资金的通知（转移支付）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7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1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305.00</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56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9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6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经费主要用于2022年集中医学观察点服务保障工作，切实做好新型冠状病毒防控工作，保障广大人民群众的身体健康和生命安全，最大限度减少对经济社会发展的影响。对隔离期间每人按60元/天的餐食进行补贴。</w:t>
            </w:r>
          </w:p>
        </w:tc>
        <w:tc>
          <w:tcPr>
            <w:tcW w:w="393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们严格按照文件要求60元/人/天的隔离标准，给3家供餐企业支付餐费，资金拨付准确率和及时率达到95%，社会效益和可持续效益完全达到了预期效果，提高了新型冠状病毒防治水平和应对能力，建立健全了新型冠状病毒肺炎防控救治体系，及时有效的采取防控措施，控制传播、蔓延，构建平安和谐社会。保障广大群众的身体健康和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04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26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0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9"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0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6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1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9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7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866"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81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6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33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8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隔离人员用餐人数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&lt;=7260人</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7260人</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供餐企业数量</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&lt;=3家</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3家</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隔离人员隔离天数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=7天</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7天</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隔离人员餐费标准</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=60元/人/天</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60元/人/天</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增强做好防控的责任感和紧迫感，统筹做好防控工作</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有效增强</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持续提升防控能力水平，守护人民群众生命安全和身体健康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8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隔离人员满意度</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791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100.00分</w:t>
            </w:r>
          </w:p>
        </w:tc>
        <w:tc>
          <w:tcPr>
            <w:tcW w:w="13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tbl>
      <w:tblPr>
        <w:tblStyle w:val="8"/>
        <w:tblpPr w:leftFromText="180" w:rightFromText="180" w:vertAnchor="text" w:horzAnchor="page" w:tblpX="629" w:tblpY="392"/>
        <w:tblOverlap w:val="never"/>
        <w:tblW w:w="11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9"/>
        <w:gridCol w:w="1016"/>
        <w:gridCol w:w="1035"/>
        <w:gridCol w:w="1075"/>
        <w:gridCol w:w="2295"/>
        <w:gridCol w:w="986"/>
        <w:gridCol w:w="530"/>
        <w:gridCol w:w="468"/>
        <w:gridCol w:w="402"/>
        <w:gridCol w:w="482"/>
        <w:gridCol w:w="528"/>
        <w:gridCol w:w="455"/>
        <w:gridCol w:w="450"/>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111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110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43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乌财社【2022】331号关于拨付2022年1月至2022年6月免费婚前医学检查费用的通知（转移支付）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9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64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9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1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通过各婚检医院对新婚夫妇实施科学婚前医学检查，享受免费婚前检查1354人，市级补助标准45元/人，为群众提供免费的、优质的婚前医学检查，有效控制传染病的传播，减少新生儿出生缺陷，促进优生优育，提高人口素质。</w:t>
            </w:r>
          </w:p>
        </w:tc>
        <w:tc>
          <w:tcPr>
            <w:tcW w:w="351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遵从上级部门的工作安排，保质保量的完成上级下达的各项任务。 享受免费婚前检查1354人，市级补助标准45元/人，共拨付6.09万元，严格把控项目资金使用，使得资金落实到位。保障新婚夫妇婚检率100%，足额及时拨付资金，及时上报资金的使用情况，保障项目资金6.09万元按计划执行。 提高婚育质量和出生人口素质，降低出生缺陷率。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03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07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29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8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30"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0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8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2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55"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5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29"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35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8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8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7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6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2022年1月至2022年6月享受免费婚前医学检查人数</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=1354人</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1354人</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资金拨付准确率</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资金拨付及时率</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享受免费婚前医学检查市级补助标准</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45元/人</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提高出生人口质量，优生优育</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为群众提高免费的优质的婚前保健服务，有效控制传染病的传播</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持续控制</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完全达到预期效果</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6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5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享受婚前免费检查群众满意度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805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8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90.00分</w:t>
            </w:r>
          </w:p>
        </w:tc>
        <w:tc>
          <w:tcPr>
            <w:tcW w:w="11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lang w:eastAsia="zh-CN"/>
        </w:rPr>
      </w:pPr>
    </w:p>
    <w:tbl>
      <w:tblPr>
        <w:tblStyle w:val="8"/>
        <w:tblpPr w:leftFromText="180" w:rightFromText="180" w:vertAnchor="text" w:horzAnchor="page" w:tblpX="689" w:tblpY="349"/>
        <w:tblOverlap w:val="never"/>
        <w:tblW w:w="10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4"/>
        <w:gridCol w:w="965"/>
        <w:gridCol w:w="1146"/>
        <w:gridCol w:w="821"/>
        <w:gridCol w:w="1000"/>
        <w:gridCol w:w="572"/>
        <w:gridCol w:w="572"/>
        <w:gridCol w:w="710"/>
        <w:gridCol w:w="423"/>
        <w:gridCol w:w="697"/>
        <w:gridCol w:w="791"/>
        <w:gridCol w:w="240"/>
        <w:gridCol w:w="948"/>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82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1082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89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乌财社【2022】442号关于下达2022年中央财政重大传染病防控补助资金预算[第二批]的通知（转移支付）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1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6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乌鲁木齐市水磨沟区卫生健康委员会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71.20</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9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07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7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传染病防控补助资金用于扩大国家免疫规划、艾滋病防治、结核病防治、包虫病防治、精神卫生与慢性非传染性疾病防治等重大公共卫生服务工作，开展重大慢性病早期筛查干预工作，落实慢性病及其相关危险因素检测，提升艾滋病防治、结核病防治的工作质量，聚焦精准诊断、全程规范诊疗，提高治愈率。</w:t>
            </w:r>
          </w:p>
        </w:tc>
        <w:tc>
          <w:tcPr>
            <w:tcW w:w="4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由于</w:t>
            </w:r>
            <w:r>
              <w:rPr>
                <w:rFonts w:hint="eastAsia" w:ascii="宋体" w:hAnsi="宋体" w:cs="宋体"/>
                <w:i w:val="0"/>
                <w:color w:val="000000"/>
                <w:kern w:val="0"/>
                <w:sz w:val="18"/>
                <w:szCs w:val="18"/>
                <w:highlight w:val="none"/>
                <w:u w:val="none"/>
                <w:lang w:val="en-US" w:eastAsia="zh-CN" w:bidi="ar"/>
              </w:rPr>
              <w:t>防控</w:t>
            </w:r>
            <w:r>
              <w:rPr>
                <w:rFonts w:hint="eastAsia" w:ascii="宋体" w:hAnsi="宋体" w:eastAsia="宋体" w:cs="宋体"/>
                <w:i w:val="0"/>
                <w:color w:val="000000"/>
                <w:kern w:val="0"/>
                <w:sz w:val="18"/>
                <w:szCs w:val="18"/>
                <w:u w:val="none"/>
                <w:lang w:val="en-US" w:eastAsia="zh-CN" w:bidi="ar"/>
              </w:rPr>
              <w:t>原因，该指标在12月31日临时增加，所以没有完成目标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46"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82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00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423"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697"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791"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40"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nil"/>
              <w:bottom w:val="single" w:color="000000" w:sz="4" w:space="0"/>
              <w:right w:val="nil"/>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971" w:type="dxa"/>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3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91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9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重点慢性病早期筛查覆盖率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包虫病人群主动筛查任务完成率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&gt;=70%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高危人群耐药筛查率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重点传染病检测覆盖率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艾滋病抗病毒治疗覆盖率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肺结核患者成功治疗率</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公共卫生均等化水平提高</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未达到预期效果</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w:t>
            </w:r>
            <w:r>
              <w:rPr>
                <w:rFonts w:hint="eastAsia" w:ascii="宋体" w:hAnsi="宋体" w:eastAsia="宋体" w:cs="宋体"/>
                <w:i w:val="0"/>
                <w:color w:val="000000"/>
                <w:kern w:val="0"/>
                <w:sz w:val="16"/>
                <w:szCs w:val="16"/>
                <w:highlight w:val="none"/>
                <w:u w:val="none"/>
                <w:lang w:val="en-US" w:eastAsia="zh-CN" w:bidi="ar"/>
              </w:rPr>
              <w:t>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highlight w:val="none"/>
                <w:u w:val="none"/>
                <w:lang w:val="en-US" w:eastAsia="zh-CN" w:bidi="ar"/>
              </w:rPr>
              <w:t>原</w:t>
            </w:r>
            <w:r>
              <w:rPr>
                <w:rFonts w:hint="eastAsia" w:ascii="宋体" w:hAnsi="宋体" w:eastAsia="宋体" w:cs="宋体"/>
                <w:i w:val="0"/>
                <w:color w:val="000000"/>
                <w:kern w:val="0"/>
                <w:sz w:val="16"/>
                <w:szCs w:val="16"/>
                <w:u w:val="none"/>
                <w:lang w:val="en-US" w:eastAsia="zh-CN" w:bidi="ar"/>
              </w:rPr>
              <w:t>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居民健康水平提高</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未达到预期效果</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9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由于</w:t>
            </w:r>
            <w:r>
              <w:rPr>
                <w:rFonts w:hint="eastAsia" w:ascii="宋体" w:hAnsi="宋体" w:cs="宋体"/>
                <w:i w:val="0"/>
                <w:color w:val="000000"/>
                <w:kern w:val="0"/>
                <w:sz w:val="16"/>
                <w:szCs w:val="16"/>
                <w:highlight w:val="none"/>
                <w:u w:val="none"/>
                <w:lang w:val="en-US" w:eastAsia="zh-CN" w:bidi="ar"/>
              </w:rPr>
              <w:t>防控</w:t>
            </w:r>
            <w:r>
              <w:rPr>
                <w:rFonts w:hint="eastAsia" w:ascii="宋体" w:hAnsi="宋体" w:eastAsia="宋体" w:cs="宋体"/>
                <w:i w:val="0"/>
                <w:color w:val="000000"/>
                <w:kern w:val="0"/>
                <w:sz w:val="16"/>
                <w:szCs w:val="16"/>
                <w:u w:val="none"/>
                <w:lang w:val="en-US" w:eastAsia="zh-CN" w:bidi="ar"/>
              </w:rPr>
              <w:t>原因，该指标在12月31日临时增加，所以没有完成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75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0.00分</w:t>
            </w:r>
          </w:p>
        </w:tc>
        <w:tc>
          <w:tcPr>
            <w:tcW w:w="1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lang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bookmarkStart w:id="34" w:name="_Toc24143"/>
      <w:bookmarkStart w:id="35" w:name="_Toc3250"/>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4DB3"/>
    <w:multiLevelType w:val="singleLevel"/>
    <w:tmpl w:val="3DFA4DB3"/>
    <w:lvl w:ilvl="0" w:tentative="0">
      <w:start w:val="2"/>
      <w:numFmt w:val="chineseCounting"/>
      <w:suff w:val="nothing"/>
      <w:lvlText w:val="（%1）"/>
      <w:lvlJc w:val="left"/>
      <w:rPr>
        <w:rFonts w:hint="eastAsia"/>
      </w:rPr>
    </w:lvl>
  </w:abstractNum>
  <w:abstractNum w:abstractNumId="1">
    <w:nsid w:val="53EB03A0"/>
    <w:multiLevelType w:val="singleLevel"/>
    <w:tmpl w:val="53EB03A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jNjNTIzNzg1M2YxYjRkZjYxZTRkZTg2OTFlZGMifQ=="/>
  </w:docVars>
  <w:rsids>
    <w:rsidRoot w:val="00000000"/>
    <w:rsid w:val="00E83870"/>
    <w:rsid w:val="00EE03D6"/>
    <w:rsid w:val="019D14C4"/>
    <w:rsid w:val="02F73D26"/>
    <w:rsid w:val="034D4FEF"/>
    <w:rsid w:val="03F70551"/>
    <w:rsid w:val="043E5B56"/>
    <w:rsid w:val="04F25B96"/>
    <w:rsid w:val="06792773"/>
    <w:rsid w:val="0756601B"/>
    <w:rsid w:val="084A2DAE"/>
    <w:rsid w:val="0875167B"/>
    <w:rsid w:val="09BA0F5C"/>
    <w:rsid w:val="09D864B5"/>
    <w:rsid w:val="0A7B4867"/>
    <w:rsid w:val="0B5B7B2C"/>
    <w:rsid w:val="0B8C3ECC"/>
    <w:rsid w:val="0C585A26"/>
    <w:rsid w:val="0C7227A7"/>
    <w:rsid w:val="0F54626C"/>
    <w:rsid w:val="10177353"/>
    <w:rsid w:val="116E226F"/>
    <w:rsid w:val="125C6514"/>
    <w:rsid w:val="13CE7A4C"/>
    <w:rsid w:val="167C778D"/>
    <w:rsid w:val="17876A24"/>
    <w:rsid w:val="19211784"/>
    <w:rsid w:val="19A37A0D"/>
    <w:rsid w:val="19CA59BD"/>
    <w:rsid w:val="1AA0383D"/>
    <w:rsid w:val="1C786142"/>
    <w:rsid w:val="1D99161D"/>
    <w:rsid w:val="1DAF458D"/>
    <w:rsid w:val="1EB7490E"/>
    <w:rsid w:val="20DD6197"/>
    <w:rsid w:val="21CC5000"/>
    <w:rsid w:val="21F54D07"/>
    <w:rsid w:val="228248E2"/>
    <w:rsid w:val="23583D1E"/>
    <w:rsid w:val="23BC04D2"/>
    <w:rsid w:val="23D87D12"/>
    <w:rsid w:val="23FD2509"/>
    <w:rsid w:val="248A106B"/>
    <w:rsid w:val="24AA04D7"/>
    <w:rsid w:val="24AF62CD"/>
    <w:rsid w:val="252170E7"/>
    <w:rsid w:val="26A63BD2"/>
    <w:rsid w:val="275B20C1"/>
    <w:rsid w:val="2761303C"/>
    <w:rsid w:val="27883082"/>
    <w:rsid w:val="27916BA6"/>
    <w:rsid w:val="27BD5803"/>
    <w:rsid w:val="27CF2642"/>
    <w:rsid w:val="28AE7249"/>
    <w:rsid w:val="29D5722A"/>
    <w:rsid w:val="2A053397"/>
    <w:rsid w:val="2A0E3D63"/>
    <w:rsid w:val="2A610F14"/>
    <w:rsid w:val="2C22541A"/>
    <w:rsid w:val="2C7A4C69"/>
    <w:rsid w:val="2D1136DF"/>
    <w:rsid w:val="2D5F7325"/>
    <w:rsid w:val="2D7750DA"/>
    <w:rsid w:val="2D924BFD"/>
    <w:rsid w:val="2DE31711"/>
    <w:rsid w:val="2E4B3BF0"/>
    <w:rsid w:val="2EAA1915"/>
    <w:rsid w:val="2F2617AD"/>
    <w:rsid w:val="2FD27414"/>
    <w:rsid w:val="31294BA6"/>
    <w:rsid w:val="31C63837"/>
    <w:rsid w:val="31F50CD8"/>
    <w:rsid w:val="31F776E5"/>
    <w:rsid w:val="353F1860"/>
    <w:rsid w:val="367E6BBA"/>
    <w:rsid w:val="36A67CD0"/>
    <w:rsid w:val="37526309"/>
    <w:rsid w:val="3914510A"/>
    <w:rsid w:val="3A447C27"/>
    <w:rsid w:val="3A720DC8"/>
    <w:rsid w:val="3D0D54AF"/>
    <w:rsid w:val="3D5275AC"/>
    <w:rsid w:val="3D587722"/>
    <w:rsid w:val="3D6A37CC"/>
    <w:rsid w:val="3ED14279"/>
    <w:rsid w:val="403F172E"/>
    <w:rsid w:val="40570EC5"/>
    <w:rsid w:val="40834692"/>
    <w:rsid w:val="413D0B72"/>
    <w:rsid w:val="41794251"/>
    <w:rsid w:val="41D11247"/>
    <w:rsid w:val="43484A39"/>
    <w:rsid w:val="44157445"/>
    <w:rsid w:val="447B1AD7"/>
    <w:rsid w:val="4508298C"/>
    <w:rsid w:val="455D6D33"/>
    <w:rsid w:val="4586265B"/>
    <w:rsid w:val="45D83EA0"/>
    <w:rsid w:val="462A6302"/>
    <w:rsid w:val="46901EEE"/>
    <w:rsid w:val="469C74D2"/>
    <w:rsid w:val="46B145E5"/>
    <w:rsid w:val="478A6331"/>
    <w:rsid w:val="49593D9E"/>
    <w:rsid w:val="49E375BA"/>
    <w:rsid w:val="4A585156"/>
    <w:rsid w:val="4A5A58A9"/>
    <w:rsid w:val="4A9E2196"/>
    <w:rsid w:val="4B4C0111"/>
    <w:rsid w:val="4D2D1B98"/>
    <w:rsid w:val="4D4F076D"/>
    <w:rsid w:val="4E125C30"/>
    <w:rsid w:val="4EF152DE"/>
    <w:rsid w:val="4F30193C"/>
    <w:rsid w:val="4FDD3F69"/>
    <w:rsid w:val="4FF130BE"/>
    <w:rsid w:val="504807F9"/>
    <w:rsid w:val="50DB5F45"/>
    <w:rsid w:val="52F92565"/>
    <w:rsid w:val="551955DA"/>
    <w:rsid w:val="55CA4484"/>
    <w:rsid w:val="55F25380"/>
    <w:rsid w:val="56E06621"/>
    <w:rsid w:val="583059FA"/>
    <w:rsid w:val="58C228BD"/>
    <w:rsid w:val="599066D5"/>
    <w:rsid w:val="59F1775E"/>
    <w:rsid w:val="5B137FF3"/>
    <w:rsid w:val="5B49603F"/>
    <w:rsid w:val="5B9605AA"/>
    <w:rsid w:val="5BBC405D"/>
    <w:rsid w:val="5BD4556C"/>
    <w:rsid w:val="5C6A1330"/>
    <w:rsid w:val="5CD4173F"/>
    <w:rsid w:val="5D773808"/>
    <w:rsid w:val="5F101283"/>
    <w:rsid w:val="5F641347"/>
    <w:rsid w:val="5F8A124A"/>
    <w:rsid w:val="5FA17648"/>
    <w:rsid w:val="612A14C3"/>
    <w:rsid w:val="61A46A97"/>
    <w:rsid w:val="62DD7D21"/>
    <w:rsid w:val="63045E21"/>
    <w:rsid w:val="638F648D"/>
    <w:rsid w:val="63AD57E5"/>
    <w:rsid w:val="642C3CE4"/>
    <w:rsid w:val="644200CA"/>
    <w:rsid w:val="6443685A"/>
    <w:rsid w:val="65381DAE"/>
    <w:rsid w:val="655D2E38"/>
    <w:rsid w:val="65D97752"/>
    <w:rsid w:val="66085631"/>
    <w:rsid w:val="67574D7B"/>
    <w:rsid w:val="67D46C9B"/>
    <w:rsid w:val="684200EA"/>
    <w:rsid w:val="68C174C5"/>
    <w:rsid w:val="68DB0208"/>
    <w:rsid w:val="68FA1294"/>
    <w:rsid w:val="69AD798C"/>
    <w:rsid w:val="69BE15C2"/>
    <w:rsid w:val="6A0D314D"/>
    <w:rsid w:val="6AE442D1"/>
    <w:rsid w:val="6AF14C03"/>
    <w:rsid w:val="6B68175F"/>
    <w:rsid w:val="6C3136B8"/>
    <w:rsid w:val="6C91274B"/>
    <w:rsid w:val="6CF02088"/>
    <w:rsid w:val="6DE539D9"/>
    <w:rsid w:val="6E0F7A08"/>
    <w:rsid w:val="700720AE"/>
    <w:rsid w:val="71473612"/>
    <w:rsid w:val="718F7F65"/>
    <w:rsid w:val="71DE5397"/>
    <w:rsid w:val="72FB402A"/>
    <w:rsid w:val="73FB6630"/>
    <w:rsid w:val="74E76DCD"/>
    <w:rsid w:val="75DB6C76"/>
    <w:rsid w:val="7603124A"/>
    <w:rsid w:val="770D191B"/>
    <w:rsid w:val="77801340"/>
    <w:rsid w:val="77BC6F1B"/>
    <w:rsid w:val="77ED6F44"/>
    <w:rsid w:val="7A153F3A"/>
    <w:rsid w:val="7B4614C8"/>
    <w:rsid w:val="7BB14055"/>
    <w:rsid w:val="7C6A0B8F"/>
    <w:rsid w:val="7CEE54A0"/>
    <w:rsid w:val="7D0354C5"/>
    <w:rsid w:val="7D3026D5"/>
    <w:rsid w:val="7EBE08CF"/>
    <w:rsid w:val="7FAA2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1"/>
    <w:uiPriority w:val="0"/>
    <w:pPr>
      <w:ind w:leftChars="0"/>
    </w:pPr>
    <w:rPr>
      <w:sz w:val="20"/>
      <w:szCs w:val="20"/>
    </w:rPr>
  </w:style>
  <w:style w:type="paragraph" w:customStyle="1" w:styleId="11">
    <w:name w:val="WPSOffice手动目录 3"/>
    <w:uiPriority w:val="0"/>
    <w:pPr>
      <w:ind w:leftChars="400"/>
    </w:pPr>
    <w:rPr>
      <w:sz w:val="20"/>
      <w:szCs w:val="20"/>
    </w:rPr>
  </w:style>
  <w:style w:type="paragraph" w:customStyle="1" w:styleId="1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20376</Words>
  <Characters>23125</Characters>
  <Lines>0</Lines>
  <Paragraphs>0</Paragraphs>
  <TotalTime>6</TotalTime>
  <ScaleCrop>false</ScaleCrop>
  <LinksUpToDate>false</LinksUpToDate>
  <CharactersWithSpaces>23292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2023-09-13T11:10:41Z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224CD3FD437748E6944F355D31AA4C18</vt:lpwstr>
  </property>
</Properties>
</file>