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700" w:lineRule="exact"/>
        <w:jc w:val="left"/>
        <w:rPr>
          <w:rFonts w:hAnsi="宋体" w:eastAsia="仿宋_GB2312" w:cs="宋体"/>
          <w:kern w:val="0"/>
          <w:sz w:val="36"/>
          <w:szCs w:val="36"/>
        </w:rPr>
      </w:pPr>
    </w:p>
    <w:p>
      <w:pPr>
        <w:spacing w:line="700" w:lineRule="exact"/>
        <w:jc w:val="left"/>
        <w:rPr>
          <w:rFonts w:hAnsi="宋体" w:eastAsia="仿宋_GB2312" w:cs="宋体"/>
          <w:kern w:val="0"/>
          <w:sz w:val="36"/>
          <w:szCs w:val="36"/>
        </w:rPr>
      </w:pP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水区检测中心建设项目资金（2021年第七次财经会）</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乌鲁木齐市水磨沟区疾病预防控制中心</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乌鲁木齐市水磨沟区疾病预防控制中心</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张伟</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2023年05月16日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24" w:firstLineChars="200"/>
        <w:rPr>
          <w:rStyle w:val="18"/>
          <w:rFonts w:ascii="黑体" w:hAnsi="黑体" w:eastAsia="黑体"/>
          <w:b w:val="0"/>
          <w:spacing w:val="-4"/>
          <w:sz w:val="32"/>
          <w:szCs w:val="32"/>
        </w:rPr>
      </w:pPr>
      <w:bookmarkStart w:id="0" w:name="_GoBack"/>
      <w:bookmarkEnd w:id="0"/>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根据根据水磨沟区委财经委员会办公室（2021年第七次财经会）纪要，水区检测中心建设项目资金属于“其他卫生健康支出”项目，根据自治区、市疫情防控工作指挥部关于提升虎算检测能力的工作要求，加快推进核酸检测实验室建设。新改造核酸检测实验室位于观园路和秋实路交叉口格林和苑内，原建筑共计三层，总面积3030.83平方米。核酸实验室将在原有的用房基础上进行合理的规划改造，是水磨沟区疾病预防控制中心核酸实验室能够符合实验室标准，增强核酸检测能力。建成后的核酸实验室能够满足水磨沟区疫情防控工作的要求，在水磨沟区原本检验量的基础上每日再提升20000管的检验量，以满足核酸检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水磨沟区委财经委员会办公室（2021年第七次财经会）纪要文件批准，项目系2022年本级资金，共安排预算200万元，于2022年年中追加，于2022年9月支付200万元。</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spacing w:val="-4"/>
          <w:sz w:val="32"/>
          <w:szCs w:val="32"/>
        </w:rPr>
        <w:t>（二）项目绩效目标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本项目依据《中共中央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根据自治区、市疫情防控工作指挥部关于提升虎算检测能力的工作要求，加快推进核酸检测实验室建设。新改造核酸检测实验室位于观园路和秋实路交叉口格林和苑内，原建筑共计三层，总面积3030.83平方米。核酸实验室将在原有的用房基础上进行合理的规划改造，是水磨沟区疾病预防控制中心核酸实验室能够符合实验室标准，增强核酸检测能力。建成后的核酸实验室能够满足水磨沟区疫情防控工作的要求，在水磨沟区原本检验量的基础上每日再提升20000管的检验量，以满足核酸检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该项目为当年项目，计划在2022年完成改扩建核酸检测中心项目数1个，核酸检测中心改扩建验收合格率达到100%，预计核酸检测中心完成付款时间为12月，预期目标有效提高核酸检测能力，快捷准确出据核酸检测报告，核酸检测服务者满意度达到100%。</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（1）绩效评价的对象：水区检测中心建设项目资金项目（2021年第七次财经会）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1.项目范围：水区检测中心建设项目资金的完成情况、资金投入的运行情况、项目实施后产生的绩效及影响效果。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spacing w:line="540" w:lineRule="exact"/>
        <w:ind w:firstLine="627" w:firstLineChars="200"/>
        <w:rPr>
          <w:rStyle w:val="18"/>
          <w:rFonts w:hint="eastAsia" w:ascii="楷体" w:hAnsi="楷体" w:eastAsia="楷体"/>
          <w:b w:val="0"/>
          <w:bCs w:val="0"/>
          <w:spacing w:val="-4"/>
          <w:sz w:val="32"/>
          <w:szCs w:val="32"/>
        </w:rPr>
      </w:pPr>
      <w:r>
        <w:rPr>
          <w:rStyle w:val="18"/>
          <w:rFonts w:hint="eastAsia" w:ascii="楷体" w:hAnsi="楷体" w:eastAsia="楷体"/>
          <w:spacing w:val="-4"/>
          <w:sz w:val="32"/>
          <w:szCs w:val="32"/>
        </w:rPr>
        <w:t>（二）绩效评价原则、评价指标体系、评价方法、评价标准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（1）在数据收集时，采取客观数据，并结合问卷调查结果，以保证各项指标的真实性。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（1）相关性原则：绩效评价指标应当与绩效目标有直接的联系，能够恰当反映目标的实现程度。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（2）重要性原则：应当优先使用最具评价对象代表性、最能反映评价要求的核心指标。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（3）可比性原则：对同类评价对象要设定共性的绩效评价指标，以便于评价结果可以相互比较。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本项目的评价指标体系建立如附件所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《关于印发&lt;项目支出绩效评价管理办法&gt;的通知》（财预〔2020〕10号）文件指出部门评价的方法主要包括成本效益分析法、比较法、公众评判法等。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（3）公众评判法。是指通过专家评估、公众问卷及抽样调查等方式进行评判的方法。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（4）其他评价方法。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根据本项目（水区检测中心建设项目资金）的特点，本次评价主要采用比较法和公众评判法，对项目总预算和明细预算的内容、标准、计划是否经济合理进行深入分析，以考察实际产出和效益是否达到预期。</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绩效评价标准主要包括计划标准、行业标准、历史标准等，用于对绩效指标完成情况进行比较。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b w:val="0"/>
          <w:bCs w:val="0"/>
          <w:spacing w:val="-4"/>
          <w:sz w:val="32"/>
          <w:szCs w:val="32"/>
        </w:rPr>
      </w:pPr>
      <w:r>
        <w:rPr>
          <w:rStyle w:val="18"/>
          <w:rFonts w:hint="eastAsia" w:ascii="楷体" w:hAnsi="楷体" w:eastAsia="楷体"/>
          <w:spacing w:val="-4"/>
          <w:sz w:val="32"/>
          <w:szCs w:val="32"/>
        </w:rPr>
        <w:t>（三）绩效评价工作过程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结合项目特点，制定符合项目实际的绩效评价指标体系及评分标准，通过数据采集、问卷调查及访谈等形式，对2022年水区检测中心建设项目资金进行客观评价，最终评分结果为：总分为100分，绩效评级为“优”[参考《关于印发&lt;项目支出绩效评价管理办法&gt;的通知》（财预〔2020〕10号）中的规定，本次绩效评价结果实施百分制和四级分类，其中90（含）-100分为优、80（含）-90分为良、60（含）-80分为中、60分以下为差。]。</w:t>
      </w:r>
    </w:p>
    <w:p>
      <w:pPr>
        <w:spacing w:line="540" w:lineRule="exact"/>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水区检测中心建设项目各部分权重和绩效分值如附表所示</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该项目资金区财政及时拨付，单位在此次评价期间内，有序完成设定目标的部分工作任务，改扩建核酸检测中心项目数一个，改扩建核酸检测中心面积达到3030.83平方米，核酸检测中心核酸实验室于2022年9月1日开始改建，2022年9月7日改建完工，按照国家核酸检测实验室建设基本要求，检测中心实验区设置有接样间，共有16个接样窗口及样本制备区，试剂制备区、扩增分析室等功能区，为进一步提升实验室核酸日检测能力，我中心配齐配全先进检测设备，共有生物安全柜71台，超净台12台，核酸提取仪193台，扩增仪359台，高压蒸汽灭菌器45台。目前我中心最大日检测能力可达到20万管，可满足我区现有48万实有人口开展全民核酸检测的任务，确保在24小时内完成赋值并上传数据，有效应对我区突发疫情全民核酸检测任务，快速排查风险，加快完善检测结果数据分析处理能力，为平台数据支撑提供准确依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2022年10月20日实验室启用实验室信息管理系统，截止目前为止，实验室累计完成核酸样本检测15224895管、 101285573人次，外环境核酸样本检测640695管，双抗样本检测12291管。</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p>
    <w:p>
      <w:pPr>
        <w:spacing w:line="540" w:lineRule="exact"/>
        <w:ind w:firstLine="627" w:firstLineChars="200"/>
        <w:rPr>
          <w:rStyle w:val="18"/>
          <w:rFonts w:hint="eastAsia" w:ascii="楷体" w:hAnsi="楷体" w:eastAsia="楷体"/>
          <w:b w:val="0"/>
          <w:bCs w:val="0"/>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项目决算指标由3个二级指标和6个三级指标构成，权重为20分，实际得分20分。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立项依据充分性：项目立项符合国家法律法规、政策要求。同时，项目与部门职责范围相符，属于部门履职所需。此外，本项目属于公共财政支持范围，符合中央、地方事权支出责任划分原则。因此，立项依据充分，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立项程序规范性:项目按照规定的程序申请设立，审批文件、材料符合相关要求，故立项程序规范，得4分。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目标明确性：该项目绩效目标明确了改扩建核酸检测中心数、改扩建面积及改扩建核酸检测中心建设经费付款时间，提高了核酸检测水平，起到了促进水区疫情防控水平的重要作用。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预算编制科学性：该项目的申请资金数依据是为了更好地做好全区疫情防控工作，控制对疫情的蔓延，更好地保障人民群众身体健康和生命安全。根据疾控机构的工作职责及工作任务，分清轻重缓急、统筹兼顾、确保重点。该项目2020年12月17日竣工，项目总金额830万元，于2021年12月支付400万元，2022年5月支付230万元，9月支付200万元，其中230万元于2022年12月调为往来款。</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故预算编制科学性指标得分3分。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资金分配合理性：根据根据水磨沟区委财经委员会办公室（2021年第七次财经会）纪要，水区检测中心建设项目资金属于“其他卫生健康支出”项目，资金属于专项资金，通过专项资金的有效管理，有助于增加专项资金使用透明度，确保专项资金预算执行和清算过程的合理性和科学性。该项目2020年12月17日竣工，项目总金额830万元，于2021年12月支付400万元，2022年5月支付230万元，9月支付200万元，其中230万元于2022年12月调为往来款。</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故资金分配合理性指标得分3分。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资金到位率：水区检测中心建设项目资金（2021年第七次财经会）金额为200万元，其中区级财政200万元，于2022年9月由区财政拨入，资金到位率100%，主要用于支付核酸检测中心改扩建项目。该专项资金实际到位、支出情况与绩效目标设定一致，资金做到专款专用，无截留、占用、挪用等违法违规使用问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故资金到位率指标得分5分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预算执行率：在重大资金执行方面，我中心始终坚持集体研究、民主决策。资金分配坚持“钱随事走”原则，根据此项工作任务安排下达，水区检测中心建设项目资金（2021年第七次财经会）金额为200万元，于2022年12月31日前全部执行完毕，执行率100%。加强专项资金规范管理和监督指导工作，确保实效、确保工作落到实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故预算执行率得分为5分。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故资金使用合规性得分为3分。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管理制度健全性：乌鲁木齐市水磨沟区疾病预防控制中心已制定相应的财务和业务管理制度，且制度合法、合规、完整，为项目顺利实施提供重要保障，财务部门根据预算执行结果、核对无误的账薄及会计资料，按照决算编制要求编制决算报告；单位主管领导在前端审批的基础上对决算及预算考评的合理性、合规性进行审核，并最终审批决算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故管理制度健全性得分为3分。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制度执行有效性：根据现场调研和资料抽查情况，乌鲁木齐市水磨沟区疾病预防控制中心严格遵守相关法律法规和相关管理规定，项目调整及支出调整手续完备，整体管理合理有序，项目完成后，及时将会计凭证等相关资料分类归档，对原始凭证真实性、合规性进行审核，并依据原始凭证选择正确的会计科目、摘要、账号进行记账处理；打印记账凭证并按时装订；对会计档案进行整理、归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故制度执行有效性指标得分4分。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项目产出指标由4个二级指标和5个三级指标构成，权重为45分，实际得分45分。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改扩建核酸检测中心项目数”的目标值是1个，2022年度我单位实际完成1个，水区检测中心改扩建建设项目于2020年12月17日竣工，该核酸检测实验室位于观园路和秋实路交叉口格林和苑内，原建筑共计三层，改扩建总面积3030.83平方米。该指标赋分10分，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改扩建核酸检测中心面积”的目标值是3030.83平方米，2022年度我单位实际完成3030.83平方米，该核酸检测实验室位于观园路和秋实路交叉口格林和苑内，原建筑共计三层，此次改扩建内容为：地下室面积：518.17m，用于厨房、员工餐厅及库房；地上一层面积：1288.69m，用于办公室、员工公共区域；地上二层面积：1223.97m，作为核酸实验室，合计改扩建总面积3030.83平方米。该指标赋分10分，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该项指标下设2个三级指标，指标分值20分，评价得分20分，得分率100%。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“检测中心建设工程验收合格率”的目标值为100%，我单位在2022年9月完工后，由新疆鸿基昊盛工程咨询有限公司担任监理，并出具竣工验收报告。该指标赋分5分，得分5分，得分率100%。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该项指标下设1个三级指标，指标分值5分，评价得分5分，得分率100%。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“建设经费完成付款时间”的目标值为12月，我单位截止到2022年12月已全部支付完毕，由财政直接拨付。该指标赋分10分，得分10分，得分率100%。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该项指标下设1个三级指标，指标分值10分，评价得分10分，得分率100%。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改扩建核酸检测中心每平米预计成本”目标值为0.066万元/平方米，我单位改扩建核酸检测中心改扩建总面积3030.83平方米，此次改扩建总成本200万元，故改扩建每平米预计成本为0.066万元。该指标赋分10分，得分10分，得分率100%。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该项指标下设1个三级指标，指标分值10分，评价得分10分，得分率100%。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综上，该指标满分45分，得分45分。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项目效益指标由2个二级指标和2个三级指标构成，权重为10分，实际得分10分。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（1）经济效益指标：项目属于确定不产生该项效益的，因此未设置。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社会效益指标：评价指标“提高核酸检测水平”，指标值：有效提高，实际完成值：有效提高。自核酸检测中心改扩建项目竣工以来，我单位核算实验室最大日检测能力可达到20万管，可满足我区现有48万实有人口开展全民核酸检测的任务，确保在24小时内完成赋值并上传数据，有效应对我区突发疫情全民核酸检测任务，快速排查风险，加快完善检测结果数据分析处理能力，为平台数据支撑提供准确依据。通过设置问卷调查的方式进行考评评价，共计调查样本总量为21个样本，有效调查问卷21份。其中，统计“您认为核酸检测试验时完成后，核酸检测能力是否能够提升”的平均值为明显提升。该指标赋分5分，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该项指标下设1个三级指标，指标分值5分，评价得分5分，得分率100%。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可持续影响指标：评价指标“保障核酸检测报告快捷准确”，指标值：有效保障，实际完成值：有效保障。自核酸检测中心改扩建项目竣工以来，我单位核算实验室最大日检测能力可达到20万管，可满足我区现有48万实有人口开展全民核酸检测的任务，确保在24小时内完成赋值并上传数据，有效应对我区突发疫情全民核酸检测任务，快速排查风险，加快完善检测结果数据分析处理能力，为平台数据支撑提供准确依据。通过设置问卷调查的方式进行考评评价，共计调查样本总量为21个样本，有效调查问卷21份。其中，统计“您认为核酸检测中心是否能保障核酸检测报告快捷准确”的平均值为“有效保障”。该指标赋分5分，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该项指标下设1个三级指标，指标分值5分，评价得分5分，得分率100%。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567" w:firstLineChars="181"/>
        <w:rPr>
          <w:rStyle w:val="18"/>
          <w:rFonts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群众满意度：评价指标“核酸检测人员满意度”，指标值：≥95%，实际完成值：≥95.24%。通过设置问卷调查的方式进行考评评价，共计调查样本总量为21个样本，有效调查问卷21份。其中，统计“您对改扩建核酸实验室的满意度”的平均值为非常满意。该指标赋分5分，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综上，该指标满分5分，得分5分。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本项目预算执行率为100%，指标总体完成率为100%，二者之间的偏差值为0%，小于20%，总体而言，该项目完全达到年度总体目标，财政资金的使用效益和效率较高。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预防和控制疫情的流行于蔓延，有效应对突发公共卫生事件是疾控中心的基本服务职能，是疾病控制工作之本。为了做好突发公共卫生事件应急建设，实现应急处置责任明确、机制健全、制度完善。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加强培训与督导，提高基层突发公共卫生应急事件应急能力。为了提高应急处置能力，中心狠抓了对基层业务应急工作的培训工作，突发公共卫生事件应急处置，职责范围内需到达现场处理的现场到达率达到100%；处置及时率达到100%；规范开展现场流行病学调查，事件原因查明率（传播途经方面）达到90%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由于资金管理规定的限制，追加申请聘用新冠肺炎疫情防控专业技术人员（检测）（2020年第十次财经会）经费属于定项资金，即专款专用。我单中心完善管理机制，明确责任，构建一个职责分明，科学规范、具有可操作性的管理长效机制，发挥核酸采样人员的工作积极性，让他们更好地投入工作状态中。</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2.是加强资金管理，规范会计核算。项目实施单位资金管理制度健全，项目资金使用均按照相关制度执行。</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1、部门评价中首先要确定科学完善的评价原则。评价原则是整个部门评价进行的有效保证。确定科学完善的评价原则，要制定明确的标准、选择合理的方法。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2、要构建合理的部门评价体系。合理的部门评价体系是以单位的实际成效为中心，更加突出部门评价的成果。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3、部门评价要适当性。选择部门评价方法要本着全面、集中、多层次的角度进行全方位的评价，实现评价方法的多元化，以提高评价结果的准确性。</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6457"/>
    <w:rsid w:val="000048AA"/>
    <w:rsid w:val="00056465"/>
    <w:rsid w:val="00102DFF"/>
    <w:rsid w:val="00121AE4"/>
    <w:rsid w:val="00146AAD"/>
    <w:rsid w:val="001B3A40"/>
    <w:rsid w:val="00255FB8"/>
    <w:rsid w:val="00291BC0"/>
    <w:rsid w:val="00311DBE"/>
    <w:rsid w:val="00385FDD"/>
    <w:rsid w:val="004366A8"/>
    <w:rsid w:val="00502BA7"/>
    <w:rsid w:val="005162F1"/>
    <w:rsid w:val="00535153"/>
    <w:rsid w:val="00546E0C"/>
    <w:rsid w:val="00554F82"/>
    <w:rsid w:val="0056390D"/>
    <w:rsid w:val="005719B0"/>
    <w:rsid w:val="005D10D6"/>
    <w:rsid w:val="007E3CE9"/>
    <w:rsid w:val="00855E3A"/>
    <w:rsid w:val="0091457F"/>
    <w:rsid w:val="00922CB9"/>
    <w:rsid w:val="009A3EC4"/>
    <w:rsid w:val="009C229E"/>
    <w:rsid w:val="009E5CD9"/>
    <w:rsid w:val="00A26421"/>
    <w:rsid w:val="00A34588"/>
    <w:rsid w:val="00A4293B"/>
    <w:rsid w:val="00A67D50"/>
    <w:rsid w:val="00A8691A"/>
    <w:rsid w:val="00AC1946"/>
    <w:rsid w:val="00B40063"/>
    <w:rsid w:val="00B41F61"/>
    <w:rsid w:val="00BA46E6"/>
    <w:rsid w:val="00BE41E0"/>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2C485C7D"/>
    <w:rsid w:val="3029612C"/>
    <w:rsid w:val="32A221C5"/>
    <w:rsid w:val="33F20F2A"/>
    <w:rsid w:val="34C44675"/>
    <w:rsid w:val="3B5B5607"/>
    <w:rsid w:val="3CE21B3C"/>
    <w:rsid w:val="4D2606A1"/>
    <w:rsid w:val="51830480"/>
    <w:rsid w:val="53A616BE"/>
    <w:rsid w:val="54662BFB"/>
    <w:rsid w:val="5B5C3981"/>
    <w:rsid w:val="62051CA5"/>
    <w:rsid w:val="6C3A69EF"/>
    <w:rsid w:val="7DB128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85858" w:themeColor="text1" w:themeTint="A6"/>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1354</Words>
  <Characters>7724</Characters>
  <Lines>64</Lines>
  <Paragraphs>18</Paragraphs>
  <TotalTime>12</TotalTime>
  <ScaleCrop>false</ScaleCrop>
  <LinksUpToDate>false</LinksUpToDate>
  <CharactersWithSpaces>9060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2023-09-11T08:59:00Z</dcterms:created>
  <dc:creator>赵 恺（预算处）</dc:creator>
  <cp:lastModifiedBy>Administrator</cp:lastModifiedBy>
  <cp:lastPrinted>2018-12-31T10:56:00Z</cp:lastPrinted>
  <dcterms:modified xsi:type="dcterms:W3CDTF">2023-09-14T04:53:38Z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CB3F33F275084AC38B96D70D1E45DB79</vt:lpwstr>
  </property>
</Properties>
</file>