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乌财行（2022）165号关于提前下达中央2022年解决特殊疑难信访问题资金预算的通知</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乌鲁木齐市水磨沟区信访局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乌鲁木齐市水磨沟区信访局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王胜</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2023年03月22日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left="319" w:leftChars="152" w:firstLine="530" w:firstLineChars="1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区信访局贯彻落实党中央、自治区党委、市委关于信访工作的方针政策和决策部署以及区委工作要求，在履行职责过程中坚持和加强党对信访工作的集中统一领导。主要职责是：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（一）负责向区委、区人民政府汇报群众来信来电来访中反映的重要建议、意见和问题，综合研判信访信息，开展调查研究，依法提出有效解决问题的意见和建议。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承办上级机关和区委、区人民政府领导同志交办的信访事项，并督促检查、反馈处理情况；向各部门和各单位交办、转办信访事项，并监督落实办理情况；承担水磨沟区信访事项复查复核委员会办公室的日常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（三）承担协调处理群众进京、赴自治区、市委及到区委、区人民政府非接待场所上访、集体上访的责任；综合协调处理跨地区、跨行业、跨部门和人事分离、人户分离、人事户分离的重要信访事项。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（四）总结推广各管委会（街道）、各部门信访工作经验，提出改进和加强信访工作的意见建议；检查指导全区的信访工作。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关于提前下达中央2022年解决特殊疑难信访问题资金预算的通知相关文件项目（根据自治区财政厅要求，各区县接到通知后，专款专用，及时拨付给相关片区管委会）。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经乌财行〔2021〕165号文件批准，项目系2022年中央资金，共安排预算3.5万元，于2022年年中追加预算批复项目，资金到位3.5万元，支付3.5万元，年中没有对资金进行调增、调减。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当年项目，计划支付3.5万元用于解决特殊信访疑难问题。在评价期2022年度内预计达到项目进度100%，预期完成100%，达到100%，具体为拨付3.5万元解决一件特殊信访问题，帮助相关工作及时开展，资金及时支付，大大提高工作效率，促进单位工作的正常开展。</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（1）绩效评价的对象：关于提前下达中央2022年解决特殊疑难信访问题资金预算的通知项目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1.项目范围：关于提前下达中央2022年解决特殊疑难信访问题资金预算的通知的完成情况、资金投入的运行情况、项目实施后产生的绩效及影响效果。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（1）在数据收集时，采取客观数据，并结合问卷调查结果，以保证各项指标的真实性。</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2.评价指标体系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本项目的评价指标体系建立如附件所示。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《关于印发&lt;项目支出绩效评价管理办法&gt;的通知》（财预〔2020〕10号）文件指出部门评价的方法主要包括成本效益分析法、因素分析法、最低成本法等。</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关于提前下达中央2022年解决特殊疑难信访问题资金预算的通知的特点，本次评价主要采用成本效益分析法、因素分析法和最低成本法，对项目总预算和明细预算的内容、标准、计划是否经济合理进行深入分析，以考察实际产出和效益是否达到预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b w:val="0"/>
          <w:bCs w:val="0"/>
          <w:spacing w:val="-4"/>
          <w:sz w:val="32"/>
          <w:szCs w:val="32"/>
        </w:rPr>
      </w:pPr>
      <w:r>
        <w:rPr>
          <w:rStyle w:val="18"/>
          <w:rFonts w:hint="eastAsia" w:ascii="楷体" w:hAnsi="楷体" w:eastAsia="楷体"/>
          <w:spacing w:val="-4"/>
          <w:sz w:val="32"/>
          <w:szCs w:val="32"/>
        </w:rPr>
        <w:t>（三）绩效评价工作过程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关于提前下达中央2022年解决特殊疑难信访问题资金预算的通知进行客观评价，最终评分结果为：总分为99分，绩效评级为“优”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主要绩效</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全部工作任务，解决了1件特殊疑难信访问题，拨付给七道湾片区管委会3.5万元，再由管委会拨付给个人，本项目带来的效益，减少了一件上访量，降低了上访所带来的不良影响，提高了信访局工作人员的积极性及工作质量。</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项目决策指标由3个二级指标和6个三级指标构成，权重为20分，实际得分19分。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但是，因此项目为中央直达资金，缺少立项依据，但其原因不因我单位造成，因此，立项依据充分指标赋分4分，得分3.5分，得分率87.5%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项目按照规定的程序申请设立，审批文件、材料符合相关要求，但是，因此项目为中央直达资金，缺少立项依据，但其原因不因我单位造成，故立项程序规范指标赋分4分，得分3.5分，得分率87.5%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综上，该指标满分8分，得分7分，得分率87.5%。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此项目为明确解决七道湾片区管委会上访人员的资金。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综上，该指标满分6分，得分6分。</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预算编制科学性：此项目为中央2022年为解决特殊疑难信访问题的专项资金，为中央直达资金，且为年中追加。故预算编制科学性指标得分3分。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资金分配合理性：此项目为解决七道湾片区管委会上访人员的1件特殊疑难信访问题，资金明确分配给七道湾片区管委会。故资金分配合理性指标得分3分。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4" w:firstLineChars="181"/>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资金到位率：项目系2022年中央资金，共安排预算3.5万元，于2022年年中追加预算批复项目，资金到位3.5万元。资金到位率100%。故资金到位率指标得分6分。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预算执行率：财政拨付年中中央直达资金3.5万元。于2022年年中拨付至我单位，我单位于2022年5月18日拨付至七道湾片区管委会。故预算执行率得分为7分。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管理制度健全性：水磨沟区信访局已制定相应的财务和业务管理制度，且制度合法、合规、完整，为项目顺利实施提供重要保障。故管理制度健全性得分为3分。</w:t>
      </w:r>
    </w:p>
    <w:p>
      <w:pPr>
        <w:spacing w:line="540" w:lineRule="exact"/>
        <w:ind w:firstLine="564" w:firstLineChars="181"/>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水磨沟区信访局严格遵守相关法律法规和相关管理规定，项目调整及支出调整手续完备，整体管理合理有序，项目完成后，及时将会计凭证、固定资产入库单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综上，该指标满分7分，得分7分。</w:t>
      </w:r>
    </w:p>
    <w:p>
      <w:pPr>
        <w:numPr>
          <w:ilvl w:val="0"/>
          <w:numId w:val="2"/>
        </w:num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项目产出情况</w:t>
      </w:r>
    </w:p>
    <w:p>
      <w:pPr>
        <w:numPr>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项目产出指标由4个二级指标和4个三级指标构成，权重为40分，实际得分40分。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数量指标“解决特殊疑难信访问题件数”的目标值是1个，2022年度我单位实际完成1个，原因是此项目为专项资金。解决了1件特殊疑难信访问题，拨付给七道湾片区管委会，再由管委会拨付给个人。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信访工作正常开展率：“信访工作正常开展率”的目标值是≥90%，2022年度我单位对此项目工作正常开展率的实际完成为100%，质量达标率得分为10分。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完成及时性：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其中，工作开展及时性：“信访工作正常开展率”的目标值是≥90%，2022年度我单位对此项目工作正常开展率的实际完成为100%，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其次，资金支付及时率：“资金支付及时率”的目标值是≥90%，2022年度我单位对此项目工作正常开展率的实际完成为100%，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该项指标下设2个三级指标，指标分值15分，评价得分15分，得分率100%。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预算控制率，“项目预算控制率”的目标值是=35000元，2022年度我单位对此项目工作的资金执行数为35000元，在预算执行进度与事项完成进度一致的前提下，实际支出未超过预算计划。正常开展率的实际完成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该项指标下设1个三级指标，指标分值10分，评价得分10分，得分率100%。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综上，该指标满分40分，得分40分。</w:t>
      </w:r>
    </w:p>
    <w:p>
      <w:pPr>
        <w:numPr>
          <w:ilvl w:val="0"/>
          <w:numId w:val="2"/>
        </w:numPr>
        <w:spacing w:line="540" w:lineRule="exact"/>
        <w:ind w:left="0" w:leftChars="0"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项目效益情况</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项目效益指标由1个二级指标和1个三级指标构成，权重为15分，实际得分15分。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社会效益指标：评价指标“提高工作效率，促进单位工作的正常开展”，指标值：有效提高和促进，实际完成值：达到预期效果，达成年度指标。本项目的实施完全达到指标。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综上，该指标满分15分，得分15分。</w:t>
      </w:r>
    </w:p>
    <w:p>
      <w:pPr>
        <w:numPr>
          <w:ilvl w:val="0"/>
          <w:numId w:val="2"/>
        </w:numPr>
        <w:spacing w:line="540" w:lineRule="exact"/>
        <w:ind w:left="0" w:leftChars="0" w:firstLine="567" w:firstLineChars="181"/>
        <w:rPr>
          <w:rFonts w:hint="eastAsia" w:ascii="楷体" w:hAnsi="楷体" w:eastAsia="楷体"/>
          <w:b/>
          <w:spacing w:val="-4"/>
          <w:sz w:val="32"/>
          <w:szCs w:val="32"/>
        </w:rPr>
      </w:pPr>
      <w:r>
        <w:rPr>
          <w:rFonts w:hint="eastAsia" w:ascii="楷体" w:hAnsi="楷体" w:eastAsia="楷体"/>
          <w:b/>
          <w:spacing w:val="-4"/>
          <w:sz w:val="32"/>
          <w:szCs w:val="32"/>
        </w:rPr>
        <w:t>满意度指标完成情况分析</w:t>
      </w:r>
    </w:p>
    <w:p>
      <w:pPr>
        <w:numPr>
          <w:numId w:val="0"/>
        </w:numPr>
        <w:spacing w:line="540" w:lineRule="exact"/>
        <w:ind w:leftChars="181" w:firstLine="312" w:firstLineChars="1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结合实际情况未设置满意度指标。</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98.44%，二者之间的偏差值为1.56%，小于20%，原因为此项目为中央直达资金，缺少按照规定的程序申请设立，审批文件，缺少了立项依据，但其原因不因我单位造成，我单位按照流程将专项资金拨付给七道湾片区管委会。总体而言，该项目基本达到年度总体目标，财政资金的使用效益和效率100%。</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textAlignment w:val="auto"/>
        <w:rPr>
          <w:rStyle w:val="18"/>
          <w:rFonts w:hint="eastAsia" w:ascii="楷体" w:hAnsi="楷体" w:eastAsia="楷体"/>
          <w:b w:val="0"/>
          <w:bCs w:val="0"/>
          <w:spacing w:val="-4"/>
          <w:sz w:val="32"/>
          <w:szCs w:val="32"/>
        </w:rPr>
      </w:pPr>
      <w:r>
        <w:rPr>
          <w:rStyle w:val="18"/>
          <w:rFonts w:hint="eastAsia" w:ascii="黑体" w:hAnsi="黑体" w:eastAsia="黑体"/>
          <w:b w:val="0"/>
          <w:spacing w:val="-4"/>
          <w:sz w:val="32"/>
          <w:szCs w:val="32"/>
        </w:rPr>
        <w:t>主要经验及做法、存在的问题及原因分析</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312" w:firstLine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lang w:val="en-US" w:eastAsia="zh-CN"/>
        </w:rPr>
        <w:t>一</w:t>
      </w: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t>主要经验及做法</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1.专项资金专款专用，不得挪用。</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2.专项资金拨付需及时，为解决特殊信访疑难问题，资金拨付需准确且及时。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1.类似疑难的信访问题不止1件，但资金不到位。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2.专项资金财政拨款不及时，缺乏透明度。</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FD5481"/>
    <w:multiLevelType w:val="singleLevel"/>
    <w:tmpl w:val="BAFD5481"/>
    <w:lvl w:ilvl="0" w:tentative="0">
      <w:start w:val="2"/>
      <w:numFmt w:val="chineseCounting"/>
      <w:suff w:val="nothing"/>
      <w:lvlText w:val="（%1）"/>
      <w:lvlJc w:val="left"/>
      <w:rPr>
        <w:rFonts w:hint="eastAsia"/>
      </w:rPr>
    </w:lvl>
  </w:abstractNum>
  <w:abstractNum w:abstractNumId="1">
    <w:nsid w:val="07DFF82C"/>
    <w:multiLevelType w:val="singleLevel"/>
    <w:tmpl w:val="07DFF82C"/>
    <w:lvl w:ilvl="0" w:tentative="0">
      <w:start w:val="6"/>
      <w:numFmt w:val="chineseCounting"/>
      <w:suff w:val="nothing"/>
      <w:lvlText w:val="%1、"/>
      <w:lvlJc w:val="left"/>
      <w:rPr>
        <w:rFonts w:hint="eastAsia"/>
      </w:rPr>
    </w:lvl>
  </w:abstractNum>
  <w:abstractNum w:abstractNumId="2">
    <w:nsid w:val="192CF791"/>
    <w:multiLevelType w:val="singleLevel"/>
    <w:tmpl w:val="192CF791"/>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1FF2315"/>
    <w:rsid w:val="32A221C5"/>
    <w:rsid w:val="33F20F2A"/>
    <w:rsid w:val="34C44675"/>
    <w:rsid w:val="3B5B5607"/>
    <w:rsid w:val="3CE21B3C"/>
    <w:rsid w:val="3DD67BAD"/>
    <w:rsid w:val="4D2606A1"/>
    <w:rsid w:val="4D666EAF"/>
    <w:rsid w:val="51830480"/>
    <w:rsid w:val="53A616BE"/>
    <w:rsid w:val="53D716F8"/>
    <w:rsid w:val="54662BFB"/>
    <w:rsid w:val="62051CA5"/>
    <w:rsid w:val="66B54BDA"/>
    <w:rsid w:val="6C3A69EF"/>
    <w:rsid w:val="730B5B2D"/>
    <w:rsid w:val="74F929CB"/>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35</TotalTime>
  <ScaleCrop>false</ScaleCrop>
  <LinksUpToDate>false</LinksUpToDate>
  <CharactersWithSpaces>689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lenovo</cp:lastModifiedBy>
  <cp:lastPrinted>2018-12-31T10:56:00Z</cp:lastPrinted>
  <dcterms:modified xsi:type="dcterms:W3CDTF">2023-09-07T05:05:24Z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796948FA0CA94534869100AC7DB64050</vt:lpwstr>
  </property>
</Properties>
</file>