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社区经费</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乌鲁木齐市水磨沟区新民路片区管理委员会</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乌鲁木齐市水磨沟区新民路片区管理委员会</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罗华</w:t>
      </w:r>
    </w:p>
    <w:p>
      <w:pPr>
        <w:spacing w:line="540" w:lineRule="exact"/>
        <w:ind w:left="273" w:firstLine="567"/>
        <w:rPr>
          <w:rStyle w:val="18"/>
          <w:rFonts w:ascii="黑体" w:hAnsi="黑体" w:eastAsia="黑体"/>
          <w:b w:val="0"/>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2023年05月18日</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根据根据市委组织部、市财政局关于《乌鲁木齐市社区工作经费管理使用办法（暂行）》（乌党组办字【2012】31号）、《乌鲁木齐市社区工作经费管理使用办法（暂行）》的补充通知（乌党组办字【2015】6号）规定，社区经费支出范围：社区“两委”班子日常工作的开支，主要包括办公用品、设备维修、水电暖气、车辆燃料和维护、办公用房修缮等费用；开展维稳和服务居民、环境整治工作各项费用；经选举产生无任何经济收入的社区“两委”成员生活补贴；因工作需要，驻区单位委派人员和有经济收入的其他人员，经选举担任社区“两委”成员的岗位补贴；社区工作人员学习培训、外出考察费用；其他与社区工作有关的支出。</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社区经费项目，用于支付新民路片区管委会16个社区分别是红塔社区、红山路社区、新大地社区、南大湖社区、新城社区、银河社区、金海岸社区、新民西街社区、祥泰社区、兴惠社区、成功社区、成功东社区、荣惠社区、爱心社区、新民社区、新希望社区，水、电、暖、电话费及办公用品等日常运转费用。 具体由社区对所有经费开支进行上会研究后，提交上会报告由片区管委会党工委班子过会后，根据本单位财务制度、预算资金支出制度、物品采购相关文件及制度、基建审批制度等各项相关规定进行相关采购及支付审批工作。</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通过该项目的及时完成，有效促进工作人员积极性，保障单位工作顺利进行。进一步发挥工作人员对片区各项工作发展的积极促进作用。进而更好地从民生保障、疫情防控、社区管理、民族团结、综合治理、安全生产、计划生育等各项领域服务辖区居民。</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经年初预算批准，该项目资金得以保障达到基本全面覆盖，主要是支付社区正常运转所需租赁费、水电费、办公用房取暖费、办公经费、维修护经费、社区服务车辆运行经费、服务群众经费、活动费等工作经费，为辖区居民服务，具体为2022年1月—2022年12月。项目系2022年预算内区本级资金，共安排资金560万元，于2022年年初下达，2022年资金到位423.25万元，实际支付423.25万元。</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该项目为2022年当年项目，计划完成社区阵地提升改造、带领辖区居民群众开展多样丰富的文化娱乐活动，达到16个社区全部正常运转、确保辖区社会面安全。按期开展各项文化、宣传活动。丰富辖区居民文娱生活，提高居民幸福感。在评价期2022年度内预计达到项目进度100%，覆盖16个社区，社区经费560万元，计划达到16个一般社区正常运转、确保辖区社会面安全，丰富辖区居民文娱生活，有效提高居民幸福感，预计辖区居民满意度≥95%。</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40" w:lineRule="exact"/>
        <w:ind w:left="319" w:leftChars="152" w:firstLine="624" w:firstLineChars="200"/>
        <w:jc w:val="both"/>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p>
    <w:p>
      <w:pPr>
        <w:keepNext w:val="0"/>
        <w:keepLines w:val="0"/>
        <w:pageBreakBefore w:val="0"/>
        <w:widowControl w:val="0"/>
        <w:kinsoku/>
        <w:wordWrap/>
        <w:overflowPunct/>
        <w:topLinePunct w:val="0"/>
        <w:autoSpaceDE/>
        <w:autoSpaceDN/>
        <w:bidi w:val="0"/>
        <w:adjustRightInd/>
        <w:snapToGrid/>
        <w:spacing w:line="540" w:lineRule="exact"/>
        <w:ind w:left="319" w:leftChars="152" w:firstLine="624" w:firstLineChars="200"/>
        <w:jc w:val="both"/>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319" w:leftChars="152" w:firstLine="624" w:firstLineChars="200"/>
        <w:jc w:val="both"/>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评价对象和范围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352"/>
        <w:jc w:val="both"/>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（1）绩效评价的对象：社区经费项目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352"/>
        <w:jc w:val="both"/>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（2）绩效评价范围：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352" w:firstLine="312" w:firstLineChars="100"/>
        <w:jc w:val="both"/>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1.项目范围：社区经费的完成情况、资金投入的运行情况、项目实施后产生的绩效及影响效果。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352" w:firstLine="312" w:firstLineChars="100"/>
        <w:jc w:val="both"/>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2.时间范围：2022年1月1日至2022年12月31日。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（2）公正公开原则：绩效评价应当符合真实、客观、公正的要求，依法公开并接受监督。</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（3）分级分类原则：根据评价对象特点分类组织实施。</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根据以上原则，绩效评价应遵循如下要求：</w:t>
      </w:r>
    </w:p>
    <w:p>
      <w:pPr>
        <w:numPr>
          <w:ilvl w:val="0"/>
          <w:numId w:val="2"/>
        </w:num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在数据收集时，采取客观数据，并结合问卷调查结果，以保证各项指标的真实性。</w:t>
      </w:r>
    </w:p>
    <w:p>
      <w:pPr>
        <w:numPr>
          <w:ilvl w:val="0"/>
          <w:numId w:val="2"/>
        </w:num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保证评价结果的真实性、公正性，提高评价报告的公信力。</w:t>
      </w:r>
    </w:p>
    <w:p>
      <w:pPr>
        <w:numPr>
          <w:ilvl w:val="0"/>
          <w:numId w:val="2"/>
        </w:num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绩效评价报告应当简明扼要，除了对绩效评价的过程、结果描述外，还应总结经验，指出问题，并就项目实施过程中所存在的问题提出可操作性改进建议。</w:t>
      </w:r>
    </w:p>
    <w:p>
      <w:pPr>
        <w:numPr>
          <w:ilvl w:val="0"/>
          <w:numId w:val="1"/>
        </w:numPr>
        <w:spacing w:line="540" w:lineRule="exact"/>
        <w:ind w:left="319" w:leftChars="152"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评价指标体系</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绩效评价指标体系作为衡量绩效目标实现程度的考核工具，一般遵循以下原则：</w:t>
      </w:r>
    </w:p>
    <w:p>
      <w:pPr>
        <w:numPr>
          <w:ilvl w:val="0"/>
          <w:numId w:val="3"/>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相关性原则：绩效评价指标应当与绩效目标有直接的联系，能够恰当反映目标的实现程度。</w:t>
      </w:r>
    </w:p>
    <w:p>
      <w:pPr>
        <w:numPr>
          <w:ilvl w:val="0"/>
          <w:numId w:val="3"/>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重要性原则：应当优先使用最具评价对象代表性、最能反映评价要求的核心指标。</w:t>
      </w:r>
    </w:p>
    <w:p>
      <w:pPr>
        <w:numPr>
          <w:ilvl w:val="0"/>
          <w:numId w:val="3"/>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可比性原则：对同类评价对象要设定共性的绩效评价指标，以便于评价结果可以相互比较。</w:t>
      </w:r>
    </w:p>
    <w:p>
      <w:pPr>
        <w:numPr>
          <w:ilvl w:val="0"/>
          <w:numId w:val="3"/>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系统性原则：绩效评价指标的设置应当将定量指标与定性指标相结合，能系统反映财政支出所产生的社会效益、经济效益和可持续影响等。</w:t>
      </w:r>
    </w:p>
    <w:p>
      <w:pPr>
        <w:numPr>
          <w:ilvl w:val="0"/>
          <w:numId w:val="3"/>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经济性原则：绩效评价指标设计应当通俗易懂、简便易行，数据的获得应当考虑现实条件和可操作性，符合成本效益原则。</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本项目的评价指标体系建立如附件所示。</w:t>
      </w:r>
    </w:p>
    <w:p>
      <w:pPr>
        <w:numPr>
          <w:ilvl w:val="0"/>
          <w:numId w:val="1"/>
        </w:numPr>
        <w:spacing w:line="540" w:lineRule="exact"/>
        <w:ind w:left="319" w:leftChars="152"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评价方法</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《关于印发&lt;项目支出绩效评价管理办法&gt;的通知》（财预〔2020〕10号）文件指出部门评价的方法主要包括成本效益分析法、比较法、公众评判法等。</w:t>
      </w:r>
    </w:p>
    <w:p>
      <w:pPr>
        <w:numPr>
          <w:ilvl w:val="0"/>
          <w:numId w:val="4"/>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成本效益分析法。是指将投入与产出、效益进行关联性分析的方法。</w:t>
      </w:r>
    </w:p>
    <w:p>
      <w:pPr>
        <w:numPr>
          <w:ilvl w:val="0"/>
          <w:numId w:val="4"/>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比较法。是指将实施情况与绩效目标、历史情况、不同部门和地区同类支出情况进行比较的方法。</w:t>
      </w:r>
    </w:p>
    <w:p>
      <w:pPr>
        <w:numPr>
          <w:ilvl w:val="0"/>
          <w:numId w:val="4"/>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公众评判法。是指通过专家评估、公众问卷及抽样调查等方式进行评判的方法。</w:t>
      </w:r>
    </w:p>
    <w:p>
      <w:pPr>
        <w:numPr>
          <w:ilvl w:val="0"/>
          <w:numId w:val="4"/>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其他评价方法。</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根据本项目（社区经费）的特点，本次评价主要采用比较法和公众评判法，对项目总预算和明细预算的内容、标准、计划是否经济合理进行深入分析，以考察实际产出和效益是否达到预期。</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4.评价标准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绩效评价标准主要包括计划标准、行业标准、历史标准等，用于对绩效指标完成情况进行比较。</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（1）计划标准。指以预先制定的目标、计划、预算、定额等作为评价标准。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（2）行业标准。指参照国家公布的行业指标数据制定的评价标准。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在上述评价标准的基础上，本次评价依据以下文件为重要指导和准绳：</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·《中共中央国务院关于全面实施预算绩效管理的意见》（中发〔2018〕34号）</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·《关于印发&lt;乌鲁木齐市本级部门预算绩效目标管理暂行办法&gt;的通知》（乌财预〔2018〕56号）</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·《关于做好2019年部门预算项目支出绩效目标管理有关事宜的通知》（乌财预〔2018〕76号）</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·《项目支出绩效评价管理办法》（财预〔2020〕10号）</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结合项目特点，制定符合项目实际的绩效评价指标体系及评分标准，通过数据采集、问卷调查及访谈等形式，对2022年社区经费进行客观评价，最终评分结果为：总分为98.8分，绩效评级为“优”[ 参考《关于印发&lt;项目支出绩效评价管理办法&gt;的通知》（财预〔2020〕10号）中的规定，本次绩效评价结果实施百分制和四级分类，其中90（含）-100分为优、80（含）-90分为良、60（含）-80分为中、60分以下为差。]。</w:t>
      </w:r>
    </w:p>
    <w:p>
      <w:pPr>
        <w:numPr>
          <w:ilvl w:val="0"/>
          <w:numId w:val="5"/>
        </w:num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主要绩效</w:t>
      </w:r>
    </w:p>
    <w:p>
      <w:pPr>
        <w:numPr>
          <w:ilvl w:val="0"/>
          <w:numId w:val="0"/>
        </w:num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该项目资金区财政及时拨付，单位在此次评价期间内，在此次评价期间内，有序完成设定目标的部分工作任务，保证辖区各单位工作的正常开展，主要为辖区居民提供民生保障、社会治安、城市管理等综合服务；经费使用423.25万元。保障社区日常工作的有序进行，充分调动职工的工作积极性，加大对日常工作经费的管理力度，提高社区综合治理水平，保障居民需求。对社区工作管理主要从组织机构设置及人员配备、制度建设及执行等方面进行，从项目实施流程的规范化、程序化来保证项目的有效开展，以实现项目绩效目标。</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项目决算指标由3个二级指标和6个三级指标构成，权重为20分，实际得分20分。</w:t>
      </w:r>
    </w:p>
    <w:p>
      <w:pPr>
        <w:numPr>
          <w:ilvl w:val="0"/>
          <w:numId w:val="0"/>
        </w:numPr>
        <w:tabs>
          <w:tab w:val="center" w:pos="4295"/>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1.</w:t>
      </w:r>
      <w:r>
        <w:rPr>
          <w:rStyle w:val="18"/>
          <w:rFonts w:hint="eastAsia" w:ascii="楷体" w:hAnsi="楷体" w:eastAsia="楷体"/>
          <w:b w:val="0"/>
          <w:bCs w:val="0"/>
          <w:spacing w:val="-4"/>
          <w:sz w:val="32"/>
          <w:szCs w:val="32"/>
        </w:rPr>
        <w:t>项目立项</w:t>
      </w:r>
    </w:p>
    <w:p>
      <w:pPr>
        <w:numPr>
          <w:ilvl w:val="0"/>
          <w:numId w:val="0"/>
        </w:numPr>
        <w:tabs>
          <w:tab w:val="center" w:pos="4295"/>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立项依据充分性：项目立项符合国家法律法规、政策要求。同时，项目与部门职责范围相符，属于部门履职所需。此外，本项目属于公共财政支持范围，符合中央、地方事权支出责任划分原则。因此，立项依据充分，赋分4分，实际得4分，得分率100% 。</w:t>
      </w:r>
    </w:p>
    <w:p>
      <w:pPr>
        <w:numPr>
          <w:ilvl w:val="0"/>
          <w:numId w:val="0"/>
        </w:numPr>
        <w:tabs>
          <w:tab w:val="center" w:pos="4295"/>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立项程序规范性: 项目按照规定的程序申请设立，审批文件、材料符合相关要求，故立项程序规范，赋分4分，实际得4分，得分率100% 。</w:t>
      </w:r>
    </w:p>
    <w:p>
      <w:pPr>
        <w:numPr>
          <w:ilvl w:val="0"/>
          <w:numId w:val="0"/>
        </w:numPr>
        <w:tabs>
          <w:tab w:val="center" w:pos="4295"/>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综上，该指标满分8分，得分8分。</w:t>
      </w:r>
    </w:p>
    <w:p>
      <w:pPr>
        <w:numPr>
          <w:ilvl w:val="0"/>
          <w:numId w:val="0"/>
        </w:numPr>
        <w:tabs>
          <w:tab w:val="center" w:pos="4295"/>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2.</w:t>
      </w:r>
      <w:r>
        <w:rPr>
          <w:rStyle w:val="18"/>
          <w:rFonts w:hint="eastAsia" w:ascii="楷体" w:hAnsi="楷体" w:eastAsia="楷体"/>
          <w:b w:val="0"/>
          <w:bCs w:val="0"/>
          <w:spacing w:val="-4"/>
          <w:sz w:val="32"/>
          <w:szCs w:val="32"/>
        </w:rPr>
        <w:t>绩效目标</w:t>
      </w:r>
    </w:p>
    <w:p>
      <w:pPr>
        <w:numPr>
          <w:ilvl w:val="0"/>
          <w:numId w:val="0"/>
        </w:numPr>
        <w:tabs>
          <w:tab w:val="center" w:pos="4295"/>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赋分3分，实际得3分，得分率100% 。</w:t>
      </w:r>
    </w:p>
    <w:p>
      <w:pPr>
        <w:numPr>
          <w:ilvl w:val="0"/>
          <w:numId w:val="0"/>
        </w:numPr>
        <w:tabs>
          <w:tab w:val="center" w:pos="4295"/>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绩效目标明确性： 2022年社区经费项目2022年社区经费用于支付新民路片区16个社区用于支付社区正常运转所需租赁费、水电暖、办公经费、服务群众经费、活动费等，为辖区居民服务确保专项经费管理和使用最大限度地体现社区群众意愿和需求。通过该项目的正常使用，更好的服务群众，促进社会经济和谐发展，促进社会建设和文化、教育、卫生公益事业发展，提高基层党组织的服务质量，维护社会面大局，增加了辖区居民居住的幸福感。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赋分3分，实际得3分，得分率100% 。</w:t>
      </w:r>
    </w:p>
    <w:p>
      <w:pPr>
        <w:numPr>
          <w:ilvl w:val="0"/>
          <w:numId w:val="0"/>
        </w:numPr>
        <w:tabs>
          <w:tab w:val="center" w:pos="4295"/>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综上，该指标满分6分，得分6分。</w:t>
      </w:r>
    </w:p>
    <w:p>
      <w:pPr>
        <w:numPr>
          <w:ilvl w:val="0"/>
          <w:numId w:val="0"/>
        </w:numPr>
        <w:tabs>
          <w:tab w:val="center" w:pos="4295"/>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3.</w:t>
      </w:r>
      <w:r>
        <w:rPr>
          <w:rStyle w:val="18"/>
          <w:rFonts w:hint="eastAsia" w:ascii="楷体" w:hAnsi="楷体" w:eastAsia="楷体"/>
          <w:b w:val="0"/>
          <w:bCs w:val="0"/>
          <w:spacing w:val="-4"/>
          <w:sz w:val="32"/>
          <w:szCs w:val="32"/>
        </w:rPr>
        <w:t>资金投入</w:t>
      </w:r>
    </w:p>
    <w:p>
      <w:pPr>
        <w:numPr>
          <w:ilvl w:val="0"/>
          <w:numId w:val="0"/>
        </w:numPr>
        <w:tabs>
          <w:tab w:val="center" w:pos="4295"/>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预算编制科学性：2022年社区经费用于支付新民路片区管委会16个社区正常运转所需租赁费、水电暖、办公经费、服务群众经费、活动费等，预算560万元，资金分配情况：一般社区数量16个分别是：红塔社区、红山路社区、新大地社区、南大湖社区、新城社区、银河社区、金海岸社区、新民西街社区、祥泰社区、兴惠社区、成功社区、成功东社区、荣惠社区、爱心社区、新民社区、新希望社区，每个投入金额35万元； 资金执行时间：2021年1月-2021年12月。赋分3分，实际得3分，得分率100% 。</w:t>
      </w:r>
    </w:p>
    <w:p>
      <w:pPr>
        <w:numPr>
          <w:ilvl w:val="0"/>
          <w:numId w:val="0"/>
        </w:numPr>
        <w:tabs>
          <w:tab w:val="center" w:pos="4295"/>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资金分配合理性：区经费项目560万元：预算到位423.25万元， 2022年社区经费用于支付片区管委会16个社区正常运转所需租赁费、水电暖、办公经费、服务群众经费、活动费等， 具体由社区及村对所有经费开支进行上会研究后，提交上会报告由街道办事处党工委班子过会后，根据本单位财务制度、预算资金支出制度、物品采购相关文件及制度、基建审批制度等各项相关规定进行相关采购及支付审批工作。 2022年正常支付该项目实施后，可以完全覆盖16个社区正常运转。赋分3分，实际得3分，得分率100% 。</w:t>
      </w:r>
    </w:p>
    <w:p>
      <w:pPr>
        <w:numPr>
          <w:ilvl w:val="0"/>
          <w:numId w:val="0"/>
        </w:numPr>
        <w:tabs>
          <w:tab w:val="center" w:pos="4295"/>
        </w:tabs>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项目过程指标由2个二级指标和5个三级指标构成，权重为20分，实际得分18.8分。</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1.</w:t>
      </w:r>
      <w:r>
        <w:rPr>
          <w:rStyle w:val="18"/>
          <w:rFonts w:hint="eastAsia" w:ascii="楷体" w:hAnsi="楷体" w:eastAsia="楷体"/>
          <w:b w:val="0"/>
          <w:bCs w:val="0"/>
          <w:spacing w:val="-4"/>
          <w:sz w:val="32"/>
          <w:szCs w:val="32"/>
        </w:rPr>
        <w:t>资金管理</w:t>
      </w:r>
    </w:p>
    <w:p>
      <w:pPr>
        <w:numPr>
          <w:ilvl w:val="0"/>
          <w:numId w:val="0"/>
        </w:numPr>
        <w:spacing w:line="540" w:lineRule="exact"/>
        <w:ind w:firstLine="624" w:firstLineChars="200"/>
        <w:rPr>
          <w:rStyle w:val="18"/>
          <w:rFonts w:hint="eastAsia" w:ascii="楷体" w:hAnsi="楷体" w:eastAsia="楷体"/>
          <w:b w:val="0"/>
          <w:bCs w:val="0"/>
          <w:spacing w:val="-4"/>
          <w:sz w:val="32"/>
          <w:szCs w:val="32"/>
          <w:lang w:val="en-US" w:eastAsia="zh-CN"/>
        </w:rPr>
      </w:pPr>
      <w:r>
        <w:rPr>
          <w:rStyle w:val="18"/>
          <w:rFonts w:hint="eastAsia" w:ascii="楷体" w:hAnsi="楷体" w:eastAsia="楷体"/>
          <w:b w:val="0"/>
          <w:bCs w:val="0"/>
          <w:spacing w:val="-4"/>
          <w:sz w:val="32"/>
          <w:szCs w:val="32"/>
        </w:rPr>
        <w:t xml:space="preserve">资金到位率： 社区经费安排资金560万元，于2022年2月6日下达，2022年资金到位423.25万元，实际支付423.25万元，资金到位率76 %。赋分5分，实际得3.8分，得分率76% </w:t>
      </w:r>
      <w:r>
        <w:rPr>
          <w:rStyle w:val="18"/>
          <w:rFonts w:hint="eastAsia" w:ascii="楷体" w:hAnsi="楷体" w:eastAsia="楷体"/>
          <w:b w:val="0"/>
          <w:bCs w:val="0"/>
          <w:spacing w:val="-4"/>
          <w:sz w:val="32"/>
          <w:szCs w:val="32"/>
          <w:lang w:eastAsia="zh-CN"/>
        </w:rPr>
        <w:t>。</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故资金到位率指标得分3.8分。</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预算执行率：社区经费：资金下达后，16个社区对所有经费开支进行上会研究后，提交上会报告由片区管委会党工委班子过会后，根据本单位财务制度、预算资金支出制度、物品采购相关文件及制度、基建审批制度等各项相关规定进行相关采购及支付审批工作。年初预算数560万元，实际到位数423.25万元，全年执行423.25万元。预算执行率100%。赋分5分，实际得5分，得分率100%。</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赋分3分，实际得3分，得分率100% 。</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综上，该指标满分13分，得分11.8分。</w:t>
      </w:r>
    </w:p>
    <w:p>
      <w:pPr>
        <w:numPr>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2.</w:t>
      </w:r>
      <w:r>
        <w:rPr>
          <w:rStyle w:val="18"/>
          <w:rFonts w:hint="eastAsia" w:ascii="楷体" w:hAnsi="楷体" w:eastAsia="楷体"/>
          <w:b w:val="0"/>
          <w:bCs w:val="0"/>
          <w:spacing w:val="-4"/>
          <w:sz w:val="32"/>
          <w:szCs w:val="32"/>
        </w:rPr>
        <w:t>组织实施</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管理制度健全性：新民路片区管理委员会已制定相应的财务和业务管理制度，且制度合法、合规、完整，为项目顺利实施提供重要保障。故管理制度健全性得分为3分。</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制度执行有效性：根据现场调研和资料抽查情况，六道湾片区管理委员会严格遵守相关法律法规和相关管理规定，项目调整及支出调整手续完备，整体管理合理有序，项目完成后，及时将会计凭证、固定资产入库单等相关资料分类归档，制度执行有效。故制度执行有效性指标得分4分。</w:t>
      </w:r>
    </w:p>
    <w:p>
      <w:pPr>
        <w:numPr>
          <w:ilvl w:val="0"/>
          <w:numId w:val="0"/>
        </w:num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综上，该指标满分7分，得分7分。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项目产出指标由4个二级指标和5个三级指标构成，权重为40分，实际得分40分。</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1.</w:t>
      </w:r>
      <w:r>
        <w:rPr>
          <w:rStyle w:val="18"/>
          <w:rFonts w:hint="eastAsia" w:ascii="楷体" w:hAnsi="楷体" w:eastAsia="楷体"/>
          <w:b w:val="0"/>
          <w:bCs w:val="0"/>
          <w:spacing w:val="-4"/>
          <w:sz w:val="32"/>
          <w:szCs w:val="32"/>
        </w:rPr>
        <w:t>产出数量</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般社区数量”目标值是16个，2022年度我单位实际完成值是16个分别是：红塔社区、红山路社区、新大地社区、南大湖社区、新城社区、银河社区、金海岸社区、新民西街社区、祥泰社区、兴惠社区、成功社区、成功东社区、荣惠社区、爱心社区、新民社区、新希望社区。</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该项指标下设1个三级指标，指标分值10分，评价得分10分，得分率100%。</w:t>
      </w:r>
    </w:p>
    <w:p>
      <w:pPr>
        <w:numPr>
          <w:ilvl w:val="0"/>
          <w:numId w:val="0"/>
        </w:numPr>
        <w:spacing w:line="540" w:lineRule="exact"/>
        <w:ind w:leftChars="200" w:firstLine="312" w:firstLineChars="1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2.</w:t>
      </w:r>
      <w:r>
        <w:rPr>
          <w:rStyle w:val="18"/>
          <w:rFonts w:hint="eastAsia" w:ascii="楷体" w:hAnsi="楷体" w:eastAsia="楷体"/>
          <w:b w:val="0"/>
          <w:bCs w:val="0"/>
          <w:spacing w:val="-4"/>
          <w:sz w:val="32"/>
          <w:szCs w:val="32"/>
        </w:rPr>
        <w:t>产出质量</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质量指标“资金支付准确率”的目标值是100%，2022年我单位对辖区红塔社区、红山路社区、新大地社区、南大湖社区、新城社区、银河社区、金海岸社区、新民西街社区、祥泰社区、兴惠社区、成功社区、成功东社区、荣惠社区、爱心社区、新民社区、新希望社区会均能做到资金准确支付，赋分5分，实际得分5分，得分率100% 。</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质量指标“社区正常运转率”的目标值是100%，我单位每月按照财务制度和财政部门规定的支付手续，对下辖16个社区正常运转所需租赁费、水电暖、办公经费、服务群众经费、活动费等工作经费进行全覆盖支付，确保专项经费的管理和使用，最大限度地体现社区群众意愿和需求，质量达标率完成100%，赋分5分，实际得分5分，得分率100% 。</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该项指标下设2个三级指标，分值10分，评价得分10分，得分率100% 。</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3.</w:t>
      </w:r>
      <w:r>
        <w:rPr>
          <w:rStyle w:val="18"/>
          <w:rFonts w:hint="eastAsia" w:ascii="楷体" w:hAnsi="楷体" w:eastAsia="楷体"/>
          <w:b w:val="0"/>
          <w:bCs w:val="0"/>
          <w:spacing w:val="-4"/>
          <w:sz w:val="32"/>
          <w:szCs w:val="32"/>
        </w:rPr>
        <w:t>产出时效</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经费支付及时性：我单位每月按照财务制度和财政部门规定及时对各社区交来票据规范性进行审核后，及时支付社区正常运转所需办公及活动经费，正常保障社区工作的需要。赋分10分，实际得分10分，得分率100% 。</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该项指标下设1个三级指标，分值10分，评价得分10分，得分率100% 。</w:t>
      </w:r>
    </w:p>
    <w:p>
      <w:pPr>
        <w:numPr>
          <w:ilvl w:val="0"/>
          <w:numId w:val="0"/>
        </w:numPr>
        <w:spacing w:line="540" w:lineRule="exact"/>
        <w:ind w:leftChars="200" w:firstLine="312" w:firstLineChars="1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4.</w:t>
      </w:r>
      <w:r>
        <w:rPr>
          <w:rStyle w:val="18"/>
          <w:rFonts w:hint="eastAsia" w:ascii="楷体" w:hAnsi="楷体" w:eastAsia="楷体"/>
          <w:b w:val="0"/>
          <w:bCs w:val="0"/>
          <w:spacing w:val="-4"/>
          <w:sz w:val="32"/>
          <w:szCs w:val="32"/>
        </w:rPr>
        <w:t>产出成本</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般社区投入金额：16个社区的目标值是35万元，共计560万元，社区经费中含文化室（中心）年文化活动经费，每个社区1万元；含安全生产经费，每个社区1万元；含妇联专项工作经费，每个社区1万元。均能按标准完成支付，赋分10分，实际得分10分，得分率100%。</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该项指标下设1三级指标，分值10分，评价得分10分，得分率100% 。</w:t>
      </w:r>
    </w:p>
    <w:p>
      <w:pPr>
        <w:numPr>
          <w:ilvl w:val="0"/>
          <w:numId w:val="0"/>
        </w:num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综上，该指标满分40分，得分40分。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项目效益指标由2个二级指标和3个三级指标构成，权重为20分，实际得分20分。</w:t>
      </w:r>
    </w:p>
    <w:p>
      <w:pPr>
        <w:numPr>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1.</w:t>
      </w:r>
      <w:r>
        <w:rPr>
          <w:rStyle w:val="18"/>
          <w:rFonts w:hint="eastAsia" w:ascii="楷体" w:hAnsi="楷体" w:eastAsia="楷体"/>
          <w:b w:val="0"/>
          <w:bCs w:val="0"/>
          <w:spacing w:val="-4"/>
          <w:sz w:val="32"/>
          <w:szCs w:val="32"/>
        </w:rPr>
        <w:t>项目效益</w:t>
      </w:r>
    </w:p>
    <w:p>
      <w:pPr>
        <w:numPr>
          <w:ilvl w:val="0"/>
          <w:numId w:val="6"/>
        </w:numPr>
        <w:spacing w:line="540" w:lineRule="exact"/>
        <w:ind w:firstLine="312" w:firstLineChars="1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实施效益</w:t>
      </w:r>
    </w:p>
    <w:p>
      <w:pPr>
        <w:numPr>
          <w:ilvl w:val="0"/>
          <w:numId w:val="0"/>
        </w:num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经济效益指标：项目属于确定不产生该项效益的，因此未设置</w:t>
      </w:r>
      <w:r>
        <w:rPr>
          <w:rStyle w:val="18"/>
          <w:rFonts w:hint="eastAsia" w:ascii="楷体" w:hAnsi="楷体" w:eastAsia="楷体"/>
          <w:b w:val="0"/>
          <w:bCs w:val="0"/>
          <w:spacing w:val="-4"/>
          <w:sz w:val="32"/>
          <w:szCs w:val="32"/>
          <w:lang w:eastAsia="zh-CN"/>
        </w:rPr>
        <w:t>。</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社会效益指标：评价指标“提高社区综合治理水平，保障社区居民需求”，指标值：有效提高和保障，实际完成值：完全达到预期效果。本项目的实施保障社区日常工作的有序进行，充分调动职工的工作积极性，加大对日常工作经费的管理力度，进一步提升社会服务能力。本项目的实施通过保障社区工作的正常开展，促进社会经济和谐发展，促进社会建设和文化、教育、卫生公益事业发展，提高基层党组织的服务质量，维护社会面大局。进而更好地从民生保障、疫情防控、社区管理、民族团结、综合治理、安全生产、计划生育等各项领域服务辖区居民。确保专项经费的管理和使用，最大限度地体现社区群众意愿和需求。通过设置问卷调查的方式进行考评评价，共计调查样本总量为20个样本，有效调查问卷20份。其中，统计“提高社区综合治理水平，保障社区居民需求”的平均值为100%。故满意度指标得分为10分。</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生态效益指标：项目属于确定不产生该项效益的，因此未设置。</w:t>
      </w:r>
    </w:p>
    <w:p>
      <w:pPr>
        <w:numPr>
          <w:ilvl w:val="0"/>
          <w:numId w:val="0"/>
        </w:num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可持续影响指标：项目属于确定不产生该项效益的，因此未设置。综上，该指标满分10分，得分10分。</w:t>
      </w:r>
    </w:p>
    <w:p>
      <w:pPr>
        <w:spacing w:line="540" w:lineRule="exact"/>
        <w:ind w:firstLine="567" w:firstLineChars="181"/>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（1）满意度指标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工作人员满意度：价指标“工作人员满意度”，指标值：=100%，实际完成值100%。通过走访了解，面对面询问对项目的满意度。通过设置问卷调查的方式进行考评评价，共计调查样本总量为20个样本，有效调查问卷20份。其中，统计“工作人员满意度”的平均值为100%。故满意度指标得分为5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群众满意度：价指标“群众满意度”，指标值：=100%，实际完成值100%。通过走访了解，面对面询问对项目的满意度。通过设置问卷调查的方式进行考评评价，共计调查样本总量为20个样本，有效调查问卷20份。其中，统计“群众满意度”的平均值为100%。故满意度指标得分为5分。</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综上，该指标满分10分，得分10分。</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98.74%，二者之间的偏差值为1.26%，小于10%。未完成原因：因疫情原因、财政紧张，预算未能及时进行支付。总体而言，该项目基本年度总体目标，财政资金的使用效益和效率有待加强。</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（一）主要经验及做法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按照年初预算资金项目组织并实施，加强年初预算项目的管理，提高项目资金预算的准确性。新民路片区管委会按照《行政事业单位内部控制规范》《会计工作基础规范》的要求，并结合自身实际情况建立健全各部门，各环节、各岗位内部控制制度，并确保制度能够长期有效的坚持执行。项目支出要附有专项预算报告，保证了项目资金使用的合规、有效。</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2.该预算项目资金全部用于支付2022年度社区经费，有效地维持本单位工作正常运转，实现既定目标、完成预算支出。</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（二）存在的问题及原因分析</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社区经费收支管理由片区管委会进行统一核算，各社区由报账员对各项支出进行报账，有些社区报账员不具备相应专业知识,财务业务水平有限,身兼多职且人员变动频繁，造成报账不及时且票据提供不规范等现象。</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2.项目资金使用情况，公开不及时。主要是社区工作人员对公示工作不重视，未及时按要求公开公示。</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绩效目标贯穿项目实施的整个周期，指导着项目的发展方向：绩效指标是绩效目标的具体化对项目实施的各个阶段起着考核、监督、引导的作用。我单位在以后年度财政项目绩效目标申报工作中将结合项目实施内容及特点，设定项目总目标、年度绩效目标及绩效指标，形成项目有目标、工作有计划、绩效可量化、考核有依据的计划自标管理机制，便于有效考核执行效果。</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2.项目安排准确，未发现背离项目立项初衷的情况；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3.项目的申报、审核机制完善；</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4.未发现虚假行为和骗取财政资金的问题。</w:t>
      </w:r>
    </w:p>
    <w:p>
      <w:pPr>
        <w:spacing w:line="540" w:lineRule="exact"/>
        <w:ind w:firstLine="567"/>
        <w:rPr>
          <w:rStyle w:val="18"/>
          <w:rFonts w:ascii="仿宋" w:hAnsi="仿宋" w:eastAsia="仿宋"/>
          <w:b w:val="0"/>
          <w:spacing w:val="-4"/>
          <w:sz w:val="32"/>
          <w:szCs w:val="32"/>
        </w:rPr>
      </w:pPr>
    </w:p>
    <w:p>
      <w:pPr>
        <w:spacing w:line="540" w:lineRule="exact"/>
        <w:rPr>
          <w:rStyle w:val="18"/>
          <w:rFonts w:ascii="仿宋" w:hAnsi="仿宋" w:eastAsia="仿宋"/>
          <w:b w:val="0"/>
          <w:spacing w:val="-4"/>
          <w:sz w:val="32"/>
          <w:szCs w:val="32"/>
        </w:rPr>
      </w:pPr>
      <w:bookmarkStart w:id="0" w:name="_GoBack"/>
      <w:bookmarkEnd w:id="0"/>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EFBDF"/>
    <w:multiLevelType w:val="singleLevel"/>
    <w:tmpl w:val="829EFBDF"/>
    <w:lvl w:ilvl="0" w:tentative="0">
      <w:start w:val="2"/>
      <w:numFmt w:val="chineseCounting"/>
      <w:suff w:val="nothing"/>
      <w:lvlText w:val="（%1）"/>
      <w:lvlJc w:val="left"/>
      <w:rPr>
        <w:rFonts w:hint="eastAsia"/>
      </w:rPr>
    </w:lvl>
  </w:abstractNum>
  <w:abstractNum w:abstractNumId="1">
    <w:nsid w:val="C1F1CEB5"/>
    <w:multiLevelType w:val="singleLevel"/>
    <w:tmpl w:val="C1F1CEB5"/>
    <w:lvl w:ilvl="0" w:tentative="0">
      <w:start w:val="2"/>
      <w:numFmt w:val="decimal"/>
      <w:lvlText w:val="%1."/>
      <w:lvlJc w:val="left"/>
      <w:pPr>
        <w:tabs>
          <w:tab w:val="left" w:pos="312"/>
        </w:tabs>
      </w:pPr>
    </w:lvl>
  </w:abstractNum>
  <w:abstractNum w:abstractNumId="2">
    <w:nsid w:val="1D45AAF8"/>
    <w:multiLevelType w:val="singleLevel"/>
    <w:tmpl w:val="1D45AAF8"/>
    <w:lvl w:ilvl="0" w:tentative="0">
      <w:start w:val="1"/>
      <w:numFmt w:val="decimal"/>
      <w:suff w:val="nothing"/>
      <w:lvlText w:val="（%1）"/>
      <w:lvlJc w:val="left"/>
    </w:lvl>
  </w:abstractNum>
  <w:abstractNum w:abstractNumId="3">
    <w:nsid w:val="57EC0E5C"/>
    <w:multiLevelType w:val="singleLevel"/>
    <w:tmpl w:val="57EC0E5C"/>
    <w:lvl w:ilvl="0" w:tentative="0">
      <w:start w:val="1"/>
      <w:numFmt w:val="decimal"/>
      <w:suff w:val="nothing"/>
      <w:lvlText w:val="（%1）"/>
      <w:lvlJc w:val="left"/>
    </w:lvl>
  </w:abstractNum>
  <w:abstractNum w:abstractNumId="4">
    <w:nsid w:val="60DA7483"/>
    <w:multiLevelType w:val="singleLevel"/>
    <w:tmpl w:val="60DA7483"/>
    <w:lvl w:ilvl="0" w:tentative="0">
      <w:start w:val="1"/>
      <w:numFmt w:val="decimal"/>
      <w:suff w:val="nothing"/>
      <w:lvlText w:val="（%1）"/>
      <w:lvlJc w:val="left"/>
    </w:lvl>
  </w:abstractNum>
  <w:abstractNum w:abstractNumId="5">
    <w:nsid w:val="663051D9"/>
    <w:multiLevelType w:val="singleLevel"/>
    <w:tmpl w:val="663051D9"/>
    <w:lvl w:ilvl="0" w:tentative="0">
      <w:start w:val="1"/>
      <w:numFmt w:val="decimal"/>
      <w:suff w:val="nothing"/>
      <w:lvlText w:val="（%1）"/>
      <w:lvlJc w:val="left"/>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zRkYmFmODI5MmNmOGFkYWNlMzk0NzY5N2VjMDI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2FB0927"/>
    <w:rsid w:val="07261865"/>
    <w:rsid w:val="0856517C"/>
    <w:rsid w:val="0BFB189F"/>
    <w:rsid w:val="11BD75F7"/>
    <w:rsid w:val="13BE561A"/>
    <w:rsid w:val="15392994"/>
    <w:rsid w:val="17DA79E9"/>
    <w:rsid w:val="18FE139B"/>
    <w:rsid w:val="25DD66D0"/>
    <w:rsid w:val="2A891760"/>
    <w:rsid w:val="3029612C"/>
    <w:rsid w:val="32A221C5"/>
    <w:rsid w:val="33F20F2A"/>
    <w:rsid w:val="34C44675"/>
    <w:rsid w:val="3B5B5607"/>
    <w:rsid w:val="3CE21B3C"/>
    <w:rsid w:val="468C1ECE"/>
    <w:rsid w:val="4D2606A1"/>
    <w:rsid w:val="51830480"/>
    <w:rsid w:val="53A616BE"/>
    <w:rsid w:val="54662BFB"/>
    <w:rsid w:val="62051CA5"/>
    <w:rsid w:val="6C3A69EF"/>
    <w:rsid w:val="7A2A1195"/>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8053</Words>
  <Characters>8442</Characters>
  <Lines>4</Lines>
  <Paragraphs>1</Paragraphs>
  <TotalTime>28</TotalTime>
  <ScaleCrop>false</ScaleCrop>
  <LinksUpToDate>false</LinksUpToDate>
  <CharactersWithSpaces>8500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2023-09-14T03:20:47Z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7D79172145EA4D76855988DB63086D20</vt:lpwstr>
  </property>
</Properties>
</file>