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bookmarkStart w:id="54" w:name="_GoBack"/>
      <w:bookmarkEnd w:id="54"/>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乌鲁木齐市水磨沟区苇湖梁片区管委会2022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受区委、区人民政府委托，统一领导和管理辖区党务、行政和社会事务工作，促进片区和谐发展；拟订并组织实施片区发展规划，聚焦维护稳定和服务群众，夯实基层基础工作的建议和措施；统筹整合辖区行政、社会、公共服务资源，综合协调相关职能部门和驻区企事业单位，为辖区居民提供民生保障、社会治安、城市管理等综合服务；对相关职能部门和驻区企事业单位履行社会管理和公共服务职能情况进行监督、检查和考核。</w:t>
      </w:r>
      <w:r>
        <w:rPr>
          <w:rFonts w:hint="eastAsia" w:ascii="仿宋_GB2312" w:eastAsia="仿宋_GB2312"/>
          <w:sz w:val="32"/>
          <w:szCs w:val="32"/>
          <w:highlight w:val="none"/>
          <w:lang w:eastAsia="zh-CN"/>
        </w:rPr>
        <w:t>各部门职责如下：</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（一）</w:t>
      </w:r>
      <w:r>
        <w:rPr>
          <w:rFonts w:hint="eastAsia" w:ascii="仿宋_GB2312" w:eastAsia="仿宋_GB2312"/>
          <w:sz w:val="32"/>
          <w:szCs w:val="32"/>
          <w:highlight w:val="none"/>
        </w:rPr>
        <w:t>党建办公室。主要负责党务、组织、宣传、人事、老干部等工作；承担人大、工青妇等群团组织的日常工作及政协委员的联络工作。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综合协调办公室(综合执法办公室)。主要负责文秘、档案、保密、翻译、综合协调、后勤保障等工作，负责行政执法工作的规划、管理、协调和监督工作。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党群服务中心。主要承担辖区居民宣传发动、“访惠聚”工作以及社团组织培育、发展和管理等服务工作。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（四）社</w:t>
      </w:r>
      <w:r>
        <w:rPr>
          <w:rFonts w:hint="eastAsia" w:ascii="仿宋_GB2312" w:eastAsia="仿宋_GB2312"/>
          <w:sz w:val="32"/>
          <w:szCs w:val="32"/>
          <w:highlight w:val="none"/>
        </w:rPr>
        <w:t>会事务(统计)服务中心(退役军人服务站)。主要承担辖区经济发展、民政、教育、劳动就业、社会保障、社会救助、退役军人服务管理、残疾人事业、统计、生态环保等工作。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（五）</w:t>
      </w:r>
      <w:r>
        <w:rPr>
          <w:rFonts w:hint="eastAsia" w:ascii="仿宋_GB2312" w:eastAsia="仿宋_GB2312"/>
          <w:sz w:val="32"/>
          <w:szCs w:val="32"/>
          <w:highlight w:val="none"/>
        </w:rPr>
        <w:t>公共卫生服务指导中心(防疫专员办公室)。主要承担辖区公共卫生、计划生育、健康教育、防疫宣传、预防接种等工作，协助专业部门开展</w:t>
      </w:r>
      <w:r>
        <w:rPr>
          <w:rFonts w:hint="eastAsia" w:ascii="仿宋_GB2312" w:eastAsia="仿宋_GB2312"/>
          <w:sz w:val="32"/>
          <w:szCs w:val="32"/>
          <w:highlight w:val="none"/>
          <w:lang w:eastAsia="zh-CN"/>
        </w:rPr>
        <w:t>防疫</w:t>
      </w:r>
      <w:r>
        <w:rPr>
          <w:rFonts w:hint="eastAsia" w:ascii="仿宋_GB2312" w:eastAsia="仿宋_GB2312"/>
          <w:sz w:val="32"/>
          <w:szCs w:val="32"/>
          <w:highlight w:val="none"/>
        </w:rPr>
        <w:t>工作。</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w:t>
      </w:r>
      <w:r>
        <w:rPr>
          <w:rFonts w:hint="eastAsia" w:ascii="仿宋_GB2312" w:eastAsia="仿宋_GB2312"/>
          <w:sz w:val="32"/>
          <w:szCs w:val="32"/>
          <w:highlight w:val="none"/>
        </w:rPr>
        <w:t>综治中心(网格化服务中心、群众工作中心)。主要承担辖区社会治安综合治理、法治建设、平安建设、民族宗教事务、网格化管理、安全生产、应急管理、人民武装、流动人口、安置帮教、社区矫正、“扫黄打非”、普法、预防未成年人违法犯罪等服务工作，以及群众信访矛盾纠纷调解和群众各类诉求归口收集、精准分流、更进督办等群众工作</w:t>
      </w:r>
      <w:r>
        <w:rPr>
          <w:rFonts w:hint="eastAsia" w:ascii="仿宋_GB2312" w:eastAsia="仿宋_GB2312"/>
          <w:sz w:val="32"/>
          <w:szCs w:val="32"/>
          <w:highlight w:val="none"/>
          <w:lang w:eastAsia="zh-CN"/>
        </w:rPr>
        <w:t>。</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（七）民族宗教事务中心</w:t>
      </w:r>
      <w:r>
        <w:rPr>
          <w:rFonts w:hint="eastAsia" w:ascii="仿宋_GB2312" w:eastAsia="仿宋_GB2312"/>
          <w:sz w:val="32"/>
          <w:szCs w:val="32"/>
          <w:highlight w:val="none"/>
        </w:rPr>
        <w:t>。负责</w:t>
      </w:r>
      <w:r>
        <w:rPr>
          <w:rFonts w:hint="eastAsia" w:ascii="仿宋_GB2312" w:eastAsia="仿宋_GB2312"/>
          <w:sz w:val="32"/>
          <w:szCs w:val="32"/>
          <w:highlight w:val="none"/>
          <w:lang w:eastAsia="zh-CN"/>
        </w:rPr>
        <w:t>辖区民族宗教管理相关事务性工作，了解掌握辖区少数民族及信教群众、宗教活动场所等情况；依法妥善处置涉及民族宗教方面的突发事件并及时上报；组织开展民族团结进步教育和民族团结进步创建工作；加强对辖区宗教教职人员和宗教活动场所负责人的思想教育、法制教育;组织开展民族宗教政策、法律法规的宣传教育工作；教育引导各族群众之间、信教群众与不信教群众之间相互尊重、加强团结、共建和谐社会。</w:t>
      </w:r>
    </w:p>
    <w:p>
      <w:pPr>
        <w:keepNext w:val="0"/>
        <w:keepLines w:val="0"/>
        <w:pageBreakBefore w:val="0"/>
        <w:widowControl w:val="0"/>
        <w:numPr>
          <w:ilvl w:val="0"/>
          <w:numId w:val="0"/>
        </w:numPr>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（八）</w:t>
      </w:r>
      <w:r>
        <w:rPr>
          <w:rFonts w:hint="eastAsia" w:ascii="仿宋_GB2312" w:eastAsia="仿宋_GB2312"/>
          <w:sz w:val="32"/>
          <w:szCs w:val="32"/>
          <w:highlight w:val="none"/>
        </w:rPr>
        <w:t>综合行政执法队。根据授权做好辖区综合行政执法工作。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 w:name="_Toc31238"/>
      <w:bookmarkStart w:id="5" w:name="_Toc2151"/>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乌鲁木齐市水磨沟区苇湖梁片区管理委员会</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208</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197</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hAnsi="宋体" w:eastAsia="仿宋_GB2312" w:cs="宋体"/>
          <w:kern w:val="0"/>
          <w:sz w:val="32"/>
          <w:szCs w:val="32"/>
          <w:highlight w:val="none"/>
        </w:rPr>
        <w:t>乌鲁木齐市水磨沟区苇湖梁片区管理委员会</w:t>
      </w:r>
      <w:r>
        <w:rPr>
          <w:rFonts w:hint="eastAsia" w:ascii="仿宋_GB2312" w:eastAsia="仿宋_GB2312"/>
          <w:sz w:val="32"/>
          <w:szCs w:val="32"/>
          <w:highlight w:val="none"/>
        </w:rPr>
        <w:t>部门决算包括：</w:t>
      </w:r>
      <w:r>
        <w:rPr>
          <w:rFonts w:hint="eastAsia" w:ascii="仿宋_GB2312" w:hAnsi="宋体" w:eastAsia="仿宋_GB2312" w:cs="宋体"/>
          <w:kern w:val="0"/>
          <w:sz w:val="32"/>
          <w:szCs w:val="32"/>
          <w:highlight w:val="none"/>
        </w:rPr>
        <w:t>乌鲁木齐市水磨沟区苇湖梁片区管理委员会</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w:t>
      </w:r>
      <w:r>
        <w:rPr>
          <w:rFonts w:hint="eastAsia" w:ascii="仿宋_GB2312" w:hAnsi="宋体" w:eastAsia="仿宋_GB2312" w:cs="宋体"/>
          <w:kern w:val="0"/>
          <w:sz w:val="32"/>
          <w:szCs w:val="32"/>
          <w:highlight w:val="none"/>
        </w:rPr>
        <w:t>下设2个处室，均为正科级，分别是：党建办公室、综合协调办公室（综合执法办公室）。组建综合行政执法队，机构规格均相当正科级。</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5个事业单位：党群服务中心、社会事务（统计）服务中心（退役军人服务站）、公共卫生服务指导中心（防疫专员办公室）、综治中心（网格化服务中心</w:t>
      </w:r>
      <w:r>
        <w:rPr>
          <w:rFonts w:hint="eastAsia" w:ascii="仿宋_GB2312" w:hAnsi="宋体" w:eastAsia="仿宋_GB2312" w:cs="宋体"/>
          <w:kern w:val="0"/>
          <w:sz w:val="32"/>
          <w:szCs w:val="32"/>
          <w:highlight w:val="none"/>
          <w:lang w:eastAsia="zh-CN"/>
        </w:rPr>
        <w:t>、群众工作中心</w:t>
      </w:r>
      <w:r>
        <w:rPr>
          <w:rFonts w:hint="eastAsia" w:ascii="仿宋_GB2312" w:hAnsi="宋体" w:eastAsia="仿宋_GB2312" w:cs="宋体"/>
          <w:kern w:val="0"/>
          <w:sz w:val="32"/>
          <w:szCs w:val="32"/>
          <w:highlight w:val="none"/>
        </w:rPr>
        <w:t>）、民族宗教事务中心。</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10 个社区：新光社区、龙翔路南社区、昌盛祥社区、融合社区、融睦社区、立井南社区、立井北社区、立井东社区、立井西社区、龙盛街南社区。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3707.29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其中：本年收入合计3041.91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665.38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2197.82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37.22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本年无政府性基金预算财政拨款收入，本年单位减少社区经费、社区食堂补助经费，临聘人员经费、便民服务站人员伙食费、便民服务站运行经费、封闭化岗亭人员经费等项目资金，收入减少。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3707.29万元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3138.1万元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rPr>
        <w:t>569.19万元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2197.82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37.22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本年单位减少社区经费、社区食堂补助经费，临聘人员经费、便民服务站人员伙食费、便民服务站运行经费、封闭化岗亭人员经费等项目资金，支出减少。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本年收入3041.91万元，其中：财政拨款收入3039.2万元，占</w:t>
      </w:r>
      <w:r>
        <w:rPr>
          <w:rFonts w:hint="eastAsia" w:ascii="仿宋_GB2312" w:eastAsia="仿宋_GB2312"/>
          <w:sz w:val="32"/>
          <w:szCs w:val="32"/>
          <w:highlight w:val="none"/>
          <w:lang w:val="en-US" w:eastAsia="zh-CN"/>
        </w:rPr>
        <w:t>99.91</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2.72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0.09</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本年支出3138.1万元，其中：基本支出2871.59万元，占</w:t>
      </w:r>
      <w:r>
        <w:rPr>
          <w:rFonts w:hint="eastAsia" w:ascii="仿宋_GB2312" w:eastAsia="仿宋_GB2312"/>
          <w:sz w:val="32"/>
          <w:szCs w:val="32"/>
          <w:highlight w:val="none"/>
          <w:lang w:val="en-US" w:eastAsia="zh-CN"/>
        </w:rPr>
        <w:t>91.51</w:t>
      </w:r>
      <w:r>
        <w:rPr>
          <w:rFonts w:hint="eastAsia" w:ascii="仿宋_GB2312" w:eastAsia="仿宋_GB2312"/>
          <w:sz w:val="32"/>
          <w:szCs w:val="32"/>
          <w:highlight w:val="none"/>
        </w:rPr>
        <w:t>%；项目支出266.52万元，占</w:t>
      </w:r>
      <w:r>
        <w:rPr>
          <w:rFonts w:hint="eastAsia" w:ascii="仿宋_GB2312" w:eastAsia="仿宋_GB2312"/>
          <w:sz w:val="32"/>
          <w:szCs w:val="32"/>
          <w:highlight w:val="none"/>
          <w:lang w:val="en-US" w:eastAsia="zh-CN"/>
        </w:rPr>
        <w:t>8.49</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6564"/>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总计3687.65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w:t>
      </w:r>
      <w:r>
        <w:rPr>
          <w:rFonts w:hint="eastAsia" w:ascii="仿宋_GB2312" w:eastAsia="仿宋_GB2312"/>
          <w:sz w:val="32"/>
          <w:szCs w:val="32"/>
          <w:highlight w:val="none"/>
        </w:rPr>
        <w:t>648.45万元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财政拨款本年收入3039.2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2193.76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本年无政府性基金预算财政拨款收入，本年单位减少社区经费、社区食堂补助经费，临聘人员经费、便民服务站人员伙食费、便民服务站运行经费、封闭化岗亭人员经费等项目资金，收入减少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总计3687.65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其中：年末财政拨款结转和结余552.26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财政拨款本年支出3135.38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2193.76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37.3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本年无政府性基金预算财政拨款支出，本年单位减少社区经费、社区食堂补助经费，临聘人员经费、便民服务站人员伙食费、便民服务站运行经费、封闭化岗亭人员经费等项目资金，支出减少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5198.47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3687.65</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-29.06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社区经费、社区食堂补助经费，临聘人员经费、便民服务站人员伙食费、便民服务站运行经费、封闭化岗亭人员经费等调减预算收入，</w:t>
      </w:r>
      <w:r>
        <w:rPr>
          <w:rFonts w:ascii="仿宋_GB2312" w:hAnsi="仿宋_GB2312" w:eastAsia="仿宋_GB2312" w:cs="仿宋_GB2312"/>
          <w:b w:val="0"/>
          <w:bCs w:val="0"/>
          <w:color w:val="000000"/>
          <w:sz w:val="31"/>
          <w:szCs w:val="31"/>
          <w:highlight w:val="none"/>
        </w:rPr>
        <w:t>导致预决算差异大</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5198.47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3687.65</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-29.06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社区经费、社区食堂补助经费，临聘人员经费、便民服务站人员伙食费、便民服务站运行经费、封闭化岗亭人员经费等项目</w:t>
      </w:r>
      <w:r>
        <w:rPr>
          <w:rFonts w:ascii="仿宋_GB2312" w:hAnsi="仿宋_GB2312" w:eastAsia="仿宋_GB2312" w:cs="仿宋_GB2312"/>
          <w:b w:val="0"/>
          <w:bCs w:val="0"/>
          <w:color w:val="000000"/>
          <w:sz w:val="31"/>
          <w:szCs w:val="31"/>
          <w:highlight w:val="none"/>
        </w:rPr>
        <w:t>年底调减预算，因此决算支出数较少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3135.38</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99.91</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2053.54</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39.58</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社区经费、社区食堂补助经费，临聘人员经费、便民服务站人员伙食费、便民服务站运行经费、封闭化岗亭人员经费年底调减预算，导致支出减少</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rPr>
        <w:t>1109.25</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35.38</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2.公共安全支出</w:t>
      </w:r>
      <w:r>
        <w:rPr>
          <w:rFonts w:hint="eastAsia" w:ascii="仿宋_GB2312" w:hAnsi="仿宋_GB2312" w:eastAsia="仿宋_GB2312" w:cs="仿宋_GB2312"/>
          <w:kern w:val="0"/>
          <w:sz w:val="32"/>
          <w:szCs w:val="32"/>
          <w:highlight w:val="none"/>
          <w:lang w:eastAsia="zh-CN"/>
        </w:rPr>
        <w:t>（类）0.5万元，占比</w:t>
      </w:r>
      <w:r>
        <w:rPr>
          <w:rFonts w:hint="eastAsia" w:ascii="仿宋_GB2312" w:hAnsi="仿宋_GB2312" w:eastAsia="仿宋_GB2312" w:cs="仿宋_GB2312"/>
          <w:kern w:val="0"/>
          <w:sz w:val="32"/>
          <w:szCs w:val="32"/>
          <w:highlight w:val="none"/>
          <w:lang w:val="en-US" w:eastAsia="zh-CN"/>
        </w:rPr>
        <w:t>0.02%。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3.社会保障和就业支出</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lang w:val="en-US" w:eastAsia="zh-CN"/>
        </w:rPr>
        <w:t>1888.3万元，占比60.23%。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4.卫生健康支出</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lang w:val="en-US" w:eastAsia="zh-CN"/>
        </w:rPr>
        <w:t>53.84万元，占比1.72%。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5.城乡社区支出</w:t>
      </w:r>
      <w:r>
        <w:rPr>
          <w:rFonts w:hint="eastAsia" w:ascii="仿宋_GB2312" w:hAnsi="仿宋_GB2312" w:eastAsia="仿宋_GB2312" w:cs="仿宋_GB2312"/>
          <w:kern w:val="0"/>
          <w:sz w:val="32"/>
          <w:szCs w:val="32"/>
          <w:highlight w:val="none"/>
          <w:lang w:eastAsia="zh-CN"/>
        </w:rPr>
        <w:t>（类）</w:t>
      </w:r>
      <w:r>
        <w:rPr>
          <w:rFonts w:hint="eastAsia" w:ascii="仿宋_GB2312" w:hAnsi="仿宋_GB2312" w:eastAsia="仿宋_GB2312" w:cs="仿宋_GB2312"/>
          <w:kern w:val="0"/>
          <w:sz w:val="32"/>
          <w:szCs w:val="32"/>
          <w:highlight w:val="none"/>
          <w:lang w:val="en-US" w:eastAsia="zh-CN"/>
        </w:rPr>
        <w:t>83.5万元，占比2.66%。</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rPr>
        <w:t>（类）政府办公厅（室）及相关机构事务（款）行政运行（项）: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为368.33万元，比上年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69.28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23.17</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本年人员社保、公积金调整基数，工资标准调增，导致人员经费增大。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2.一般公共服务</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rPr>
        <w:t>（类）政府办公厅（室）及相关机构事务（款）事业运行（项）: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为740.92万元，比上年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166.3</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28.94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本年人员社保、公积金调整基数，工资标准调增，导致人员经费增大。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公共安全支出（类）其他公共安全支出（款）其他公共安全支出（项）: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262.65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99.81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本年便民服务站运行经费调减预算，导致支出大幅减少。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社会保障和就业支出（类）民政管理事务（款）基层政权建设和社区治理（项）: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1699.58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1182.38</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41.03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2022年临聘人员经费、社区经费、社区食堂补助经费减少预算，导致支出较上年大幅减少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社会保障和就业支出（类）行政事业单位养老支出（款）行政单位离退休（项）: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0.48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0.48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：本年行政退休人员暖气费在此款项反应。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社会保障和就业支出（类）行政事业单位养老支出（款）事业单位离退休（项）: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0.36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0.36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本年事业退休人员暖气费在此款项反应。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182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8.24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4.74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：本年人员社保基数调整，养老保险缴费较上年增加。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社会保障和就业支出（类）其他生活救助（款）其他城市生活救助（项）: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5.88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5.88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本年新增项目乌财社（2020）203号关于拨付受防疫影响灵活就业人员困难救助金</w:t>
      </w:r>
      <w:r>
        <w:rPr>
          <w:rFonts w:hint="eastAsia" w:ascii="仿宋_GB2312" w:hAnsi="仿宋_GB2312" w:eastAsia="仿宋_GB2312" w:cs="仿宋_GB2312"/>
          <w:kern w:val="0"/>
          <w:sz w:val="32"/>
          <w:szCs w:val="32"/>
          <w:highlight w:val="none"/>
          <w:lang w:val="en-US" w:eastAsia="zh-CN"/>
        </w:rPr>
        <w:t>5.88万元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卫生健康支出（类）公共卫生（款）突发公共卫生事件应急处理（项）: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53.84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53.08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98.59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本年新增项目</w:t>
      </w:r>
      <w:r>
        <w:rPr>
          <w:rFonts w:hint="eastAsia" w:ascii="仿宋_GB2312" w:hAnsi="仿宋_GB2312" w:eastAsia="仿宋_GB2312" w:cs="仿宋_GB2312"/>
          <w:kern w:val="0"/>
          <w:sz w:val="32"/>
          <w:szCs w:val="32"/>
          <w:highlight w:val="none"/>
        </w:rPr>
        <w:t>乌财社【2022】167号关于向各相关区下达</w:t>
      </w:r>
      <w:r>
        <w:rPr>
          <w:rFonts w:hint="eastAsia" w:ascii="仿宋_GB2312" w:hAnsi="仿宋_GB2312" w:eastAsia="仿宋_GB2312" w:cs="仿宋_GB2312"/>
          <w:kern w:val="0"/>
          <w:sz w:val="32"/>
          <w:szCs w:val="32"/>
          <w:highlight w:val="none"/>
          <w:lang w:eastAsia="zh-CN"/>
        </w:rPr>
        <w:t>防疫</w:t>
      </w:r>
      <w:r>
        <w:rPr>
          <w:rFonts w:hint="eastAsia" w:ascii="仿宋_GB2312" w:hAnsi="仿宋_GB2312" w:eastAsia="仿宋_GB2312" w:cs="仿宋_GB2312"/>
          <w:kern w:val="0"/>
          <w:sz w:val="32"/>
          <w:szCs w:val="32"/>
          <w:highlight w:val="none"/>
        </w:rPr>
        <w:t>防控补助资金的通知</w:t>
      </w:r>
      <w:r>
        <w:rPr>
          <w:rFonts w:hint="eastAsia" w:ascii="仿宋_GB2312" w:hAnsi="仿宋_GB2312" w:eastAsia="仿宋_GB2312" w:cs="仿宋_GB2312"/>
          <w:kern w:val="0"/>
          <w:sz w:val="32"/>
          <w:szCs w:val="32"/>
          <w:highlight w:val="none"/>
          <w:lang w:eastAsia="zh-CN"/>
        </w:rPr>
        <w:t>支出</w:t>
      </w:r>
      <w:r>
        <w:rPr>
          <w:rFonts w:hint="eastAsia" w:ascii="仿宋_GB2312" w:hAnsi="仿宋_GB2312" w:eastAsia="仿宋_GB2312" w:cs="仿宋_GB2312"/>
          <w:kern w:val="0"/>
          <w:sz w:val="32"/>
          <w:szCs w:val="32"/>
          <w:highlight w:val="none"/>
          <w:lang w:val="en-US" w:eastAsia="zh-CN"/>
        </w:rPr>
        <w:t>53.08万元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城乡社区支出（类）其他城乡社区支出（款）其他城乡社区支出（项）: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83.5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69.49</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83.22</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本年增加办事处业务经费支出</w:t>
      </w:r>
      <w:r>
        <w:rPr>
          <w:rFonts w:hint="eastAsia" w:ascii="仿宋_GB2312" w:hAnsi="仿宋_GB2312" w:eastAsia="仿宋_GB2312" w:cs="仿宋_GB2312"/>
          <w:kern w:val="0"/>
          <w:sz w:val="32"/>
          <w:szCs w:val="32"/>
          <w:highlight w:val="none"/>
          <w:lang w:val="en-US" w:eastAsia="zh-CN"/>
        </w:rPr>
        <w:t>69.49万元</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一般公共预算财政拨款基本支出2868.8</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人员经费2778.01万元，包括：基本工资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、退休费、生活补助、奖励金。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公用经费90.85万元，包括：办公费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专用材料费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万元，比上年减少3</w:t>
      </w:r>
      <w:r>
        <w:rPr>
          <w:rFonts w:hint="eastAsia" w:ascii="仿宋_GB2312" w:eastAsia="仿宋_GB2312"/>
          <w:sz w:val="32"/>
          <w:szCs w:val="32"/>
          <w:highlight w:val="none"/>
          <w:lang w:val="en-US" w:eastAsia="zh-CN"/>
        </w:rPr>
        <w:t>.44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主要原因是：本年公务用车燃油费减少支出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上年无此支出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%，比上年减少</w:t>
      </w:r>
      <w:r>
        <w:rPr>
          <w:rFonts w:hint="eastAsia" w:ascii="仿宋_GB2312" w:eastAsia="仿宋_GB2312"/>
          <w:sz w:val="32"/>
          <w:szCs w:val="32"/>
          <w:highlight w:val="none"/>
          <w:lang w:val="en-US" w:eastAsia="zh-CN"/>
        </w:rPr>
        <w:t>3.44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主要原因是：本年公务用车燃油费减少支出</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w:t>
      </w:r>
      <w:r>
        <w:rPr>
          <w:rFonts w:hint="eastAsia" w:ascii="仿宋_GB2312" w:eastAsia="仿宋_GB2312"/>
          <w:sz w:val="32"/>
          <w:szCs w:val="32"/>
          <w:highlight w:val="none"/>
          <w:lang w:eastAsia="zh-CN"/>
        </w:rPr>
        <w:t>上年无此支出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万元。开支内容包括本年单位</w:t>
      </w:r>
    </w:p>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eastAsia="仿宋_GB2312"/>
          <w:sz w:val="32"/>
          <w:szCs w:val="32"/>
          <w:highlight w:val="none"/>
        </w:rPr>
      </w:pPr>
      <w:r>
        <w:rPr>
          <w:rFonts w:hint="eastAsia" w:ascii="仿宋_GB2312" w:eastAsia="仿宋_GB2312"/>
          <w:sz w:val="32"/>
          <w:szCs w:val="32"/>
          <w:highlight w:val="none"/>
        </w:rPr>
        <w:t>无因公出国（境）费支出。单位全年安排的因公出国（境）团组0个，因公出国（境）0人次。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万元。公务用车运行维护费开支内容包括公务用车燃油费、保险费、过路费、车辆维修维护费等。公务用车购置数0辆，公务用车保有量3辆</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万元。开支内容本年单位无此项支出。单位全年安排的国内公务接待0批次，0人次。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9.28</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主要原因是：本年公务用车运行维护费未列支</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全年预算数0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主要原因是：本年单位无此项支出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9.09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主要原因是本年公务用车运行维护费未列支</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0.19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主要原因是：本年单位无此项支出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乌鲁木齐市水磨沟区苇湖梁片区管理委员会（行政单位）机关运行经费支出</w:t>
      </w:r>
      <w:r>
        <w:rPr>
          <w:rFonts w:hint="eastAsia" w:ascii="仿宋_GB2312" w:eastAsia="仿宋_GB2312"/>
          <w:sz w:val="32"/>
          <w:szCs w:val="32"/>
          <w:highlight w:val="none"/>
          <w:lang w:val="en-US" w:eastAsia="zh-CN"/>
        </w:rPr>
        <w:t>90.85</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31.55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53.2</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：由于</w:t>
      </w:r>
      <w:r>
        <w:rPr>
          <w:rFonts w:hint="eastAsia" w:ascii="仿宋_GB2312" w:eastAsia="仿宋_GB2312"/>
          <w:sz w:val="32"/>
          <w:szCs w:val="32"/>
          <w:highlight w:val="none"/>
          <w:lang w:val="en-US" w:eastAsia="zh-CN"/>
        </w:rPr>
        <w:t>2022年工作任务量增加，</w:t>
      </w:r>
      <w:r>
        <w:rPr>
          <w:rFonts w:hint="eastAsia" w:ascii="仿宋_GB2312" w:eastAsia="仿宋_GB2312"/>
          <w:sz w:val="32"/>
          <w:szCs w:val="32"/>
          <w:highlight w:val="none"/>
          <w:lang w:eastAsia="zh-CN"/>
        </w:rPr>
        <w:t>机关增加办公费、水电费、邮电费、专用材料费、福利费的相关支出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12.84</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1788.14万元，房</w:t>
      </w:r>
      <w:r>
        <w:rPr>
          <w:rFonts w:hint="eastAsia" w:ascii="仿宋_GB2312" w:eastAsia="仿宋_GB2312"/>
          <w:sz w:val="32"/>
          <w:szCs w:val="32"/>
          <w:highlight w:val="none"/>
        </w:rPr>
        <w:t>屋3,483.36平方米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687.76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车辆43辆，价值</w:t>
      </w:r>
      <w:r>
        <w:rPr>
          <w:rFonts w:hint="eastAsia" w:ascii="仿宋_GB2312" w:eastAsia="仿宋_GB2312"/>
          <w:sz w:val="32"/>
          <w:szCs w:val="32"/>
          <w:highlight w:val="none"/>
          <w:lang w:val="en-US" w:eastAsia="zh-CN"/>
        </w:rPr>
        <w:t>291.87</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机关办公用车、</w:t>
      </w:r>
      <w:r>
        <w:rPr>
          <w:rFonts w:hint="eastAsia" w:ascii="仿宋_GB2312" w:eastAsia="仿宋_GB2312"/>
          <w:sz w:val="32"/>
          <w:szCs w:val="32"/>
          <w:highlight w:val="none"/>
          <w:lang w:val="en-US" w:eastAsia="zh-CN"/>
        </w:rPr>
        <w:t>10个</w:t>
      </w:r>
      <w:r>
        <w:rPr>
          <w:rFonts w:hint="eastAsia" w:ascii="仿宋_GB2312" w:eastAsia="仿宋_GB2312"/>
          <w:sz w:val="32"/>
          <w:szCs w:val="32"/>
          <w:highlight w:val="none"/>
          <w:lang w:eastAsia="zh-CN"/>
        </w:rPr>
        <w:t>社区巡逻车、警车、垃圾车、电影车、洒水车等</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全年预算数63.71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全年执行数63.71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确保了单位的正常运转，促进各项工作任务顺利完成。在人员经费支出、公共支出严格执行区委区政府的各项制度；在项目经费的使用上，在保证各项任务顺利完成的同时，严格落实厉行节约的原则；二是加强“三公经费”管理，督促各社区、服务站严格执行财经纪律，降低行政运行成本，确保“三公经费”只减不增；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年“三公经费”的使用严格控制在预算申报的范围内；三是根据考核评分细则，从整体上看，</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年我单位资金运行维护决策正确，资金管理规范，项目管理到位，政策执行有力，有效发挥了财政资金的使用效率。</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发现的问题及原因：一是预算执行率有待提高。预算执行效率还不够高，预算执行力度还要进一步加强；二是财务管理有待创新。财务管理水平和逐年上升的财务要求不匹配，今后需加强培训，提高业务水平；三是资产管理有待加强。对国有资产管理需更加规范，落实管理责任，使用科学管理方法。</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下一步改进措施：一是细化预算编制工作，认真做好预算的编制。进一步加强单位各科室、各社区的预算管理意识，严格按照预算编制的相关制度和要求进行预算编制，尽量压缩变动性的、有控制空间的费用项目，进一步提高预算编制的科学性、严谨性和可控性；二是加强财务管理，严格财务审核。加强单位财务管理，在费用报账支付时，按照预算规定的费用项目和用途进行资金使用审核、列报支付、财务核算，杜绝超支现象的发生；三是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四是增加预算，控制支出，化解债务。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8"/>
        <w:tblpPr w:leftFromText="180" w:rightFromText="180" w:vertAnchor="text" w:tblpXSpec="center"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4"/>
        <w:gridCol w:w="384"/>
        <w:gridCol w:w="396"/>
        <w:gridCol w:w="621"/>
        <w:gridCol w:w="2663"/>
        <w:gridCol w:w="584"/>
        <w:gridCol w:w="635"/>
        <w:gridCol w:w="552"/>
        <w:gridCol w:w="259"/>
        <w:gridCol w:w="274"/>
        <w:gridCol w:w="249"/>
        <w:gridCol w:w="452"/>
        <w:gridCol w:w="433"/>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bookmarkStart w:id="34" w:name="_Toc3250"/>
            <w:bookmarkStart w:id="35" w:name="_Toc24143"/>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关于拨付2022年受</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影响生活困难人员一次性救助补助资金（转移支付）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5.88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该项目用于救助2022年8月10日以来</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管控期间生活困难家庭，未参加失业保险灵活就业困难人员，乌鲁木齐市拨付资金对该类困难群众进行补助，每户发放300元，共计发放100人，保证资金发放及时，准确，以缓解生活困难，提高困难群众生活水平，提高</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防控工作效率。确保困难群众满意度大于等于90%。</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用于救助2022年8月10日以来</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管控期间生活困难家庭，未参加失业保险灵活就业困难人员，乌鲁木齐市拨付资金对该类困难群众进行补助，每户发放300元，共计发放196人，资金发放及时，准确，缓解困难家庭生活困难，提高了困难群众生活水平，提高了</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防控工作效率。困难群众满意度大于等于90%。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发放受</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影响困难人员补助人数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发放补助次数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发放未参加失业保险灵活就业困难人员补助人数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每人每次发放补助资金数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&lt;=300元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提高困难群众生活水平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由于补助资金有限，仅为300元/人,改善困难人员家庭生活水平效果有限，未完全达到预期效果，存在偏差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增强</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防控工作效率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有效增强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困难群众的补助，对于</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防控工作的效率提高效果有限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困难群众满意度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补助资金有限，困难群众满意度仍待提高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98.10分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
        <w:gridCol w:w="392"/>
        <w:gridCol w:w="392"/>
        <w:gridCol w:w="615"/>
        <w:gridCol w:w="2480"/>
        <w:gridCol w:w="585"/>
        <w:gridCol w:w="745"/>
        <w:gridCol w:w="569"/>
        <w:gridCol w:w="262"/>
        <w:gridCol w:w="275"/>
        <w:gridCol w:w="267"/>
        <w:gridCol w:w="454"/>
        <w:gridCol w:w="436"/>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54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282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23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（万元）</w:t>
            </w: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22.64</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21.64</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2.99</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7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1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5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48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3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30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171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52"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"预期目标：紧紧围绕社会稳定和长治久安总目标，强化基层阵地建设，提高服务群众的能力和水平，充分发挥基层人员的战斗堡垒作用，提高社区工作人员落实党的各项政策，密切党同人民群众之间的联系。</w:t>
            </w:r>
          </w:p>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阶段性目标：项目是保障10个社区正常工作运转，如办公、水、电、暖、车辆运转、民生支出等工作的正常开展。"</w:t>
            </w:r>
          </w:p>
        </w:tc>
        <w:tc>
          <w:tcPr>
            <w:tcW w:w="171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经费保障了10个社区正常工作运转，如办公、水、电、暖、车辆运转、民生支出等工作的正常开展，强化了基层阵地建设，提高服务群众的能力和水平，充分发挥基层人员的战斗堡垒作用，提高社区工作人员落实党的各项政策，密切党同人民群众之间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4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8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2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6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72"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6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86"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14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31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2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64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4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辖区社区数量</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=10个</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10个</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资金支付准确率</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社区正常运转率</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经费支付及时性</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社区经费标准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&lt;=1000元/个</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3990元/个</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全年执行数中使用上年结转资金2.99万元，导致社区经费标准超出年初设定的1000元，因此产生偏差。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提高社区综合治理质量，保障社区居民需求</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有效提高和保障</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14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社区人员满意度</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40"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1483"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323"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4"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63"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7"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72"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14"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31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2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90.00分</w:t>
            </w:r>
          </w:p>
        </w:tc>
        <w:tc>
          <w:tcPr>
            <w:tcW w:w="64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tbl>
      <w:tblPr>
        <w:tblStyle w:val="8"/>
        <w:tblpPr w:leftFromText="180" w:rightFromText="180" w:vertAnchor="text" w:horzAnchor="page" w:tblpX="1882" w:tblpY="59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4"/>
        <w:gridCol w:w="374"/>
        <w:gridCol w:w="374"/>
        <w:gridCol w:w="659"/>
        <w:gridCol w:w="2561"/>
        <w:gridCol w:w="626"/>
        <w:gridCol w:w="612"/>
        <w:gridCol w:w="691"/>
        <w:gridCol w:w="258"/>
        <w:gridCol w:w="269"/>
        <w:gridCol w:w="267"/>
        <w:gridCol w:w="428"/>
        <w:gridCol w:w="416"/>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项目名称</w:t>
            </w:r>
          </w:p>
        </w:tc>
        <w:tc>
          <w:tcPr>
            <w:tcW w:w="4561"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乌财社（2022）167号关于向各相关区下达</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主管部门</w:t>
            </w:r>
          </w:p>
        </w:tc>
        <w:tc>
          <w:tcPr>
            <w:tcW w:w="2839"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实施单位</w:t>
            </w:r>
          </w:p>
        </w:tc>
        <w:tc>
          <w:tcPr>
            <w:tcW w:w="116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乌鲁木齐市水磨沟区苇湖梁片区管理委员会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6" w:hRule="atLeast"/>
        </w:trPr>
        <w:tc>
          <w:tcPr>
            <w:tcW w:w="43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（万元）</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年初预算数</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全年预算数</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全年执行数</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执行率</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年度资金总额</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0.00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100.00%</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其中：当年财政拨款</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53.84</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上年结转资金</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其他资金</w:t>
            </w:r>
          </w:p>
        </w:tc>
        <w:tc>
          <w:tcPr>
            <w:tcW w:w="15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7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5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0</w:t>
            </w:r>
          </w:p>
        </w:tc>
        <w:tc>
          <w:tcPr>
            <w:tcW w:w="3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年度总体目标</w:t>
            </w:r>
          </w:p>
        </w:tc>
        <w:tc>
          <w:tcPr>
            <w:tcW w:w="3058"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预期目标</w:t>
            </w:r>
          </w:p>
        </w:tc>
        <w:tc>
          <w:tcPr>
            <w:tcW w:w="1722"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58"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资金项目用于一线防疫工作人员伙食费开支，提高伙食标准，享受人数达到947人，确保资金使用准确，项目实施时间为2022年8月，每人运转经费不大于600元，显著提高辖区各单位防疫工作效率，增强一线防疫人员为民服务意识，调动工作积极性，提高工作人员满意度。</w:t>
            </w:r>
          </w:p>
        </w:tc>
        <w:tc>
          <w:tcPr>
            <w:tcW w:w="1722"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一线防疫工作人员伙食费开支，提高伙食标准，享受人数达到947人，确保资金使用准确，项目实施时间为2022年8月，每人运转经费不大于600元，显著提高辖区各单位防疫工作效率，增强一线防疫人员为民服务意识，调动工作积极性，提高工作人员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4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4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59"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144"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56"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247"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highlight w:val="none"/>
                <w:u w:val="none"/>
              </w:rPr>
            </w:pPr>
          </w:p>
        </w:tc>
        <w:tc>
          <w:tcPr>
            <w:tcW w:w="359"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一级指标</w:t>
            </w:r>
          </w:p>
        </w:tc>
        <w:tc>
          <w:tcPr>
            <w:tcW w:w="22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二级指标</w:t>
            </w:r>
          </w:p>
        </w:tc>
        <w:tc>
          <w:tcPr>
            <w:tcW w:w="225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三级指标</w:t>
            </w:r>
          </w:p>
        </w:tc>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年度指标值</w:t>
            </w:r>
          </w:p>
        </w:tc>
        <w:tc>
          <w:tcPr>
            <w:tcW w:w="4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实际完成值</w:t>
            </w:r>
          </w:p>
        </w:tc>
        <w:tc>
          <w:tcPr>
            <w:tcW w:w="30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401"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c>
          <w:tcPr>
            <w:tcW w:w="60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5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年度绩效指标完成情况</w:t>
            </w: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产出指标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防疫工作人员数量</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=947人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947人</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质量指标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资金支付准确率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&gt;=95%</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资金支付及时率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92%</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人均运转经费数</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&lt;=600元</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568.53元</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效益指标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经济效益指标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社会效益指标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提高辖区各单位防疫工作效率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显著提高</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防控一线工作人员伙食标准，对于提高防疫工作效率有限，未完全达到预期效果，存在偏差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生态效益指标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可持续影响指标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增强一线防疫人员为民服务意识，调动工作积极性</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有效增强</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完全达到预期效果</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提高</w:t>
            </w:r>
            <w:r>
              <w:rPr>
                <w:rFonts w:hint="eastAsia" w:ascii="宋体" w:hAnsi="宋体" w:cs="宋体"/>
                <w:i w:val="0"/>
                <w:iCs w:val="0"/>
                <w:color w:val="000000"/>
                <w:kern w:val="0"/>
                <w:sz w:val="24"/>
                <w:szCs w:val="24"/>
                <w:highlight w:val="none"/>
                <w:u w:val="none"/>
                <w:lang w:val="en-US" w:eastAsia="zh-CN" w:bidi="ar"/>
              </w:rPr>
              <w:t>防疫</w:t>
            </w:r>
            <w:r>
              <w:rPr>
                <w:rFonts w:hint="eastAsia" w:ascii="宋体" w:hAnsi="宋体" w:eastAsia="宋体" w:cs="宋体"/>
                <w:i w:val="0"/>
                <w:iCs w:val="0"/>
                <w:color w:val="000000"/>
                <w:kern w:val="0"/>
                <w:sz w:val="24"/>
                <w:szCs w:val="24"/>
                <w:highlight w:val="none"/>
                <w:u w:val="none"/>
                <w:lang w:val="en-US" w:eastAsia="zh-CN" w:bidi="ar"/>
              </w:rPr>
              <w:t>防控一线工作人员伙食标准对于增强工作人员积极性，效果有限，未完全达到效果，存在偏差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满意度指标</w:t>
            </w:r>
          </w:p>
        </w:tc>
        <w:tc>
          <w:tcPr>
            <w:tcW w:w="225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工作人员满意度</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&gt;=90%</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64" w:type="pct"/>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1546" w:type="pct"/>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highlight w:val="none"/>
                <w:u w:val="none"/>
              </w:rPr>
            </w:pPr>
          </w:p>
        </w:tc>
        <w:tc>
          <w:tcPr>
            <w:tcW w:w="343" w:type="pct"/>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highlight w:val="none"/>
                <w:u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0"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59"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4"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56"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8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总分</w:t>
            </w:r>
          </w:p>
        </w:tc>
        <w:tc>
          <w:tcPr>
            <w:tcW w:w="30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0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98.80分</w:t>
            </w:r>
          </w:p>
        </w:tc>
        <w:tc>
          <w:tcPr>
            <w:tcW w:w="6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0Y2U2ZjExOTQ5NzA4MDhmOWZhNjk1ZjFjNDgxNmUifQ=="/>
  </w:docVars>
  <w:rsids>
    <w:rsidRoot w:val="00000000"/>
    <w:rsid w:val="02F73D26"/>
    <w:rsid w:val="034D4FEF"/>
    <w:rsid w:val="03E764F8"/>
    <w:rsid w:val="043E5B56"/>
    <w:rsid w:val="06792773"/>
    <w:rsid w:val="08314CF2"/>
    <w:rsid w:val="09644C54"/>
    <w:rsid w:val="0A7B4867"/>
    <w:rsid w:val="0B8C3ECC"/>
    <w:rsid w:val="0BA852CC"/>
    <w:rsid w:val="0C7227A7"/>
    <w:rsid w:val="0F1B7B63"/>
    <w:rsid w:val="13C7650B"/>
    <w:rsid w:val="15FA088E"/>
    <w:rsid w:val="1BFF6DF6"/>
    <w:rsid w:val="1DAF458D"/>
    <w:rsid w:val="20DD6197"/>
    <w:rsid w:val="23BC04D2"/>
    <w:rsid w:val="27CF2642"/>
    <w:rsid w:val="29C23C21"/>
    <w:rsid w:val="2A053397"/>
    <w:rsid w:val="2B157704"/>
    <w:rsid w:val="2B832B59"/>
    <w:rsid w:val="2CB35427"/>
    <w:rsid w:val="2D1136DF"/>
    <w:rsid w:val="2F45680A"/>
    <w:rsid w:val="2FD27414"/>
    <w:rsid w:val="31C63837"/>
    <w:rsid w:val="365C268B"/>
    <w:rsid w:val="36820344"/>
    <w:rsid w:val="36EA5EE9"/>
    <w:rsid w:val="36F154C9"/>
    <w:rsid w:val="37217B5C"/>
    <w:rsid w:val="3914510A"/>
    <w:rsid w:val="3C371BD0"/>
    <w:rsid w:val="3D5275AC"/>
    <w:rsid w:val="3E7C38CA"/>
    <w:rsid w:val="3FD61700"/>
    <w:rsid w:val="40834692"/>
    <w:rsid w:val="424402BA"/>
    <w:rsid w:val="453749EF"/>
    <w:rsid w:val="45555320"/>
    <w:rsid w:val="46901EEE"/>
    <w:rsid w:val="469C74D2"/>
    <w:rsid w:val="4A1470AD"/>
    <w:rsid w:val="4B4C0111"/>
    <w:rsid w:val="4CB16E35"/>
    <w:rsid w:val="4D403020"/>
    <w:rsid w:val="4D7B7443"/>
    <w:rsid w:val="4FCE7CFE"/>
    <w:rsid w:val="50016325"/>
    <w:rsid w:val="50DB5F45"/>
    <w:rsid w:val="50FB4B23"/>
    <w:rsid w:val="52F92565"/>
    <w:rsid w:val="539268AB"/>
    <w:rsid w:val="55670769"/>
    <w:rsid w:val="562B5EAA"/>
    <w:rsid w:val="56D06A51"/>
    <w:rsid w:val="583059FA"/>
    <w:rsid w:val="5AC33F35"/>
    <w:rsid w:val="5D8660BC"/>
    <w:rsid w:val="5E174F66"/>
    <w:rsid w:val="5E4107D7"/>
    <w:rsid w:val="5FA17648"/>
    <w:rsid w:val="61A46A97"/>
    <w:rsid w:val="62DD7D21"/>
    <w:rsid w:val="64D771FD"/>
    <w:rsid w:val="65D97752"/>
    <w:rsid w:val="67AD05AA"/>
    <w:rsid w:val="68606618"/>
    <w:rsid w:val="68DB0208"/>
    <w:rsid w:val="69AD798C"/>
    <w:rsid w:val="6B68175F"/>
    <w:rsid w:val="6DA81646"/>
    <w:rsid w:val="6E0F7A08"/>
    <w:rsid w:val="71473612"/>
    <w:rsid w:val="718F7F65"/>
    <w:rsid w:val="739E7864"/>
    <w:rsid w:val="73AB1F81"/>
    <w:rsid w:val="73FB6630"/>
    <w:rsid w:val="74E76DCD"/>
    <w:rsid w:val="76B92C06"/>
    <w:rsid w:val="77ED6F44"/>
    <w:rsid w:val="7B030BB8"/>
    <w:rsid w:val="7D692C90"/>
    <w:rsid w:val="7FAE66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Chars="400"/>
    </w:pPr>
    <w:rPr>
      <w:sz w:val="20"/>
      <w:szCs w:val="20"/>
    </w:rPr>
  </w:style>
  <w:style w:type="paragraph" w:customStyle="1" w:styleId="11">
    <w:name w:val="WPSOffice手动目录 2"/>
    <w:uiPriority w:val="0"/>
    <w:pPr>
      <w:ind w:leftChars="200"/>
    </w:pPr>
    <w:rPr>
      <w:sz w:val="20"/>
      <w:szCs w:val="20"/>
    </w:rPr>
  </w:style>
  <w:style w:type="paragraph" w:customStyle="1" w:styleId="12">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9554</Words>
  <Characters>10485</Characters>
  <Lines>0</Lines>
  <Paragraphs>0</Paragraphs>
  <TotalTime>23</TotalTime>
  <ScaleCrop>false</ScaleCrop>
  <LinksUpToDate>false</LinksUpToDate>
  <CharactersWithSpaces>10520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2023-09-13T11:22:55Z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155640E74E2D4794AF57E10FD6B5633F</vt:lpwstr>
  </property>
</Properties>
</file>