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b w:val="0"/>
          <w:bCs w:val="0"/>
          <w:kern w:val="0"/>
          <w:sz w:val="36"/>
          <w:szCs w:val="36"/>
        </w:rPr>
      </w:pPr>
      <w:r>
        <w:rPr>
          <w:rFonts w:hint="eastAsia" w:hAnsi="宋体" w:eastAsia="仿宋_GB2312" w:cs="宋体"/>
          <w:kern w:val="0"/>
          <w:sz w:val="36"/>
          <w:szCs w:val="36"/>
        </w:rPr>
        <w:t>项目名称：</w:t>
      </w:r>
      <w:r>
        <w:rPr>
          <w:rStyle w:val="18"/>
          <w:rFonts w:hint="eastAsia" w:asciiTheme="minorEastAsia" w:hAnsiTheme="minorEastAsia" w:eastAsiaTheme="minorEastAsia" w:cstheme="minorEastAsia"/>
          <w:b w:val="0"/>
          <w:bCs w:val="0"/>
          <w:spacing w:val="-4"/>
          <w:sz w:val="32"/>
          <w:szCs w:val="32"/>
        </w:rPr>
        <w:t>社区经费</w:t>
      </w:r>
    </w:p>
    <w:p>
      <w:pPr>
        <w:spacing w:line="540" w:lineRule="exact"/>
        <w:ind w:firstLine="567"/>
        <w:rPr>
          <w:rFonts w:hint="eastAsia" w:asciiTheme="minorEastAsia" w:hAnsiTheme="minorEastAsia" w:eastAsiaTheme="minorEastAsia" w:cstheme="minorEastAsia"/>
          <w:b w:val="0"/>
          <w:bCs w:val="0"/>
          <w:spacing w:val="-4"/>
          <w:sz w:val="32"/>
          <w:szCs w:val="32"/>
        </w:rPr>
      </w:pPr>
      <w:r>
        <w:rPr>
          <w:rFonts w:hint="eastAsia" w:hAnsi="宋体" w:eastAsia="仿宋_GB2312" w:cs="宋体"/>
          <w:b w:val="0"/>
          <w:bCs w:val="0"/>
          <w:kern w:val="0"/>
          <w:sz w:val="36"/>
          <w:szCs w:val="36"/>
        </w:rPr>
        <w:t xml:space="preserve">  实施单位（公章）：</w:t>
      </w:r>
      <w:r>
        <w:rPr>
          <w:rStyle w:val="18"/>
          <w:rFonts w:hint="eastAsia" w:asciiTheme="minorEastAsia" w:hAnsiTheme="minorEastAsia" w:eastAsiaTheme="minorEastAsia" w:cstheme="minorEastAsia"/>
          <w:b w:val="0"/>
          <w:bCs w:val="0"/>
          <w:spacing w:val="-4"/>
          <w:sz w:val="28"/>
          <w:szCs w:val="28"/>
        </w:rPr>
        <w:t>乌鲁木齐市水磨沟区南湖北路片区管理委员会</w:t>
      </w:r>
    </w:p>
    <w:p>
      <w:pPr>
        <w:spacing w:line="540" w:lineRule="exact"/>
        <w:ind w:firstLine="900" w:firstLineChars="250"/>
        <w:rPr>
          <w:rFonts w:hint="eastAsia" w:asciiTheme="minorEastAsia" w:hAnsiTheme="minorEastAsia" w:eastAsiaTheme="minorEastAsia" w:cstheme="minorEastAsia"/>
          <w:b w:val="0"/>
          <w:bCs w:val="0"/>
          <w:spacing w:val="-4"/>
          <w:sz w:val="28"/>
          <w:szCs w:val="28"/>
        </w:rPr>
      </w:pPr>
      <w:r>
        <w:rPr>
          <w:rFonts w:hint="eastAsia" w:hAnsi="宋体" w:eastAsia="仿宋_GB2312" w:cs="宋体"/>
          <w:b w:val="0"/>
          <w:bCs w:val="0"/>
          <w:kern w:val="0"/>
          <w:sz w:val="36"/>
          <w:szCs w:val="36"/>
        </w:rPr>
        <w:t>主管部门（公章）：</w:t>
      </w:r>
      <w:r>
        <w:rPr>
          <w:rStyle w:val="18"/>
          <w:rFonts w:hint="eastAsia" w:asciiTheme="minorEastAsia" w:hAnsiTheme="minorEastAsia" w:eastAsiaTheme="minorEastAsia" w:cstheme="minorEastAsia"/>
          <w:b w:val="0"/>
          <w:bCs w:val="0"/>
          <w:spacing w:val="-4"/>
          <w:sz w:val="28"/>
          <w:szCs w:val="28"/>
        </w:rPr>
        <w:t>乌鲁木齐市水磨沟区南湖北路片区管理委员会</w:t>
      </w:r>
    </w:p>
    <w:p>
      <w:pPr>
        <w:spacing w:line="540" w:lineRule="exact"/>
        <w:ind w:firstLine="900" w:firstLineChars="250"/>
        <w:rPr>
          <w:rFonts w:hint="eastAsia" w:asciiTheme="minorEastAsia" w:hAnsiTheme="minorEastAsia" w:eastAsiaTheme="minorEastAsia" w:cstheme="minorEastAsia"/>
          <w:b w:val="0"/>
          <w:bCs w:val="0"/>
          <w:spacing w:val="-4"/>
          <w:sz w:val="32"/>
          <w:szCs w:val="32"/>
        </w:rPr>
      </w:pPr>
      <w:r>
        <w:rPr>
          <w:rFonts w:hint="eastAsia" w:hAnsi="宋体" w:eastAsia="仿宋_GB2312" w:cs="宋体"/>
          <w:b w:val="0"/>
          <w:bCs w:val="0"/>
          <w:kern w:val="0"/>
          <w:sz w:val="36"/>
          <w:szCs w:val="36"/>
        </w:rPr>
        <w:t>项目负责人（签章）：</w:t>
      </w:r>
      <w:r>
        <w:rPr>
          <w:rStyle w:val="18"/>
          <w:rFonts w:hint="eastAsia" w:asciiTheme="minorEastAsia" w:hAnsiTheme="minorEastAsia" w:eastAsiaTheme="minorEastAsia" w:cstheme="minorEastAsia"/>
          <w:b w:val="0"/>
          <w:bCs w:val="0"/>
          <w:spacing w:val="-4"/>
          <w:sz w:val="32"/>
          <w:szCs w:val="32"/>
        </w:rPr>
        <w:t>社区书记、主任</w:t>
      </w:r>
    </w:p>
    <w:p>
      <w:pPr>
        <w:spacing w:line="540" w:lineRule="exact"/>
        <w:ind w:left="273" w:firstLine="567"/>
        <w:rPr>
          <w:rStyle w:val="18"/>
          <w:rFonts w:hint="eastAsia" w:asciiTheme="minorEastAsia" w:hAnsiTheme="minorEastAsia" w:eastAsiaTheme="minorEastAsia" w:cstheme="minorEastAsia"/>
          <w:b w:val="0"/>
          <w:bCs w:val="0"/>
          <w:spacing w:val="-4"/>
          <w:sz w:val="32"/>
          <w:szCs w:val="32"/>
        </w:rPr>
      </w:pPr>
      <w:r>
        <w:rPr>
          <w:rFonts w:hint="eastAsia" w:hAnsi="宋体" w:eastAsia="仿宋_GB2312" w:cs="宋体"/>
          <w:kern w:val="0"/>
          <w:sz w:val="36"/>
          <w:szCs w:val="36"/>
        </w:rPr>
        <w:t>填报时间：</w:t>
      </w:r>
      <w:r>
        <w:rPr>
          <w:rStyle w:val="18"/>
          <w:rFonts w:hint="eastAsia" w:asciiTheme="minorEastAsia" w:hAnsiTheme="minorEastAsia" w:eastAsiaTheme="minorEastAsia" w:cstheme="minorEastAsia"/>
          <w:b w:val="0"/>
          <w:bCs w:val="0"/>
          <w:spacing w:val="-4"/>
          <w:sz w:val="32"/>
          <w:szCs w:val="32"/>
        </w:rPr>
        <w:t>2023年03月21日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hint="eastAsia" w:asciiTheme="minorEastAsia" w:hAnsiTheme="minorEastAsia" w:eastAsiaTheme="minorEastAsia" w:cstheme="minorEastAsia"/>
          <w:b/>
          <w:bCs w:val="0"/>
          <w:spacing w:val="-4"/>
          <w:sz w:val="32"/>
          <w:szCs w:val="32"/>
        </w:rPr>
      </w:pPr>
      <w:r>
        <w:rPr>
          <w:rStyle w:val="18"/>
          <w:rFonts w:hint="eastAsia" w:asciiTheme="minorEastAsia" w:hAnsiTheme="minorEastAsia" w:eastAsiaTheme="minorEastAsia" w:cstheme="minorEastAsia"/>
          <w:b/>
          <w:bCs w:val="0"/>
          <w:spacing w:val="-4"/>
          <w:sz w:val="32"/>
          <w:szCs w:val="32"/>
        </w:rPr>
        <w:t>一、基本情况</w:t>
      </w:r>
    </w:p>
    <w:p>
      <w:pPr>
        <w:spacing w:line="540" w:lineRule="exact"/>
        <w:ind w:firstLine="567"/>
        <w:rPr>
          <w:rStyle w:val="18"/>
          <w:rFonts w:hint="eastAsia" w:asciiTheme="minorEastAsia" w:hAnsiTheme="minorEastAsia" w:eastAsiaTheme="minorEastAsia" w:cstheme="minorEastAsia"/>
          <w:spacing w:val="-4"/>
          <w:sz w:val="32"/>
          <w:szCs w:val="32"/>
        </w:rPr>
      </w:pPr>
      <w:r>
        <w:rPr>
          <w:rStyle w:val="18"/>
          <w:rFonts w:hint="eastAsia" w:asciiTheme="minorEastAsia" w:hAnsiTheme="minorEastAsia" w:eastAsiaTheme="minorEastAsia" w:cstheme="minorEastAsia"/>
          <w:spacing w:val="-4"/>
          <w:sz w:val="32"/>
          <w:szCs w:val="32"/>
        </w:rPr>
        <w:t>（一）项目概况</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根据市委组织部、市财政局关于《乌鲁木齐市社区工作经费管理使用办法（暂行）》（乌党组办字【2012】31号）、《乌鲁木齐市社区工作经费管理使用办法（暂行）》的补充通知（乌党组办字【2015】6号）文件要求，项目社区经费，主要用于社区“两委”班子日常工作的开支，主要包括办公用品、设备维修、水电暖气、车辆燃料和维护、办公用房修缮等费用；开展维稳和服务居民、环境整治工作各项费用；经选举产生无任何经济收入的社区“两委”成员生活补贴；因工作需要，驻区单位委派人员和有经济收入的其他人员，经选举担任社区“两委”成员的岗位补贴；社区工作人员学习培训、外出考察费用；其他与社区工作有关的支出。由片区12个社区根据各自工作需要上报经费报销票据，经管委会财务室审核通过后支付。通过该项目的及时完成，有效保障社区服务辖区能力，促进社区各项工作顺利进行。进而更好地从民生保障、社区管理、民族团结、综合治理、安全生产、计划生育等各项领域服务辖区居民。</w:t>
      </w:r>
      <w:r>
        <w:rPr>
          <w:rStyle w:val="18"/>
          <w:rFonts w:hint="eastAsia" w:asciiTheme="minorEastAsia" w:hAnsiTheme="minorEastAsia" w:eastAsiaTheme="minorEastAsia" w:cstheme="minorEastAsia"/>
          <w:b w:val="0"/>
          <w:bCs w:val="0"/>
          <w:spacing w:val="-4"/>
          <w:sz w:val="32"/>
          <w:szCs w:val="32"/>
        </w:rPr>
        <w:cr/>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经水财发【2022】1号文件批准，项目系2022年本级资金，共安排预算630万元，全年预算数414.28万元，全年执行340.06万元，执行率82.08%。年初预算资金不足以覆盖项目支出，年中追加资金189万元，已执行98.4万元，年中追加资金账务处理转为往来款项。</w:t>
      </w:r>
    </w:p>
    <w:p>
      <w:pPr>
        <w:spacing w:line="540" w:lineRule="exact"/>
        <w:ind w:firstLine="567"/>
        <w:rPr>
          <w:rStyle w:val="18"/>
          <w:rFonts w:hint="eastAsia" w:asciiTheme="minorEastAsia" w:hAnsiTheme="minorEastAsia" w:eastAsiaTheme="minorEastAsia" w:cstheme="minorEastAsia"/>
          <w:spacing w:val="-4"/>
          <w:sz w:val="32"/>
          <w:szCs w:val="32"/>
        </w:rPr>
      </w:pPr>
      <w:r>
        <w:rPr>
          <w:rStyle w:val="18"/>
          <w:rFonts w:hint="eastAsia" w:asciiTheme="minorEastAsia" w:hAnsiTheme="minorEastAsia" w:eastAsiaTheme="minorEastAsia" w:cstheme="minorEastAsia"/>
          <w:spacing w:val="-4"/>
          <w:sz w:val="32"/>
          <w:szCs w:val="32"/>
        </w:rPr>
        <w:t>（二）项目绩效目标</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该项目为当年项目，该项目主要用于12个社区正常运转所需租赁费、水电暖、办公经费、服务群众经费、活动费等，为辖区居民服务确保专项经费管理和使用最大限度地体现社区群众意愿和需求；保障完成12个社区经济发展、服务群众及安全生产等日常各项业务工作措施落实，保障社区各项工作正常开展。在评价期2022年度内预计达到项目进度100%，保障12个社区正常运转，更好的服务群众，促进社会经济和谐发展，促进社会建设和文化、教育、卫生公益事业发展，提高基层党组织的服务质量，维护社会面大局。具体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2022年度社区开展服务居民活动次数计划12次，社区开展环境卫生整治次数计划52次，一般社区数量9个，市重点社区数量3个；社区开展居民活动参与率预计达到100%，社区环境卫生整治整洁度预计达到100%，社区正常运转率预计达到100%；经费支付及时率预计预计达到95%；更好的服务群众，促进社会经济和谐发展，促进社会建设和文化、教育、卫生公益事业发展，提高基层党组织的服务质量，维护社会面大局。</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hint="eastAsia" w:asciiTheme="minorEastAsia" w:hAnsiTheme="minorEastAsia" w:eastAsiaTheme="minorEastAsia" w:cstheme="minorEastAsia"/>
          <w:spacing w:val="-4"/>
          <w:sz w:val="32"/>
          <w:szCs w:val="32"/>
        </w:rPr>
      </w:pPr>
      <w:r>
        <w:rPr>
          <w:rStyle w:val="18"/>
          <w:rFonts w:hint="eastAsia" w:asciiTheme="minorEastAsia" w:hAnsiTheme="minorEastAsia" w:eastAsiaTheme="minorEastAsia" w:cstheme="minorEastAsia"/>
          <w:spacing w:val="-4"/>
          <w:sz w:val="32"/>
          <w:szCs w:val="32"/>
        </w:rPr>
        <w:t>（一）绩效评价目的、对象和范围</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1.评价目的</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2.评价对象和范围</w:t>
      </w:r>
      <w:r>
        <w:rPr>
          <w:rStyle w:val="18"/>
          <w:rFonts w:hint="eastAsia" w:asciiTheme="minorEastAsia" w:hAnsiTheme="minorEastAsia" w:eastAsiaTheme="minorEastAsia" w:cstheme="minorEastAsia"/>
          <w:b w:val="0"/>
          <w:bCs w:val="0"/>
          <w:spacing w:val="-4"/>
          <w:sz w:val="32"/>
          <w:szCs w:val="32"/>
        </w:rPr>
        <w:cr/>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（1）绩效评价的对象：社区经费</w:t>
      </w:r>
      <w:r>
        <w:rPr>
          <w:rStyle w:val="18"/>
          <w:rFonts w:hint="eastAsia" w:asciiTheme="minorEastAsia" w:hAnsiTheme="minorEastAsia" w:eastAsiaTheme="minorEastAsia" w:cstheme="minorEastAsia"/>
          <w:b w:val="0"/>
          <w:bCs w:val="0"/>
          <w:spacing w:val="-4"/>
          <w:sz w:val="32"/>
          <w:szCs w:val="32"/>
        </w:rPr>
        <w:cr/>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（2）绩效评价范围：</w:t>
      </w:r>
      <w:r>
        <w:rPr>
          <w:rStyle w:val="18"/>
          <w:rFonts w:hint="eastAsia" w:asciiTheme="minorEastAsia" w:hAnsiTheme="minorEastAsia" w:eastAsiaTheme="minorEastAsia" w:cstheme="minorEastAsia"/>
          <w:b w:val="0"/>
          <w:bCs w:val="0"/>
          <w:spacing w:val="-4"/>
          <w:sz w:val="32"/>
          <w:szCs w:val="32"/>
        </w:rPr>
        <w:cr/>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1.项目范围：社区经费的完成情况、资金投入的运行情况、项目实施后产生的绩效及影响效果。</w:t>
      </w:r>
      <w:r>
        <w:rPr>
          <w:rStyle w:val="18"/>
          <w:rFonts w:hint="eastAsia" w:asciiTheme="minorEastAsia" w:hAnsiTheme="minorEastAsia" w:eastAsiaTheme="minorEastAsia" w:cstheme="minorEastAsia"/>
          <w:b w:val="0"/>
          <w:bCs w:val="0"/>
          <w:spacing w:val="-4"/>
          <w:sz w:val="32"/>
          <w:szCs w:val="32"/>
        </w:rPr>
        <w:cr/>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2.时间范围：2022年1月1日至2022年12月31日。</w:t>
      </w:r>
    </w:p>
    <w:p>
      <w:pPr>
        <w:spacing w:line="540" w:lineRule="exact"/>
        <w:ind w:firstLine="567"/>
        <w:rPr>
          <w:rStyle w:val="18"/>
          <w:rFonts w:hint="eastAsia" w:ascii="楷体" w:hAnsi="楷体" w:eastAsia="楷体"/>
          <w:spacing w:val="-4"/>
          <w:sz w:val="32"/>
          <w:szCs w:val="32"/>
        </w:rPr>
      </w:pPr>
    </w:p>
    <w:p>
      <w:pPr>
        <w:spacing w:line="540" w:lineRule="exact"/>
        <w:ind w:firstLine="567"/>
        <w:rPr>
          <w:rStyle w:val="18"/>
          <w:rFonts w:hint="eastAsia" w:asciiTheme="minorEastAsia" w:hAnsiTheme="minorEastAsia" w:eastAsiaTheme="minorEastAsia" w:cstheme="minorEastAsia"/>
          <w:spacing w:val="-4"/>
          <w:sz w:val="32"/>
          <w:szCs w:val="32"/>
        </w:rPr>
      </w:pPr>
      <w:r>
        <w:rPr>
          <w:rStyle w:val="18"/>
          <w:rFonts w:hint="eastAsia" w:asciiTheme="minorEastAsia" w:hAnsiTheme="minorEastAsia" w:eastAsiaTheme="minorEastAsia" w:cstheme="minorEastAsia"/>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240" w:lineRule="auto"/>
        <w:ind w:left="0" w:firstLine="936" w:firstLineChars="3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1.评价原则</w:t>
      </w:r>
    </w:p>
    <w:p>
      <w:pPr>
        <w:keepNext w:val="0"/>
        <w:keepLines w:val="0"/>
        <w:pageBreakBefore w:val="0"/>
        <w:widowControl w:val="0"/>
        <w:kinsoku/>
        <w:wordWrap/>
        <w:overflowPunct/>
        <w:topLinePunct w:val="0"/>
        <w:autoSpaceDE/>
        <w:autoSpaceDN/>
        <w:bidi w:val="0"/>
        <w:adjustRightInd/>
        <w:snapToGrid/>
        <w:spacing w:line="240" w:lineRule="auto"/>
        <w:ind w:left="0" w:firstLine="936" w:firstLineChars="3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（1）科学规范原则：绩效评价应当严格执行规定的程序，按照科学可行的要求，采用定量与定性分析相结合的方法。</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（2）公正公开原则：绩效评价应当符合真实、客观、公正的要求，依法公开并接受监督。</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（3）分级分类原则：根据评价对象特点分类组织实施。</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Theme="minorEastAsia" w:hAnsiTheme="minorEastAsia" w:eastAsiaTheme="minorEastAsia" w:cstheme="minorEastAsia"/>
          <w:b w:val="0"/>
          <w:bCs w:val="0"/>
          <w:spacing w:val="-4"/>
          <w:sz w:val="32"/>
          <w:szCs w:val="32"/>
        </w:rPr>
        <w:cr/>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根据以上原则，绩效评价应遵循如下要求：</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（1）在数据收集时，采取客观数据，并结合问卷调查结果，以保证各项指标的真实性。</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（2）保证评价结果的真实性、公正性，提高评价报告的公信力。</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2.评价指标体系</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绩效评价指标体系作为衡量绩效目标实现程度的考核工具，一般遵循以下原则：</w:t>
      </w:r>
      <w:r>
        <w:rPr>
          <w:rStyle w:val="18"/>
          <w:rFonts w:hint="eastAsia" w:asciiTheme="minorEastAsia" w:hAnsiTheme="minorEastAsia" w:eastAsiaTheme="minorEastAsia" w:cstheme="minorEastAsia"/>
          <w:b w:val="0"/>
          <w:bCs w:val="0"/>
          <w:spacing w:val="-4"/>
          <w:sz w:val="32"/>
          <w:szCs w:val="32"/>
        </w:rPr>
        <w:cr/>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（1）相关性原则：绩效评价指标应当与绩效目标有直接的联系，能够恰当反映目标的实现程度。</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（2）重要性原则：应当优先使用最具评价对象代表性、最能反映评价要求的核心指标。</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（3）可比性原则：对同类评价对象要设定共性的绩效评价指标，以便于评价结果可以相互比较。</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（4）系统性原则：绩效评价指标的设置应当将定量指标与定性指标相结合，能系统反映财政支出所产生的社会效益、经济效益和可持续影响等。</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（5）经济性原则：绩效评价指标设计应当通俗易懂、简便易行，数据的获得应当考虑现实条件和可操作性，符合成本效益原则。</w:t>
      </w:r>
    </w:p>
    <w:p>
      <w:pPr>
        <w:keepNext w:val="0"/>
        <w:keepLines w:val="0"/>
        <w:pageBreakBefore w:val="0"/>
        <w:widowControl w:val="0"/>
        <w:kinsoku/>
        <w:wordWrap/>
        <w:overflowPunct/>
        <w:topLinePunct w:val="0"/>
        <w:autoSpaceDE/>
        <w:autoSpaceDN/>
        <w:bidi w:val="0"/>
        <w:adjustRightInd/>
        <w:snapToGrid/>
        <w:spacing w:line="240" w:lineRule="auto"/>
        <w:ind w:left="319" w:leftChars="152" w:firstLine="312" w:firstLineChars="1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本项目的评价指标体系建立如附件所示。</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rPr>
        <w:t>3.评价方法</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《关于印发&lt;项目支出绩效评价管理办法&gt;的通知》（财预〔2020〕10号）文件指出部门评价的方法主要包括成本效益分析法、比较法、公众评判法等。</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（1）成本效益分析法。是指将投入与产出、效益进行关联性分析的方法。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比较法。是指将实施情况与绩效目标、历史情况、不同部门和地区同类支出情况进行比较的方法。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公众评判法。是指通过专家评估、公众问卷及抽样调查等方式进行评判的方法。</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根据本项目（社区经费）的特点，本次评价主要采用比较法和公众评判法，对项目总预算和明细预算的内容、标准、计划是否经济合理进行深入分析，以考察实际产出和效益是否达到预期。</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rPr>
        <w:t>4.评价标准</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绩效评价标准主要包括计划标准、行业标准、历史标准等，用于对绩效指标完成情况进行比较。</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计划标准。指以预先制定的目标、计划、预算、定额等作为评价标准。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行业标准。指参照国家公布的行业指标数据制定的评价标准。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历史标准。指参照历史数据制定的评价标准，为体现绩效改进的原则，在可实现的条件下应当确定相对较高的评价标准。</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24" w:firstLineChars="200"/>
        <w:textAlignment w:val="auto"/>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在上述评价标准的基础上，本次评价依据以下文件为重要指导和准绳：</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rPr>
        <w:t>·《中共中央国务院关于全面实施预算绩效管理的意见》（中发〔2018〕34号）</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rPr>
        <w:t>·《关于印发&lt;乌鲁木齐市本级部门预算绩效目标管理暂行办法&gt;的通知》（乌财预〔2018〕56号）</w:t>
      </w:r>
      <w:r>
        <w:rPr>
          <w:rStyle w:val="18"/>
          <w:rFonts w:hint="eastAsia" w:asciiTheme="minorEastAsia" w:hAnsiTheme="minorEastAsia" w:eastAsiaTheme="minorEastAsia" w:cstheme="minorEastAsia"/>
          <w:b w:val="0"/>
          <w:bCs w:val="0"/>
          <w:spacing w:val="-4"/>
          <w:sz w:val="32"/>
          <w:szCs w:val="32"/>
        </w:rPr>
        <w:cr/>
      </w:r>
      <w:r>
        <w:rPr>
          <w:rStyle w:val="18"/>
          <w:rFonts w:hint="eastAsia" w:asciiTheme="minorEastAsia" w:hAnsiTheme="minorEastAsia" w:eastAsiaTheme="minorEastAsia" w:cstheme="minorEastAsia"/>
          <w:b w:val="0"/>
          <w:bCs w:val="0"/>
          <w:spacing w:val="-4"/>
          <w:sz w:val="32"/>
          <w:szCs w:val="32"/>
        </w:rPr>
        <w:t>·《关于做好2019年部门预算项目支出绩效目标管理有关事宜的通知》（乌财预〔2018〕76号）</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rPr>
        <w:t xml:space="preserve">·《项目支出绩效评价管理办法》（财预〔2020〕10号） </w:t>
      </w:r>
    </w:p>
    <w:p>
      <w:pPr>
        <w:spacing w:line="540" w:lineRule="exact"/>
        <w:ind w:firstLine="567" w:firstLineChars="181"/>
        <w:rPr>
          <w:rStyle w:val="18"/>
          <w:rFonts w:hint="eastAsia" w:asciiTheme="minorEastAsia" w:hAnsiTheme="minorEastAsia" w:eastAsiaTheme="minorEastAsia" w:cstheme="minorEastAsia"/>
          <w:spacing w:val="-4"/>
          <w:sz w:val="32"/>
          <w:szCs w:val="32"/>
        </w:rPr>
      </w:pPr>
      <w:r>
        <w:rPr>
          <w:rStyle w:val="18"/>
          <w:rFonts w:hint="eastAsia" w:asciiTheme="minorEastAsia" w:hAnsiTheme="minorEastAsia" w:eastAsiaTheme="minorEastAsia" w:cstheme="minorEastAsia"/>
          <w:spacing w:val="-4"/>
          <w:sz w:val="32"/>
          <w:szCs w:val="32"/>
        </w:rPr>
        <w:t>（三）绩效评价工作过程</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hint="eastAsia" w:asciiTheme="minorEastAsia" w:hAnsiTheme="minorEastAsia" w:eastAsiaTheme="minorEastAsia" w:cstheme="minorEastAsia"/>
          <w:b w:val="0"/>
          <w:spacing w:val="-4"/>
          <w:sz w:val="32"/>
          <w:szCs w:val="32"/>
        </w:rPr>
      </w:pPr>
      <w:r>
        <w:rPr>
          <w:rStyle w:val="18"/>
          <w:rFonts w:hint="eastAsia" w:asciiTheme="minorEastAsia" w:hAnsiTheme="minorEastAsia" w:eastAsiaTheme="minorEastAsia" w:cstheme="minorEastAsia"/>
          <w:b w:val="0"/>
          <w:spacing w:val="-4"/>
          <w:sz w:val="32"/>
          <w:szCs w:val="32"/>
        </w:rPr>
        <w:t>三、综合评价情况及评价结论</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（一）评价结论</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结合项目特点，制定符合项目实际的绩效评价指标体系及评分标准，通过数据采集、问卷调查及访谈等形式，对2022年社区经费进行客观评价，最终评分结果为：总分为95.22分，绩效评级为“优”[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Theme="minorEastAsia" w:hAnsiTheme="minorEastAsia" w:eastAsiaTheme="minorEastAsia" w:cstheme="minorEastAsia"/>
          <w:b w:val="0"/>
          <w:bCs w:val="0"/>
          <w:spacing w:val="-4"/>
          <w:sz w:val="32"/>
          <w:szCs w:val="32"/>
        </w:rPr>
        <w:cr/>
      </w:r>
      <w:r>
        <w:rPr>
          <w:rStyle w:val="18"/>
          <w:rFonts w:hint="eastAsia" w:asciiTheme="minorEastAsia" w:hAnsiTheme="minorEastAsia" w:eastAsiaTheme="minorEastAsia" w:cstheme="minorEastAsia"/>
          <w:b w:val="0"/>
          <w:bCs w:val="0"/>
          <w:spacing w:val="-4"/>
          <w:sz w:val="32"/>
          <w:szCs w:val="32"/>
        </w:rPr>
        <w:t>（二）主要绩效</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该项目资金区财政及时拨付，单位在此次评价期间内，按时支付了12个社区正常运转所需租赁费、水电暖、办公经费、服务群众经费、活动费等，为辖区居民服务确保专项经费管理和使用最大限度地体现社区群众意愿和需求；保障完成12个社区经济发展、服务群众及安全生产等日常各项业务工作措施落实，保障社区各项工作正常开展。有序完成设定目标的部分工作任务，更好的服务群众，促进社会经济和谐发展，促进社会建设和文化、教育、卫生公益事业发展，提高基层党组织的服务质量，维护社会面大局。</w:t>
      </w:r>
    </w:p>
    <w:p>
      <w:pPr>
        <w:spacing w:line="540" w:lineRule="exact"/>
        <w:ind w:firstLine="640"/>
        <w:rPr>
          <w:rStyle w:val="18"/>
          <w:rFonts w:hint="eastAsia" w:asciiTheme="minorEastAsia" w:hAnsiTheme="minorEastAsia" w:eastAsiaTheme="minorEastAsia" w:cstheme="minorEastAsia"/>
        </w:rPr>
      </w:pPr>
      <w:r>
        <w:rPr>
          <w:rStyle w:val="18"/>
          <w:rFonts w:hint="eastAsia" w:asciiTheme="minorEastAsia" w:hAnsiTheme="minorEastAsia" w:eastAsiaTheme="minorEastAsia" w:cstheme="minorEastAsia"/>
          <w:b w:val="0"/>
          <w:spacing w:val="-4"/>
          <w:sz w:val="32"/>
          <w:szCs w:val="32"/>
        </w:rPr>
        <w:t>四、绩效评价指标分析</w:t>
      </w:r>
      <w:r>
        <w:rPr>
          <w:rStyle w:val="18"/>
          <w:rFonts w:hint="eastAsia" w:asciiTheme="minorEastAsia" w:hAnsiTheme="minorEastAsia" w:eastAsiaTheme="minorEastAsia" w:cstheme="minorEastAsia"/>
        </w:rPr>
        <w:t xml:space="preserve"> </w:t>
      </w:r>
    </w:p>
    <w:p>
      <w:pPr>
        <w:spacing w:line="540" w:lineRule="exact"/>
        <w:ind w:firstLine="567" w:firstLineChars="181"/>
        <w:rPr>
          <w:rFonts w:hint="eastAsia" w:asciiTheme="minorEastAsia" w:hAnsiTheme="minorEastAsia" w:eastAsiaTheme="minorEastAsia" w:cstheme="minorEastAsia"/>
          <w:b/>
          <w:spacing w:val="-4"/>
          <w:sz w:val="32"/>
          <w:szCs w:val="32"/>
        </w:rPr>
      </w:pPr>
      <w:r>
        <w:rPr>
          <w:rFonts w:hint="eastAsia" w:asciiTheme="minorEastAsia" w:hAnsiTheme="minorEastAsia" w:eastAsiaTheme="minorEastAsia" w:cstheme="minorEastAsia"/>
          <w:b/>
          <w:spacing w:val="-4"/>
          <w:sz w:val="32"/>
          <w:szCs w:val="32"/>
        </w:rPr>
        <w:t>（一）</w:t>
      </w:r>
      <w:r>
        <w:rPr>
          <w:rStyle w:val="18"/>
          <w:rFonts w:hint="eastAsia" w:asciiTheme="minorEastAsia" w:hAnsiTheme="minorEastAsia" w:eastAsiaTheme="minorEastAsia" w:cstheme="minorEastAsia"/>
          <w:spacing w:val="-4"/>
          <w:sz w:val="32"/>
          <w:szCs w:val="32"/>
        </w:rPr>
        <w:t>项目决策情况</w:t>
      </w:r>
    </w:p>
    <w:p>
      <w:pPr>
        <w:tabs>
          <w:tab w:val="center" w:pos="4295"/>
        </w:tabs>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项目决算指标由3个二级指标和6个三级指标构成，权重为20分，实际得分18.92分。</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1.项目立项</w:t>
      </w:r>
    </w:p>
    <w:p>
      <w:pPr>
        <w:tabs>
          <w:tab w:val="center" w:pos="4295"/>
        </w:tabs>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该指标赋分4分，实际得3分。</w:t>
      </w:r>
    </w:p>
    <w:p>
      <w:pPr>
        <w:tabs>
          <w:tab w:val="center" w:pos="4295"/>
        </w:tabs>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立项程序规范性: 项目按照规定的程序申请设立，审批文件、材料符合相关要求，故立项程序规范，该指标赋分4分，实际得3分。</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综上，该指标满分8分，得分6分。</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2.绩效目标</w:t>
      </w:r>
    </w:p>
    <w:p>
      <w:pPr>
        <w:tabs>
          <w:tab w:val="center" w:pos="4295"/>
        </w:tabs>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实际得3分。</w:t>
      </w:r>
    </w:p>
    <w:p>
      <w:pPr>
        <w:tabs>
          <w:tab w:val="center" w:pos="4295"/>
        </w:tabs>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绩效目标明确性： 按时支付12个社区正常运转所需租赁费、水电暖、办公经费、服务群众经费、活动费等，为辖区居民服务确保专项经费管理和使用最大限度地体现社区群众意愿和需求。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p>
    <w:p>
      <w:pPr>
        <w:tabs>
          <w:tab w:val="center" w:pos="4295"/>
        </w:tabs>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综上，该指标满分6分，得分6分。</w:t>
      </w:r>
    </w:p>
    <w:p>
      <w:pPr>
        <w:tabs>
          <w:tab w:val="center" w:pos="4295"/>
        </w:tabs>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3.资金投入</w:t>
      </w:r>
    </w:p>
    <w:p>
      <w:pPr>
        <w:tabs>
          <w:tab w:val="center" w:pos="4295"/>
        </w:tabs>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预算编制科学性：该项目经费依据《2022年部门预算中非定额预算说明》中社区经费明细如下：一般社区：9个×50万元=450万元，市重点社区：3个×60万元=180万元，总计630万元*0.7=441万元。12个社区正常运转所需租赁费、水电暖、办公经费、服务群众经费、活动费等，项目预期总进度计划为逐月支付12个社区基本运转经费，在2022年年底资金支付完毕。故预算编制科学性指标赋分3分，实际得3分。</w:t>
      </w:r>
      <w:r>
        <w:rPr>
          <w:rStyle w:val="18"/>
          <w:rFonts w:hint="eastAsia" w:asciiTheme="minorEastAsia" w:hAnsiTheme="minorEastAsia" w:eastAsiaTheme="minorEastAsia" w:cstheme="minorEastAsia"/>
          <w:b w:val="0"/>
          <w:bCs w:val="0"/>
          <w:spacing w:val="-4"/>
          <w:sz w:val="32"/>
          <w:szCs w:val="32"/>
        </w:rPr>
        <w:br w:type="textWrapping"/>
      </w: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资金分配合理性： 经水财发【2022】1号文件批准，该项目资金得以保障，经费明细如下：一般社区：9个×50万元=450万元，市重点社区：3个×60万元=180万元，总计630万元*0.7=441万元。按时支付12个社区正常运转所需租赁费、水电暖、办公经费、服务群众经费、活动费等，项目组织按照全年工作任务进行管理，经费支付由专人经办、初审，再由分管领导审核，单位主管领导签字确认，最后通过财政局国库支付中心统一支付，将资金款项支付给第三方。故资金分配合理性指标赋分3分，实际得3分。</w:t>
      </w:r>
    </w:p>
    <w:p>
      <w:pPr>
        <w:tabs>
          <w:tab w:val="center" w:pos="4295"/>
        </w:tabs>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综上，该指标满分6分，得分6分。</w:t>
      </w:r>
      <w:r>
        <w:rPr>
          <w:rStyle w:val="18"/>
          <w:rFonts w:hint="eastAsia" w:asciiTheme="minorEastAsia" w:hAnsiTheme="minorEastAsia" w:eastAsiaTheme="minorEastAsia" w:cstheme="minorEastAsia"/>
          <w:b w:val="0"/>
          <w:bCs w:val="0"/>
          <w:spacing w:val="-4"/>
          <w:sz w:val="32"/>
          <w:szCs w:val="32"/>
        </w:rPr>
        <w:tab/>
      </w:r>
    </w:p>
    <w:p>
      <w:pPr>
        <w:spacing w:line="540" w:lineRule="exact"/>
        <w:ind w:firstLine="567" w:firstLineChars="181"/>
        <w:rPr>
          <w:rStyle w:val="18"/>
          <w:rFonts w:hint="eastAsia" w:asciiTheme="minorEastAsia" w:hAnsiTheme="minorEastAsia" w:eastAsiaTheme="minorEastAsia" w:cstheme="minorEastAsia"/>
          <w:spacing w:val="-4"/>
          <w:sz w:val="32"/>
          <w:szCs w:val="32"/>
        </w:rPr>
      </w:pPr>
      <w:r>
        <w:rPr>
          <w:rFonts w:hint="eastAsia" w:asciiTheme="minorEastAsia" w:hAnsiTheme="minorEastAsia" w:eastAsiaTheme="minorEastAsia" w:cstheme="minorEastAsia"/>
          <w:b/>
          <w:spacing w:val="-4"/>
          <w:sz w:val="32"/>
          <w:szCs w:val="32"/>
        </w:rPr>
        <w:t>（二）</w:t>
      </w:r>
      <w:r>
        <w:rPr>
          <w:rStyle w:val="18"/>
          <w:rFonts w:hint="eastAsia" w:asciiTheme="minorEastAsia" w:hAnsiTheme="minorEastAsia" w:eastAsiaTheme="minorEastAsia" w:cstheme="minorEastAsia"/>
          <w:spacing w:val="-4"/>
          <w:sz w:val="32"/>
          <w:szCs w:val="32"/>
        </w:rPr>
        <w:t>项目过程情况</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项目过程指标由2个二级指标和5个三级指标构成，权重为20分，实际得分18.8分。</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lang w:val="en-US" w:eastAsia="zh-CN"/>
        </w:rPr>
        <w:t xml:space="preserve"> </w:t>
      </w:r>
      <w:r>
        <w:rPr>
          <w:rStyle w:val="18"/>
          <w:rFonts w:hint="eastAsia" w:asciiTheme="minorEastAsia" w:hAnsiTheme="minorEastAsia" w:eastAsiaTheme="minorEastAsia" w:cstheme="minorEastAsia"/>
          <w:b w:val="0"/>
          <w:bCs w:val="0"/>
          <w:spacing w:val="-4"/>
          <w:sz w:val="32"/>
          <w:szCs w:val="32"/>
        </w:rPr>
        <w:t>1.资金管理</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资金到位率： 该项目资金由财政拨付，在2022年1月26日到位，资金直接支付到各供应商。该项目资金年初预算441万元，全年预算数414.28万元，资金到位率93.94%。</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故资金到位率指标赋分5分，实际得4.7分。</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预算执行率：该项目资金年初预算441万元，全年预算数414.28万元，全年执行340.06万元，执行率82.08%。故预算执行率得分赋分5分，实际得4.1分。</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赋分3分，实际得3分。</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综上，该指标满分13分，得分11.8分。</w:t>
      </w:r>
    </w:p>
    <w:p>
      <w:pPr>
        <w:numPr>
          <w:ilvl w:val="0"/>
          <w:numId w:val="3"/>
        </w:num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组织实施</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管理制度健全性：乌鲁木齐市水磨沟区南湖北路街道办事处已制定相应的财务和业务管理制度，且制度合法、合规、完整，为项目顺利实施提供重要保障。故管理制度健全性赋分3分，实际得3分。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制度执行有效性：根据现场调研和资料抽查情况，我单位严格遵守相关法律法规和相关管理规定，项目调整及支出调整手续完备，整体管理合理有序，项目完成后，及时将会计凭证、固定资产入库单等相关资料分类归档，制度执行有效。故制度执行有效性指标赋分4分，实际得4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综上，该指标满分7分，得分7分。</w:t>
      </w:r>
    </w:p>
    <w:p>
      <w:pPr>
        <w:spacing w:line="540" w:lineRule="exact"/>
        <w:ind w:firstLine="567" w:firstLineChars="181"/>
        <w:rPr>
          <w:rFonts w:hint="eastAsia" w:asciiTheme="minorEastAsia" w:hAnsiTheme="minorEastAsia" w:eastAsiaTheme="minorEastAsia" w:cstheme="minorEastAsia"/>
          <w:b/>
          <w:spacing w:val="-4"/>
          <w:sz w:val="32"/>
          <w:szCs w:val="32"/>
        </w:rPr>
      </w:pPr>
      <w:r>
        <w:rPr>
          <w:rFonts w:hint="eastAsia" w:asciiTheme="minorEastAsia" w:hAnsiTheme="minorEastAsia" w:eastAsiaTheme="minorEastAsia" w:cstheme="minorEastAsia"/>
          <w:b/>
          <w:spacing w:val="-4"/>
          <w:sz w:val="32"/>
          <w:szCs w:val="32"/>
        </w:rPr>
        <w:t>（三）</w:t>
      </w:r>
      <w:r>
        <w:rPr>
          <w:rStyle w:val="18"/>
          <w:rFonts w:hint="eastAsia" w:asciiTheme="minorEastAsia" w:hAnsiTheme="minorEastAsia" w:eastAsiaTheme="minorEastAsia" w:cstheme="minorEastAsia"/>
          <w:spacing w:val="-4"/>
          <w:sz w:val="32"/>
          <w:szCs w:val="32"/>
        </w:rPr>
        <w:t>项目产出情况</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项目产出指标由4个二级指标和10个三级指标构成，权重为40分，实际得分38.2分。</w:t>
      </w:r>
    </w:p>
    <w:p>
      <w:pPr>
        <w:numPr>
          <w:ilvl w:val="0"/>
          <w:numId w:val="4"/>
        </w:num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产出数量</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lang w:eastAsia="zh-CN"/>
        </w:rPr>
      </w:pPr>
      <w:r>
        <w:rPr>
          <w:rStyle w:val="18"/>
          <w:rFonts w:hint="eastAsia" w:asciiTheme="minorEastAsia" w:hAnsiTheme="minorEastAsia" w:eastAsiaTheme="minorEastAsia" w:cstheme="minorEastAsia"/>
          <w:b w:val="0"/>
          <w:bCs w:val="0"/>
          <w:spacing w:val="-4"/>
          <w:sz w:val="32"/>
          <w:szCs w:val="32"/>
        </w:rPr>
        <w:t>社区开展服务居民活动次数，2022年预期开展12次，实际完成值12次，社区依托“走基层、转作风、办实事”，截止目前，累计完成入户6341户，收集解决困难诉求68条，开展系列活动32场次，发放服务卡8656份。该指标赋分3分，实际得3分</w:t>
      </w:r>
      <w:r>
        <w:rPr>
          <w:rStyle w:val="18"/>
          <w:rFonts w:hint="eastAsia" w:asciiTheme="minorEastAsia" w:hAnsiTheme="minorEastAsia" w:eastAsiaTheme="minorEastAsia" w:cstheme="minorEastAsia"/>
          <w:b w:val="0"/>
          <w:bCs w:val="0"/>
          <w:spacing w:val="-4"/>
          <w:sz w:val="32"/>
          <w:szCs w:val="32"/>
          <w:lang w:eastAsia="zh-CN"/>
        </w:rPr>
        <w:t>。</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社区开展环境卫生整治次数，预期指标值=52次，实际完成值52人，12个社区每周六开展环境卫生大扫除活动，该指标赋分3分，实际得3分。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一般社区数量，预期指标值=9个，实际完成值9个，我街道一般社区分别是王家梁东社区、宏瑞社区、顺和苑社区、河滩社区、南湖北路东社区、宏怡还花园社区、碧园社区、友好花园西社区、百万庄社区。该指标赋分2分，实际得2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市重点社区数量，预期指标值=3个，实际完成值3个，我街道市级重点社区分别为王家梁社区、昆仑路北社区、康和社区。该指标赋分2分，实际得2分。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该项指标下设4个三级指标，指标分值10分，评价得分10分，得分率29.42%。</w:t>
      </w:r>
    </w:p>
    <w:p>
      <w:pPr>
        <w:numPr>
          <w:ilvl w:val="0"/>
          <w:numId w:val="4"/>
        </w:numPr>
        <w:spacing w:line="540" w:lineRule="exact"/>
        <w:ind w:left="0" w:leftChars="0" w:firstLine="567" w:firstLineChars="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产出质量</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社区开展居民活动参与率，2022年预期参与率100%，实际参与率100%，社区居民积极参加社区开展的各类活动，该指标赋分3分，实际得3分；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社区环境卫生整治整洁度，预期2022年预期卫生整洁度=100%，实际卫生整洁度100%，社区发动门面商户、志愿者及群众，该指标赋分3分，实际得3分；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社区正常运转率，2022年预期运转率=100%，实际运转率100%，；此项目款保障辖区12个社区日常工作开支，电费、电话费、油费、其他运转经费等日常工作开展各项开支，该指标赋分4分，实际得4分。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该项指标下设3个三级指标，指标分值10分，评价得分10分，得分率100%。</w:t>
      </w:r>
    </w:p>
    <w:p>
      <w:pPr>
        <w:numPr>
          <w:ilvl w:val="0"/>
          <w:numId w:val="4"/>
        </w:numPr>
        <w:spacing w:line="540" w:lineRule="exact"/>
        <w:ind w:left="0" w:leftChars="0" w:firstLine="567" w:firstLineChars="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产</w:t>
      </w:r>
      <w:bookmarkStart w:id="0" w:name="_GoBack"/>
      <w:bookmarkEnd w:id="0"/>
      <w:r>
        <w:rPr>
          <w:rStyle w:val="18"/>
          <w:rFonts w:hint="eastAsia" w:asciiTheme="minorEastAsia" w:hAnsiTheme="minorEastAsia" w:eastAsiaTheme="minorEastAsia" w:cstheme="minorEastAsia"/>
          <w:b w:val="0"/>
          <w:bCs w:val="0"/>
          <w:spacing w:val="-4"/>
          <w:sz w:val="32"/>
          <w:szCs w:val="32"/>
        </w:rPr>
        <w:t>出时效</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完成及时性：</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lang w:eastAsia="zh-CN"/>
        </w:rPr>
      </w:pPr>
      <w:r>
        <w:rPr>
          <w:rStyle w:val="18"/>
          <w:rFonts w:hint="eastAsia" w:asciiTheme="minorEastAsia" w:hAnsiTheme="minorEastAsia" w:eastAsiaTheme="minorEastAsia" w:cstheme="minorEastAsia"/>
          <w:b w:val="0"/>
          <w:bCs w:val="0"/>
          <w:spacing w:val="-4"/>
          <w:sz w:val="32"/>
          <w:szCs w:val="32"/>
        </w:rPr>
        <w:t>经费支付及时率，2022年预期支付及时率&gt;=95%，实际支付及时率95%，根据财政支付进度及时支付经费，该指标赋分10分，实际得10分</w:t>
      </w:r>
      <w:r>
        <w:rPr>
          <w:rStyle w:val="18"/>
          <w:rFonts w:hint="eastAsia" w:asciiTheme="minorEastAsia" w:hAnsiTheme="minorEastAsia" w:eastAsiaTheme="minorEastAsia" w:cstheme="minorEastAsia"/>
          <w:b w:val="0"/>
          <w:bCs w:val="0"/>
          <w:spacing w:val="-4"/>
          <w:sz w:val="32"/>
          <w:szCs w:val="32"/>
          <w:lang w:eastAsia="zh-CN"/>
        </w:rPr>
        <w:t>。</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该项指标下设1个三级指标，指标分值10分，评价得分10分，得分率100%。</w:t>
      </w:r>
    </w:p>
    <w:p>
      <w:pPr>
        <w:numPr>
          <w:ilvl w:val="0"/>
          <w:numId w:val="4"/>
        </w:numPr>
        <w:spacing w:line="540" w:lineRule="exact"/>
        <w:ind w:left="0" w:leftChars="0" w:firstLine="567" w:firstLineChars="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产出成本</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成本节约率：</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市重点社区经费标准，2022年预期指标值=42万元，实际指标完成值42万元，因财政资金紧张，年底收回指标额度，但项目正常开展，该指标赋分5分，实际得4.1分；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lang w:eastAsia="zh-CN"/>
        </w:rPr>
      </w:pPr>
      <w:r>
        <w:rPr>
          <w:rStyle w:val="18"/>
          <w:rFonts w:hint="eastAsia" w:asciiTheme="minorEastAsia" w:hAnsiTheme="minorEastAsia" w:eastAsiaTheme="minorEastAsia" w:cstheme="minorEastAsia"/>
          <w:b w:val="0"/>
          <w:bCs w:val="0"/>
          <w:spacing w:val="-4"/>
          <w:sz w:val="32"/>
          <w:szCs w:val="32"/>
        </w:rPr>
        <w:t>一般社区经费标准，2022年预期指标值=35万元，实际指标完成值35万元，因财政资金紧张，年底收回指标额度，但项目正常开展，该指标赋分5分，实际得4.1分</w:t>
      </w:r>
      <w:r>
        <w:rPr>
          <w:rStyle w:val="18"/>
          <w:rFonts w:hint="eastAsia" w:asciiTheme="minorEastAsia" w:hAnsiTheme="minorEastAsia" w:eastAsiaTheme="minorEastAsia" w:cstheme="minorEastAsia"/>
          <w:b w:val="0"/>
          <w:bCs w:val="0"/>
          <w:spacing w:val="-4"/>
          <w:sz w:val="32"/>
          <w:szCs w:val="32"/>
          <w:lang w:eastAsia="zh-CN"/>
        </w:rPr>
        <w:t>；</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该项指标下设2个三级指标，指标分值10分，评价得分8.2分，得分率100%。</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综上，该指标满分40分，得分38.2分。</w:t>
      </w:r>
    </w:p>
    <w:p>
      <w:pPr>
        <w:spacing w:line="540" w:lineRule="exact"/>
        <w:ind w:firstLine="567" w:firstLineChars="181"/>
        <w:rPr>
          <w:rFonts w:hint="eastAsia" w:asciiTheme="minorEastAsia" w:hAnsiTheme="minorEastAsia" w:eastAsiaTheme="minorEastAsia" w:cstheme="minorEastAsia"/>
          <w:b/>
          <w:spacing w:val="-4"/>
          <w:sz w:val="32"/>
          <w:szCs w:val="32"/>
        </w:rPr>
      </w:pPr>
      <w:r>
        <w:rPr>
          <w:rFonts w:hint="eastAsia" w:asciiTheme="minorEastAsia" w:hAnsiTheme="minorEastAsia" w:eastAsiaTheme="minorEastAsia" w:cstheme="minorEastAsia"/>
          <w:b/>
          <w:spacing w:val="-4"/>
          <w:sz w:val="32"/>
          <w:szCs w:val="32"/>
        </w:rPr>
        <w:t>（四）</w:t>
      </w:r>
      <w:r>
        <w:rPr>
          <w:rStyle w:val="18"/>
          <w:rFonts w:hint="eastAsia" w:asciiTheme="minorEastAsia" w:hAnsiTheme="minorEastAsia" w:eastAsiaTheme="minorEastAsia" w:cstheme="minorEastAsia"/>
          <w:spacing w:val="-4"/>
          <w:sz w:val="32"/>
          <w:szCs w:val="32"/>
        </w:rPr>
        <w:t>项目效益情况</w:t>
      </w:r>
    </w:p>
    <w:p>
      <w:pPr>
        <w:spacing w:line="540" w:lineRule="exact"/>
        <w:ind w:firstLine="567"/>
        <w:rPr>
          <w:rStyle w:val="18"/>
          <w:rFonts w:hint="eastAsia" w:asciiTheme="minorEastAsia" w:hAnsiTheme="minorEastAsia" w:eastAsiaTheme="minorEastAsia" w:cstheme="minorEastAsia"/>
          <w:b w:val="0"/>
          <w:bCs w:val="0"/>
          <w:spacing w:val="-4"/>
          <w:sz w:val="32"/>
          <w:szCs w:val="32"/>
          <w:lang w:eastAsia="zh-CN"/>
        </w:rPr>
      </w:pPr>
      <w:r>
        <w:rPr>
          <w:rStyle w:val="18"/>
          <w:rFonts w:hint="eastAsia" w:asciiTheme="minorEastAsia" w:hAnsiTheme="minorEastAsia" w:eastAsiaTheme="minorEastAsia" w:cstheme="minorEastAsia"/>
          <w:b w:val="0"/>
          <w:bCs w:val="0"/>
          <w:spacing w:val="-4"/>
          <w:sz w:val="32"/>
          <w:szCs w:val="32"/>
        </w:rPr>
        <w:t>项目效益指标由1个二级指标和1个三级指标构成，权重为20分，实际得分20分</w:t>
      </w:r>
      <w:r>
        <w:rPr>
          <w:rStyle w:val="18"/>
          <w:rFonts w:hint="eastAsia" w:asciiTheme="minorEastAsia" w:hAnsiTheme="minorEastAsia" w:eastAsiaTheme="minorEastAsia" w:cstheme="minorEastAsia"/>
          <w:b w:val="0"/>
          <w:bCs w:val="0"/>
          <w:spacing w:val="-4"/>
          <w:sz w:val="32"/>
          <w:szCs w:val="32"/>
          <w:lang w:eastAsia="zh-CN"/>
        </w:rPr>
        <w:t>。</w:t>
      </w:r>
    </w:p>
    <w:p>
      <w:pPr>
        <w:numPr>
          <w:ilvl w:val="0"/>
          <w:numId w:val="5"/>
        </w:num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项目效益</w:t>
      </w:r>
    </w:p>
    <w:p>
      <w:pPr>
        <w:numPr>
          <w:ilvl w:val="0"/>
          <w:numId w:val="6"/>
        </w:numPr>
        <w:spacing w:line="540" w:lineRule="exact"/>
        <w:ind w:firstLine="312" w:firstLineChars="1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实施效益</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经济效益指标：项目属于确定不产生该项效益的，因此未设置。</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社会效益指标：评价指标“更好的服务群众，促进社会经济和谐发展，促进社会建设和文化、教育、卫生公益事业发展，提高基层党组织的服务质量，维护社会面大局”，通过设置问卷调查的方式进行考评评价，共计调查样本总量为20个样本，有效调查问卷20份。其中，统计“社会效益指标”的平均值为100%。本项目的实施保障12个社区正常运转，提高社区服务能力，该指标赋分15分，实际得15分。</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生态效益指标：项目属于确定不产生该项效益的，因此未设置。</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可持续影响指标：项目属于确定不产生该项效益的，因此未设置。</w:t>
      </w:r>
    </w:p>
    <w:p>
      <w:pPr>
        <w:numPr>
          <w:numId w:val="0"/>
        </w:numPr>
        <w:spacing w:line="540" w:lineRule="exact"/>
        <w:ind w:firstLine="624" w:firstLineChars="200"/>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该项指标下设1个三级指标，指标分值15分，评价得分15分，得分率100%。</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p>
    <w:p>
      <w:pPr>
        <w:spacing w:line="540" w:lineRule="exact"/>
        <w:ind w:firstLine="567" w:firstLineChars="181"/>
        <w:rPr>
          <w:rStyle w:val="18"/>
          <w:rFonts w:hint="eastAsia" w:asciiTheme="minorEastAsia" w:hAnsiTheme="minorEastAsia" w:eastAsiaTheme="minorEastAsia" w:cstheme="minorEastAsia"/>
          <w:bCs w:val="0"/>
          <w:spacing w:val="-4"/>
          <w:sz w:val="32"/>
          <w:szCs w:val="32"/>
        </w:rPr>
      </w:pPr>
      <w:r>
        <w:rPr>
          <w:rFonts w:hint="eastAsia" w:asciiTheme="minorEastAsia" w:hAnsiTheme="minorEastAsia" w:eastAsiaTheme="minorEastAsia" w:cstheme="minorEastAsia"/>
          <w:b/>
          <w:spacing w:val="-4"/>
          <w:sz w:val="32"/>
          <w:szCs w:val="32"/>
        </w:rPr>
        <w:t>（五）满意度指标完成情况分析</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（1）满意度指标</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群众满意度：评价指标“辖区居民满意度”，指标值：=100%，实际完成值：=100%。通过设置问卷调查的方式进行考评评价，共计调查样本总量为20个样本，有效调查问卷20份。其中，统计“辖区居民满意度”的平均值为100%。该指标赋分5分，实际得5分。</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该项指标下设1个三级指标，指标分值5分，评价得分5分，得分率100%。</w:t>
      </w:r>
    </w:p>
    <w:p>
      <w:pPr>
        <w:numPr>
          <w:ilvl w:val="0"/>
          <w:numId w:val="7"/>
        </w:numPr>
        <w:spacing w:line="540" w:lineRule="exact"/>
        <w:ind w:firstLine="567"/>
        <w:rPr>
          <w:rStyle w:val="18"/>
          <w:rFonts w:hint="eastAsia" w:asciiTheme="minorEastAsia" w:hAnsiTheme="minorEastAsia" w:eastAsiaTheme="minorEastAsia" w:cstheme="minorEastAsia"/>
          <w:b w:val="0"/>
          <w:spacing w:val="-4"/>
          <w:sz w:val="32"/>
          <w:szCs w:val="32"/>
        </w:rPr>
      </w:pPr>
      <w:r>
        <w:rPr>
          <w:rStyle w:val="18"/>
          <w:rFonts w:hint="eastAsia" w:asciiTheme="minorEastAsia" w:hAnsiTheme="minorEastAsia" w:eastAsiaTheme="minorEastAsia" w:cstheme="minorEastAsia"/>
          <w:b w:val="0"/>
          <w:spacing w:val="-4"/>
          <w:sz w:val="32"/>
          <w:szCs w:val="32"/>
        </w:rPr>
        <w:t>预算执行进度与绩效指标偏差</w:t>
      </w:r>
    </w:p>
    <w:p>
      <w:pPr>
        <w:numPr>
          <w:numId w:val="0"/>
        </w:numPr>
        <w:spacing w:line="540" w:lineRule="exact"/>
        <w:ind w:firstLine="624" w:firstLineChars="200"/>
        <w:rPr>
          <w:rStyle w:val="18"/>
          <w:rFonts w:hint="eastAsia" w:asciiTheme="minorEastAsia" w:hAnsiTheme="minorEastAsia" w:eastAsiaTheme="minorEastAsia" w:cstheme="minorEastAsia"/>
          <w:spacing w:val="-4"/>
          <w:sz w:val="32"/>
          <w:szCs w:val="32"/>
        </w:rPr>
      </w:pPr>
      <w:r>
        <w:rPr>
          <w:rStyle w:val="18"/>
          <w:rFonts w:hint="eastAsia" w:asciiTheme="minorEastAsia" w:hAnsiTheme="minorEastAsia" w:eastAsiaTheme="minorEastAsia" w:cstheme="minorEastAsia"/>
          <w:b w:val="0"/>
          <w:bCs w:val="0"/>
          <w:spacing w:val="-4"/>
          <w:sz w:val="32"/>
          <w:szCs w:val="32"/>
        </w:rPr>
        <w:t>本项目预算执行率为82.08%，指标总体完成率为95.22%，二者之间的偏差值为15.04%，小于20%。因为疫情原因，人员处于隔离状态，无法开展环境卫生大扫除，开展活动次数也减少，所以产出指标失分较多，该项目是财政依据文件直接下拨，缺少相关立项申请等手续，故立项依据充分性、立项程序规范性失分多，所以总体完成率偏低。财力紧张，资金未完全支付，未能及时支付的剩余经费财政收回，所以执行率100%偏高。总体而言，该项目未完全达到年度总体目标，财政资金的使用效益和效率还需加强和提高。</w:t>
      </w:r>
    </w:p>
    <w:p>
      <w:pPr>
        <w:spacing w:line="540" w:lineRule="exact"/>
        <w:ind w:firstLine="640"/>
        <w:rPr>
          <w:rStyle w:val="18"/>
          <w:rFonts w:hint="eastAsia" w:asciiTheme="minorEastAsia" w:hAnsiTheme="minorEastAsia" w:eastAsiaTheme="minorEastAsia" w:cstheme="minorEastAsia"/>
          <w:b w:val="0"/>
          <w:spacing w:val="-4"/>
          <w:sz w:val="32"/>
          <w:szCs w:val="32"/>
        </w:rPr>
      </w:pPr>
      <w:r>
        <w:rPr>
          <w:rStyle w:val="18"/>
          <w:rFonts w:hint="eastAsia" w:asciiTheme="minorEastAsia" w:hAnsiTheme="minorEastAsia" w:eastAsiaTheme="minorEastAsia" w:cstheme="minorEastAsia"/>
          <w:b w:val="0"/>
          <w:spacing w:val="-4"/>
          <w:sz w:val="32"/>
          <w:szCs w:val="32"/>
        </w:rPr>
        <w:t>六、主要经验及做法、存在的问题及原因分析</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（一）主要经验及做法</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1.按照年初预算资金项目组织并实施，加强年初预算项目的管理，提高项目资金预算的准确性。南湖北路片区管委会按照《行政事业单位内部控制规范》《会计工作基础规范》的要求，并结合自身实际情况建立健全各部门，各环节、各岗位内部控制制度，并确保制度能够长期有效的坚持执行。项目支出要附有专项预算报告，保证了项目资金使用的合规、有效。</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2.该预算项目资金全部用于支付12个社区正常运转所需租赁费、水电暖、办公经费、服务群众经费、活动费等，有效地维持本单位工作正常运转，实现既定目标、完成预算支出。</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（二）存在的问题及原因分析</w:t>
      </w:r>
    </w:p>
    <w:p>
      <w:pPr>
        <w:spacing w:line="540" w:lineRule="exact"/>
        <w:ind w:firstLine="567"/>
        <w:rPr>
          <w:rFonts w:hint="eastAsia" w:asciiTheme="minorEastAsia" w:hAnsiTheme="minorEastAsia" w:eastAsiaTheme="minorEastAsia" w:cstheme="minorEastAsia"/>
          <w:spacing w:val="-4"/>
          <w:sz w:val="32"/>
          <w:szCs w:val="32"/>
        </w:rPr>
      </w:pPr>
      <w:r>
        <w:rPr>
          <w:rStyle w:val="18"/>
          <w:rFonts w:hint="eastAsia" w:asciiTheme="minorEastAsia" w:hAnsiTheme="minorEastAsia" w:eastAsiaTheme="minorEastAsia" w:cstheme="minorEastAsia"/>
          <w:b w:val="0"/>
          <w:bCs w:val="0"/>
          <w:spacing w:val="-4"/>
          <w:sz w:val="32"/>
          <w:szCs w:val="32"/>
        </w:rPr>
        <w:t>1.社区经费主要以区级财政投入为主，当前全区重点工作和建设任务较多，区级财政资金压力日益增大。还需要完善内部控制体系建设，建立项目的绩效跟踪机制，对项目执行进情况行督促落实，确保财政资金发挥最大效益。</w:t>
      </w:r>
    </w:p>
    <w:p>
      <w:pPr>
        <w:spacing w:line="540" w:lineRule="exact"/>
        <w:ind w:firstLine="640"/>
        <w:rPr>
          <w:rStyle w:val="18"/>
          <w:rFonts w:hint="eastAsia" w:asciiTheme="minorEastAsia" w:hAnsiTheme="minorEastAsia" w:eastAsiaTheme="minorEastAsia" w:cstheme="minorEastAsia"/>
          <w:b w:val="0"/>
          <w:spacing w:val="-4"/>
          <w:sz w:val="32"/>
          <w:szCs w:val="32"/>
        </w:rPr>
      </w:pPr>
      <w:r>
        <w:rPr>
          <w:rStyle w:val="18"/>
          <w:rFonts w:hint="eastAsia" w:asciiTheme="minorEastAsia" w:hAnsiTheme="minorEastAsia" w:eastAsiaTheme="minorEastAsia" w:cstheme="minorEastAsia"/>
          <w:b w:val="0"/>
          <w:spacing w:val="-4"/>
          <w:sz w:val="32"/>
          <w:szCs w:val="32"/>
        </w:rPr>
        <w:t>七、有关建议</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1.项目支出政策和路径设计科学，符合实际需要；</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2.项目安排准确，未发现背离项目立项初衷的情况；</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3.项目的申报、审核机制完善；</w:t>
      </w:r>
    </w:p>
    <w:p>
      <w:pPr>
        <w:spacing w:line="540" w:lineRule="exact"/>
        <w:ind w:firstLine="567"/>
        <w:rPr>
          <w:rStyle w:val="18"/>
          <w:rFonts w:hint="eastAsia" w:asciiTheme="minorEastAsia" w:hAnsiTheme="minorEastAsia" w:eastAsiaTheme="minorEastAsia" w:cstheme="minorEastAsia"/>
          <w:spacing w:val="-4"/>
          <w:sz w:val="32"/>
          <w:szCs w:val="32"/>
        </w:rPr>
      </w:pPr>
      <w:r>
        <w:rPr>
          <w:rStyle w:val="18"/>
          <w:rFonts w:hint="eastAsia" w:asciiTheme="minorEastAsia" w:hAnsiTheme="minorEastAsia" w:eastAsiaTheme="minorEastAsia" w:cstheme="minorEastAsia"/>
          <w:b w:val="0"/>
          <w:bCs w:val="0"/>
          <w:spacing w:val="-4"/>
          <w:sz w:val="32"/>
          <w:szCs w:val="32"/>
        </w:rPr>
        <w:t>4.未发现虚假行为和骗取财政资金的问题。</w:t>
      </w:r>
    </w:p>
    <w:p>
      <w:pPr>
        <w:spacing w:line="540" w:lineRule="exact"/>
        <w:ind w:firstLine="640"/>
        <w:rPr>
          <w:rStyle w:val="18"/>
          <w:rFonts w:hint="eastAsia" w:asciiTheme="minorEastAsia" w:hAnsiTheme="minorEastAsia" w:eastAsiaTheme="minorEastAsia" w:cstheme="minorEastAsia"/>
          <w:b w:val="0"/>
          <w:spacing w:val="-4"/>
          <w:sz w:val="32"/>
          <w:szCs w:val="32"/>
        </w:rPr>
      </w:pPr>
      <w:r>
        <w:rPr>
          <w:rStyle w:val="18"/>
          <w:rFonts w:hint="eastAsia" w:asciiTheme="minorEastAsia" w:hAnsiTheme="minorEastAsia" w:eastAsiaTheme="minorEastAsia" w:cstheme="minorEastAsia"/>
          <w:b w:val="0"/>
          <w:spacing w:val="-4"/>
          <w:sz w:val="32"/>
          <w:szCs w:val="32"/>
        </w:rPr>
        <w:t>八、其他需要说明的问题</w:t>
      </w:r>
    </w:p>
    <w:p>
      <w:pPr>
        <w:spacing w:line="540" w:lineRule="exact"/>
        <w:ind w:firstLine="567"/>
        <w:rPr>
          <w:rStyle w:val="18"/>
          <w:rFonts w:hint="eastAsia" w:asciiTheme="minorEastAsia" w:hAnsiTheme="minorEastAsia" w:eastAsiaTheme="minorEastAsia" w:cstheme="minorEastAsia"/>
          <w:b w:val="0"/>
          <w:bCs w:val="0"/>
          <w:spacing w:val="-4"/>
          <w:sz w:val="32"/>
          <w:szCs w:val="32"/>
        </w:rPr>
      </w:pPr>
      <w:r>
        <w:rPr>
          <w:rStyle w:val="18"/>
          <w:rFonts w:hint="eastAsia" w:asciiTheme="minorEastAsia" w:hAnsiTheme="minorEastAsia" w:eastAsiaTheme="minorEastAsia" w:cstheme="minorEastAsia"/>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6A084"/>
    <w:multiLevelType w:val="singleLevel"/>
    <w:tmpl w:val="8006A084"/>
    <w:lvl w:ilvl="0" w:tentative="0">
      <w:start w:val="5"/>
      <w:numFmt w:val="chineseCounting"/>
      <w:suff w:val="nothing"/>
      <w:lvlText w:val="%1、"/>
      <w:lvlJc w:val="left"/>
      <w:rPr>
        <w:rFonts w:hint="eastAsia"/>
      </w:rPr>
    </w:lvl>
  </w:abstractNum>
  <w:abstractNum w:abstractNumId="1">
    <w:nsid w:val="B6FB0416"/>
    <w:multiLevelType w:val="singleLevel"/>
    <w:tmpl w:val="B6FB0416"/>
    <w:lvl w:ilvl="0" w:tentative="0">
      <w:start w:val="1"/>
      <w:numFmt w:val="decimal"/>
      <w:suff w:val="nothing"/>
      <w:lvlText w:val="（%1）"/>
      <w:lvlJc w:val="left"/>
    </w:lvl>
  </w:abstractNum>
  <w:abstractNum w:abstractNumId="2">
    <w:nsid w:val="D4D4D5FE"/>
    <w:multiLevelType w:val="singleLevel"/>
    <w:tmpl w:val="D4D4D5FE"/>
    <w:lvl w:ilvl="0" w:tentative="0">
      <w:start w:val="1"/>
      <w:numFmt w:val="decimal"/>
      <w:suff w:val="nothing"/>
      <w:lvlText w:val="（%1）"/>
      <w:lvlJc w:val="left"/>
    </w:lvl>
  </w:abstractNum>
  <w:abstractNum w:abstractNumId="3">
    <w:nsid w:val="0B787721"/>
    <w:multiLevelType w:val="singleLevel"/>
    <w:tmpl w:val="0B787721"/>
    <w:lvl w:ilvl="0" w:tentative="0">
      <w:start w:val="1"/>
      <w:numFmt w:val="decimal"/>
      <w:lvlText w:val="%1."/>
      <w:lvlJc w:val="left"/>
      <w:pPr>
        <w:tabs>
          <w:tab w:val="left" w:pos="312"/>
        </w:tabs>
      </w:pPr>
    </w:lvl>
  </w:abstractNum>
  <w:abstractNum w:abstractNumId="4">
    <w:nsid w:val="13D787C1"/>
    <w:multiLevelType w:val="singleLevel"/>
    <w:tmpl w:val="13D787C1"/>
    <w:lvl w:ilvl="0" w:tentative="0">
      <w:start w:val="1"/>
      <w:numFmt w:val="decimal"/>
      <w:lvlText w:val="%1."/>
      <w:lvlJc w:val="left"/>
      <w:pPr>
        <w:tabs>
          <w:tab w:val="left" w:pos="312"/>
        </w:tabs>
      </w:pPr>
    </w:lvl>
  </w:abstractNum>
  <w:abstractNum w:abstractNumId="5">
    <w:nsid w:val="66FF2B19"/>
    <w:multiLevelType w:val="singleLevel"/>
    <w:tmpl w:val="66FF2B19"/>
    <w:lvl w:ilvl="0" w:tentative="0">
      <w:start w:val="2"/>
      <w:numFmt w:val="decimal"/>
      <w:suff w:val="nothing"/>
      <w:lvlText w:val="（%1）"/>
      <w:lvlJc w:val="left"/>
    </w:lvl>
  </w:abstractNum>
  <w:abstractNum w:abstractNumId="6">
    <w:nsid w:val="6B55E729"/>
    <w:multiLevelType w:val="singleLevel"/>
    <w:tmpl w:val="6B55E729"/>
    <w:lvl w:ilvl="0" w:tentative="0">
      <w:start w:val="2"/>
      <w:numFmt w:val="decimal"/>
      <w:lvlText w:val="%1."/>
      <w:lvlJc w:val="left"/>
      <w:pPr>
        <w:tabs>
          <w:tab w:val="left" w:pos="312"/>
        </w:tabs>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ZTEzOTFiODZmNzRjNmJhZmZlNGQ1NzRkNTUyZTY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3AE6143"/>
    <w:rsid w:val="54662BFB"/>
    <w:rsid w:val="62051CA5"/>
    <w:rsid w:val="6C3A69EF"/>
    <w:rsid w:val="6F27195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7748</Words>
  <Characters>8182</Characters>
  <Lines>4</Lines>
  <Paragraphs>1</Paragraphs>
  <TotalTime>41</TotalTime>
  <ScaleCrop>false</ScaleCrop>
  <LinksUpToDate>false</LinksUpToDate>
  <CharactersWithSpaces>8207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lenovo</cp:lastModifiedBy>
  <cp:lastPrinted>2018-12-31T10:56:00Z</cp:lastPrinted>
  <dcterms:modified xsi:type="dcterms:W3CDTF">2023-08-29T09:38:55Z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CC09D2C1A6CB46529D2B53BBD0E07379</vt:lpwstr>
  </property>
</Properties>
</file>