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cs="宋体"/>
          <w:kern w:val="0"/>
          <w:sz w:val="32"/>
          <w:szCs w:val="32"/>
        </w:rPr>
      </w:pPr>
      <w:r>
        <w:rPr>
          <w:rFonts w:hint="eastAsia" w:ascii="仿宋" w:hAnsi="仿宋" w:eastAsia="仿宋" w:cs="宋体"/>
          <w:kern w:val="0"/>
          <w:sz w:val="32"/>
          <w:szCs w:val="32"/>
        </w:rPr>
        <w:t>附件2：</w:t>
      </w: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line="560" w:lineRule="exact"/>
        <w:jc w:val="center"/>
        <w:textAlignment w:val="auto"/>
        <w:rPr>
          <w:rFonts w:ascii="华文中宋" w:hAnsi="华文中宋" w:eastAsia="华文中宋" w:cs="宋体"/>
          <w:b/>
          <w:kern w:val="0"/>
          <w:sz w:val="52"/>
          <w:szCs w:val="52"/>
        </w:rPr>
      </w:pP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r>
        <w:rPr>
          <w:rFonts w:hint="eastAsia" w:ascii="Times New Roman" w:hAnsi="Times New Roman" w:eastAsia="仿宋_GB2312" w:cs="Times New Roman"/>
          <w:b/>
          <w:sz w:val="44"/>
          <w:szCs w:val="44"/>
          <w:highlight w:val="none"/>
        </w:rPr>
        <w:t>项目支出绩效自评报告</w:t>
      </w: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r>
        <w:rPr>
          <w:rFonts w:hint="eastAsia" w:ascii="Times New Roman" w:hAnsi="Times New Roman" w:eastAsia="仿宋_GB2312" w:cs="Times New Roman"/>
          <w:b/>
          <w:sz w:val="44"/>
          <w:szCs w:val="44"/>
          <w:highlight w:val="none"/>
        </w:rPr>
        <w:t>（   2022  年度）</w:t>
      </w: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p>
    <w:p>
      <w:pPr>
        <w:pageBreakBefore w:val="0"/>
        <w:widowControl w:val="0"/>
        <w:kinsoku/>
        <w:wordWrap/>
        <w:overflowPunct/>
        <w:topLinePunct w:val="0"/>
        <w:autoSpaceDE/>
        <w:autoSpaceDN/>
        <w:bidi w:val="0"/>
        <w:adjustRightInd/>
        <w:snapToGrid/>
        <w:spacing w:before="120" w:after="120" w:line="560" w:lineRule="exact"/>
        <w:ind w:firstLine="0" w:firstLineChars="0"/>
        <w:jc w:val="center"/>
        <w:textAlignment w:val="auto"/>
        <w:rPr>
          <w:rFonts w:ascii="Times New Roman" w:hAnsi="Times New Roman" w:eastAsia="仿宋_GB2312" w:cs="Times New Roman"/>
          <w:b/>
          <w:sz w:val="44"/>
          <w:szCs w:val="44"/>
          <w:highlight w:val="none"/>
        </w:rPr>
      </w:pP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ascii="Times New Roman" w:hAnsi="Times New Roman" w:eastAsia="仿宋_GB2312" w:cs="Times New Roman"/>
          <w:kern w:val="0"/>
          <w:sz w:val="32"/>
          <w:szCs w:val="32"/>
          <w:highlight w:val="none"/>
          <w:lang w:bidi="en-US"/>
        </w:rPr>
      </w:pPr>
      <w:r>
        <w:rPr>
          <w:rFonts w:hint="eastAsia" w:ascii="Times New Roman" w:hAnsi="Times New Roman" w:eastAsia="仿宋_GB2312" w:cs="Times New Roman"/>
          <w:kern w:val="0"/>
          <w:sz w:val="32"/>
          <w:szCs w:val="32"/>
          <w:highlight w:val="none"/>
          <w:lang w:bidi="en-US"/>
        </w:rPr>
        <w:t>项目名称：2022年临聘人员经费（第二次）</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ascii="Times New Roman" w:hAnsi="Times New Roman" w:eastAsia="仿宋_GB2312" w:cs="Times New Roman"/>
          <w:kern w:val="0"/>
          <w:sz w:val="32"/>
          <w:szCs w:val="32"/>
          <w:highlight w:val="none"/>
          <w:lang w:bidi="en-US"/>
        </w:rPr>
      </w:pPr>
      <w:r>
        <w:rPr>
          <w:rFonts w:hint="eastAsia" w:ascii="Times New Roman" w:hAnsi="Times New Roman" w:eastAsia="仿宋_GB2312" w:cs="Times New Roman"/>
          <w:kern w:val="0"/>
          <w:sz w:val="32"/>
          <w:szCs w:val="32"/>
          <w:highlight w:val="none"/>
          <w:lang w:bidi="en-US"/>
        </w:rPr>
        <w:t>实施单位（公章）：乌鲁木齐市水磨沟区振安街片区管理委员会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ascii="Times New Roman" w:hAnsi="Times New Roman" w:eastAsia="仿宋_GB2312" w:cs="Times New Roman"/>
          <w:kern w:val="0"/>
          <w:sz w:val="32"/>
          <w:szCs w:val="32"/>
          <w:highlight w:val="none"/>
          <w:lang w:bidi="en-US"/>
        </w:rPr>
      </w:pPr>
      <w:r>
        <w:rPr>
          <w:rFonts w:hint="eastAsia" w:ascii="Times New Roman" w:hAnsi="Times New Roman" w:eastAsia="仿宋_GB2312" w:cs="Times New Roman"/>
          <w:kern w:val="0"/>
          <w:sz w:val="32"/>
          <w:szCs w:val="32"/>
          <w:highlight w:val="none"/>
          <w:lang w:bidi="en-US"/>
        </w:rPr>
        <w:t>主管部门（公章）：乌鲁木齐市水磨沟区振安街片区管理委员会</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hint="eastAsia" w:ascii="Times New Roman" w:hAnsi="Times New Roman" w:eastAsia="仿宋_GB2312" w:cs="Times New Roman"/>
          <w:kern w:val="0"/>
          <w:sz w:val="32"/>
          <w:szCs w:val="32"/>
          <w:highlight w:val="none"/>
          <w:lang w:bidi="en-US"/>
        </w:rPr>
      </w:pPr>
      <w:r>
        <w:rPr>
          <w:rFonts w:hint="eastAsia" w:ascii="Times New Roman" w:hAnsi="Times New Roman" w:eastAsia="仿宋_GB2312" w:cs="Times New Roman"/>
          <w:kern w:val="0"/>
          <w:sz w:val="32"/>
          <w:szCs w:val="32"/>
          <w:highlight w:val="none"/>
          <w:lang w:bidi="en-US"/>
        </w:rPr>
        <w:t>项目负责人（签章）：高歌</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425" w:leftChars="0" w:hanging="425" w:firstLineChars="0"/>
        <w:jc w:val="both"/>
        <w:textAlignment w:val="auto"/>
        <w:rPr>
          <w:rFonts w:ascii="Times New Roman" w:hAnsi="Times New Roman" w:eastAsia="仿宋_GB2312" w:cs="Times New Roman"/>
          <w:kern w:val="0"/>
          <w:sz w:val="32"/>
          <w:szCs w:val="32"/>
          <w:highlight w:val="none"/>
          <w:lang w:bidi="en-US"/>
        </w:rPr>
      </w:pPr>
      <w:r>
        <w:rPr>
          <w:rFonts w:hint="eastAsia" w:ascii="Times New Roman" w:hAnsi="Times New Roman" w:eastAsia="仿宋_GB2312" w:cs="Times New Roman"/>
          <w:kern w:val="0"/>
          <w:sz w:val="32"/>
          <w:szCs w:val="32"/>
          <w:highlight w:val="none"/>
          <w:lang w:bidi="en-US"/>
        </w:rPr>
        <w:t>填报时间：2023年05月06日</w:t>
      </w:r>
    </w:p>
    <w:p>
      <w:pPr>
        <w:pageBreakBefore w:val="0"/>
        <w:widowControl w:val="0"/>
        <w:kinsoku/>
        <w:wordWrap/>
        <w:overflowPunct/>
        <w:topLinePunct w:val="0"/>
        <w:autoSpaceDE/>
        <w:autoSpaceDN/>
        <w:bidi w:val="0"/>
        <w:adjustRightInd/>
        <w:snapToGrid/>
        <w:spacing w:line="560" w:lineRule="exact"/>
        <w:ind w:firstLine="708" w:firstLineChars="236"/>
        <w:jc w:val="left"/>
        <w:textAlignment w:val="auto"/>
        <w:rPr>
          <w:rFonts w:hAnsi="宋体" w:eastAsia="仿宋_GB2312" w:cs="宋体"/>
          <w:kern w:val="0"/>
          <w:sz w:val="30"/>
          <w:szCs w:val="30"/>
        </w:rPr>
      </w:pPr>
    </w:p>
    <w:p>
      <w:pPr>
        <w:pageBreakBefore w:val="0"/>
        <w:widowControl w:val="0"/>
        <w:kinsoku/>
        <w:wordWrap/>
        <w:overflowPunct/>
        <w:topLinePunct w:val="0"/>
        <w:autoSpaceDE/>
        <w:autoSpaceDN/>
        <w:bidi w:val="0"/>
        <w:adjustRightInd/>
        <w:snapToGrid/>
        <w:spacing w:line="560" w:lineRule="exact"/>
        <w:textAlignment w:val="auto"/>
        <w:rPr>
          <w:rStyle w:val="18"/>
          <w:rFonts w:ascii="黑体" w:hAnsi="黑体" w:eastAsia="黑体"/>
          <w:b w:val="0"/>
          <w:spacing w:val="-4"/>
          <w:sz w:val="32"/>
          <w:szCs w:val="32"/>
        </w:rPr>
      </w:pPr>
    </w:p>
    <w:p>
      <w:pPr>
        <w:pStyle w:val="2"/>
        <w:keepLines/>
        <w:pageBreakBefore w:val="0"/>
        <w:widowControl w:val="0"/>
        <w:kinsoku/>
        <w:wordWrap/>
        <w:overflowPunct/>
        <w:topLinePunct w:val="0"/>
        <w:autoSpaceDE/>
        <w:autoSpaceDN/>
        <w:bidi w:val="0"/>
        <w:adjustRightInd/>
        <w:snapToGrid/>
        <w:spacing w:before="340" w:after="330" w:line="560" w:lineRule="exact"/>
        <w:ind w:firstLine="723" w:firstLineChars="200"/>
        <w:jc w:val="left"/>
        <w:textAlignment w:val="auto"/>
        <w:rPr>
          <w:rFonts w:ascii="Times New Roman" w:hAnsi="Times New Roman" w:eastAsia="仿宋" w:cs="Times New Roman"/>
          <w:kern w:val="44"/>
          <w:sz w:val="36"/>
          <w:szCs w:val="36"/>
          <w:highlight w:val="none"/>
          <w:lang w:bidi="en-US"/>
        </w:rPr>
      </w:pPr>
      <w:r>
        <w:rPr>
          <w:rFonts w:hint="eastAsia" w:ascii="Times New Roman" w:hAnsi="Times New Roman" w:eastAsia="仿宋" w:cs="Times New Roman"/>
          <w:kern w:val="44"/>
          <w:sz w:val="36"/>
          <w:szCs w:val="36"/>
          <w:highlight w:val="none"/>
          <w:lang w:bidi="en-US"/>
        </w:rPr>
        <w:t>一、基本情况</w:t>
      </w: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Style w:val="18"/>
          <w:rFonts w:hint="eastAsia" w:ascii="楷体" w:hAnsi="楷体" w:eastAsia="楷体"/>
          <w:b w:val="0"/>
          <w:bCs w:val="0"/>
          <w:spacing w:val="-4"/>
          <w:sz w:val="32"/>
          <w:szCs w:val="32"/>
        </w:rPr>
      </w:pPr>
      <w:r>
        <w:rPr>
          <w:rStyle w:val="18"/>
          <w:rFonts w:hint="eastAsia" w:ascii="楷体" w:hAnsi="楷体" w:eastAsia="楷体"/>
          <w:b w:val="0"/>
          <w:bCs w:val="0"/>
          <w:spacing w:val="-4"/>
          <w:sz w:val="32"/>
          <w:szCs w:val="32"/>
        </w:rPr>
        <w:t>（一）项目概况：</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根据2022年水磨沟区十七届人大二次会议审议通过2022年预算以及《关于下达2022年水磨沟区部门预算的通知》（水财发【2022】1号）文件精神，我单位设立临聘人员经费项目。</w:t>
      </w:r>
      <w:r>
        <w:rPr>
          <w:rFonts w:hint="eastAsia" w:ascii="Times New Roman" w:hAnsi="Times New Roman" w:eastAsia="仿宋_GB2312" w:cs="Times New Roman"/>
          <w:sz w:val="28"/>
          <w:szCs w:val="28"/>
          <w:highlight w:val="none"/>
        </w:rPr>
        <w:cr/>
      </w:r>
      <w:r>
        <w:rPr>
          <w:rFonts w:hint="eastAsia" w:ascii="Times New Roman" w:hAnsi="Times New Roman" w:eastAsia="仿宋_GB2312" w:cs="Times New Roman"/>
          <w:sz w:val="28"/>
          <w:szCs w:val="28"/>
          <w:highlight w:val="none"/>
        </w:rPr>
        <w:t>临聘人员经费项目主要用于保障我单位转聘人员105人、公岗283人、保洁员287人，共计临聘人员675人的工资、社保、绩效、管理费的缴纳发放。街道业务繁重，为了增加街道的办事效率，提高办事水平，维护社会稳定，建设健康有序、互动良好、专业有效的社会环境、居住环境和生态环境，根据振安街街道办事处实际情况，我单位按照相关制度办法录用上述临聘人员辅助日常工作，提升工作效率。在项目执行期间，我单位加强临时聘用人员管理，强调绩效考核，充分落实每季度一次的考核，形成内部的良性竞争氛围，激发工作热情，实现本年工作目标。</w:t>
      </w:r>
      <w:r>
        <w:rPr>
          <w:rFonts w:hint="eastAsia" w:ascii="Times New Roman" w:hAnsi="Times New Roman" w:eastAsia="仿宋_GB2312" w:cs="Times New Roman"/>
          <w:sz w:val="28"/>
          <w:szCs w:val="28"/>
          <w:highlight w:val="none"/>
        </w:rPr>
        <w:cr/>
      </w:r>
      <w:r>
        <w:rPr>
          <w:rFonts w:hint="eastAsia"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经区十七届人大二次会议审议通过2022年预算以及《关于下达2022年</w:t>
      </w:r>
      <w:r>
        <w:rPr>
          <w:rFonts w:hint="eastAsia"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水磨沟区部门预算的通知》（水财发【2022】1号）文件精神，下达了2022年临时聘用人员经费。2022年临聘人员经费项目系2022年年中追加的区本级资金，安排预算额度830.15万元，于2022年年中追加部分预算批复项目，资金到位情况830.15万元，全部支付完毕，评价期间未对资金进行调增、调减。</w:t>
      </w: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hint="eastAsia" w:ascii="仿宋" w:hAnsi="仿宋" w:eastAsia="仿宋" w:cs="仿宋"/>
          <w:spacing w:val="-4"/>
          <w:sz w:val="32"/>
          <w:szCs w:val="32"/>
        </w:rPr>
      </w:pPr>
      <w:r>
        <w:rPr>
          <w:rStyle w:val="18"/>
          <w:rFonts w:hint="eastAsia" w:ascii="仿宋" w:hAnsi="仿宋" w:eastAsia="仿宋" w:cs="仿宋"/>
          <w:spacing w:val="-4"/>
          <w:sz w:val="32"/>
          <w:szCs w:val="32"/>
        </w:rPr>
        <w:t>（二）项目绩效目标</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Times New Roman" w:hAnsi="Times New Roman" w:eastAsia="仿宋_GB2312" w:cs="Times New Roman"/>
          <w:sz w:val="28"/>
          <w:szCs w:val="28"/>
          <w:highlight w:val="none"/>
        </w:rPr>
      </w:pPr>
      <w:r>
        <w:rPr>
          <w:rFonts w:hint="eastAsia" w:ascii="Times New Roman" w:hAnsi="Times New Roman" w:eastAsia="仿宋_GB2312" w:cs="Times New Roman"/>
          <w:sz w:val="28"/>
          <w:szCs w:val="28"/>
          <w:highlight w:val="none"/>
        </w:rPr>
        <w:t>本项目依据《中共中央国务院关于全面实施预算绩效管理的意见》（中发〔2018〕34号）、《关于印发&lt;乌鲁木齐市本级部门预算绩效目标管理暂行办法&gt;的通知》（乌财预〔2018〕56号）、《关于做好2019年部门预算项目支出绩效目标管理有关事宜的通知》（乌财预〔2018〕76号）和《项目支出绩效评价管理办法》（财预〔2020〕10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r>
        <w:rPr>
          <w:rFonts w:hint="eastAsia" w:ascii="Times New Roman" w:hAnsi="Times New Roman" w:eastAsia="仿宋_GB2312" w:cs="Times New Roman"/>
          <w:sz w:val="28"/>
          <w:szCs w:val="28"/>
          <w:highlight w:val="none"/>
        </w:rPr>
        <w:cr/>
      </w:r>
      <w:r>
        <w:rPr>
          <w:rFonts w:hint="eastAsia" w:eastAsia="仿宋_GB2312" w:cs="Times New Roman"/>
          <w:sz w:val="28"/>
          <w:szCs w:val="28"/>
          <w:highlight w:val="none"/>
          <w:lang w:val="en-US" w:eastAsia="zh-CN"/>
        </w:rPr>
        <w:t xml:space="preserve">  </w:t>
      </w:r>
      <w:r>
        <w:rPr>
          <w:rFonts w:hint="eastAsia" w:ascii="Times New Roman" w:hAnsi="Times New Roman" w:eastAsia="仿宋_GB2312" w:cs="Times New Roman"/>
          <w:sz w:val="28"/>
          <w:szCs w:val="28"/>
          <w:highlight w:val="none"/>
        </w:rPr>
        <w:t>该项目为经常性项目，每年都会依据临聘人员实际需求，来编制预算，用以覆盖本年度临聘人员的工资、社保、绩效、管理费。在此次评价期间内，计划完成临聘人员工资社保的发放缴纳，补充我辖区工作人员队伍，保障工作人员工作积极性，提高工作效率，更好地开展民生保障、疫情防控、社区管理、民族团结、综合治理、安全生产、计划生育等各项工作。</w:t>
      </w:r>
    </w:p>
    <w:p>
      <w:pPr>
        <w:pageBreakBefore w:val="0"/>
        <w:widowControl w:val="0"/>
        <w:kinsoku/>
        <w:wordWrap/>
        <w:overflowPunct/>
        <w:topLinePunct w:val="0"/>
        <w:autoSpaceDE/>
        <w:autoSpaceDN/>
        <w:bidi w:val="0"/>
        <w:adjustRightInd/>
        <w:snapToGrid/>
        <w:spacing w:line="560" w:lineRule="exact"/>
        <w:ind w:firstLine="640"/>
        <w:textAlignment w:val="auto"/>
        <w:rPr>
          <w:rStyle w:val="18"/>
          <w:rFonts w:hint="eastAsia" w:ascii="仿宋" w:hAnsi="仿宋" w:eastAsia="仿宋" w:cs="仿宋"/>
          <w:b/>
          <w:bCs w:val="0"/>
          <w:spacing w:val="-4"/>
          <w:sz w:val="36"/>
          <w:szCs w:val="36"/>
        </w:rPr>
      </w:pPr>
      <w:r>
        <w:rPr>
          <w:rStyle w:val="18"/>
          <w:rFonts w:hint="eastAsia" w:ascii="仿宋" w:hAnsi="仿宋" w:eastAsia="仿宋" w:cs="仿宋"/>
          <w:b/>
          <w:bCs w:val="0"/>
          <w:spacing w:val="-4"/>
          <w:sz w:val="36"/>
          <w:szCs w:val="36"/>
        </w:rPr>
        <w:t>二、绩效评价工作开展情况</w:t>
      </w:r>
    </w:p>
    <w:p>
      <w:pPr>
        <w:pageBreakBefore w:val="0"/>
        <w:widowControl w:val="0"/>
        <w:kinsoku/>
        <w:wordWrap/>
        <w:overflowPunct/>
        <w:topLinePunct w:val="0"/>
        <w:autoSpaceDE/>
        <w:autoSpaceDN/>
        <w:bidi w:val="0"/>
        <w:adjustRightInd/>
        <w:snapToGrid/>
        <w:spacing w:line="560" w:lineRule="exact"/>
        <w:ind w:firstLine="567" w:firstLineChars="181"/>
        <w:textAlignment w:val="auto"/>
        <w:rPr>
          <w:rStyle w:val="18"/>
          <w:rFonts w:ascii="楷体" w:hAnsi="楷体" w:eastAsia="楷体"/>
          <w:spacing w:val="-4"/>
          <w:sz w:val="32"/>
          <w:szCs w:val="32"/>
        </w:rPr>
      </w:pPr>
      <w:r>
        <w:rPr>
          <w:rStyle w:val="18"/>
          <w:rFonts w:hint="eastAsia" w:ascii="楷体" w:hAnsi="楷体" w:eastAsia="楷体"/>
          <w:spacing w:val="-4"/>
          <w:sz w:val="32"/>
          <w:szCs w:val="32"/>
        </w:rPr>
        <w:t>（一）绩效评价目的、对象和范围</w:t>
      </w:r>
    </w:p>
    <w:p>
      <w:pPr>
        <w:pageBreakBefore w:val="0"/>
        <w:widowControl w:val="0"/>
        <w:kinsoku/>
        <w:wordWrap/>
        <w:overflowPunct/>
        <w:topLinePunct w:val="0"/>
        <w:autoSpaceDE/>
        <w:autoSpaceDN/>
        <w:bidi w:val="0"/>
        <w:adjustRightInd/>
        <w:snapToGrid/>
        <w:spacing w:line="560" w:lineRule="exact"/>
        <w:ind w:left="638" w:leftChars="304" w:firstLine="0" w:firstLineChars="0"/>
        <w:textAlignment w:val="auto"/>
        <w:rPr>
          <w:rFonts w:hint="eastAsia" w:ascii="Times New Roman" w:hAnsi="Times New Roman" w:eastAsia="仿宋" w:cs="Times New Roman"/>
          <w:b/>
          <w:bCs/>
          <w:i w:val="0"/>
          <w:iCs w:val="0"/>
          <w:kern w:val="2"/>
          <w:sz w:val="32"/>
          <w:szCs w:val="32"/>
          <w:highlight w:val="none"/>
          <w:lang w:val="en-US" w:eastAsia="zh-CN" w:bidi="en-US"/>
        </w:rPr>
      </w:pPr>
      <w:r>
        <w:rPr>
          <w:rFonts w:hint="eastAsia" w:ascii="Times New Roman" w:hAnsi="Times New Roman" w:eastAsia="仿宋" w:cs="Times New Roman"/>
          <w:b/>
          <w:bCs/>
          <w:i w:val="0"/>
          <w:iCs w:val="0"/>
          <w:kern w:val="2"/>
          <w:sz w:val="32"/>
          <w:szCs w:val="32"/>
          <w:highlight w:val="none"/>
          <w:lang w:val="en-US" w:eastAsia="zh-CN" w:bidi="en-US"/>
        </w:rPr>
        <w:t>（一）绩效评价目的、对象和范围</w:t>
      </w:r>
    </w:p>
    <w:p>
      <w:pPr>
        <w:pageBreakBefore w:val="0"/>
        <w:widowControl w:val="0"/>
        <w:kinsoku/>
        <w:wordWrap/>
        <w:overflowPunct/>
        <w:topLinePunct w:val="0"/>
        <w:autoSpaceDE/>
        <w:autoSpaceDN/>
        <w:bidi w:val="0"/>
        <w:adjustRightInd/>
        <w:snapToGrid/>
        <w:spacing w:line="560" w:lineRule="exact"/>
        <w:ind w:firstLine="567"/>
        <w:textAlignment w:val="auto"/>
        <w:rPr>
          <w:rFonts w:hint="eastAsia" w:ascii="Times New Roman" w:hAnsi="Times New Roman" w:eastAsia="仿宋_GB2312" w:cs="Times New Roman"/>
          <w:sz w:val="28"/>
          <w:szCs w:val="28"/>
          <w:highlight w:val="none"/>
          <w:lang w:val="en-US" w:eastAsia="zh-CN"/>
        </w:rPr>
      </w:pPr>
      <w:r>
        <w:rPr>
          <w:rFonts w:hint="eastAsia" w:ascii="Times New Roman" w:hAnsi="Times New Roman" w:eastAsia="仿宋_GB2312" w:cs="Times New Roman"/>
          <w:sz w:val="28"/>
          <w:szCs w:val="28"/>
          <w:highlight w:val="none"/>
          <w:lang w:val="en-US" w:eastAsia="zh-CN"/>
        </w:rPr>
        <w:t>1.评价目的</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Style w:val="18"/>
          <w:rFonts w:hint="eastAsia" w:ascii="楷体" w:hAnsi="楷体" w:eastAsia="楷体"/>
          <w:b w:val="0"/>
          <w:bCs w:val="0"/>
          <w:spacing w:val="-4"/>
          <w:sz w:val="32"/>
          <w:szCs w:val="32"/>
        </w:rPr>
      </w:pPr>
      <w:r>
        <w:rPr>
          <w:rFonts w:hint="eastAsia" w:ascii="Times New Roman" w:hAnsi="Times New Roman" w:eastAsia="仿宋_GB2312" w:cs="Times New Roman"/>
          <w:sz w:val="28"/>
          <w:szCs w:val="28"/>
          <w:highlight w:val="none"/>
        </w:rPr>
        <w:t>本项工作旨在落实《中共中央 国务院关于全面实施预算绩效管理的意见》（中发〔2018〕34号）文件精神，全面推进预算绩效管理工作，落实预算执行及绩效管理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Times New Roman" w:hAnsi="Times New Roman" w:eastAsia="仿宋_GB2312" w:cs="Times New Roman"/>
          <w:sz w:val="28"/>
          <w:szCs w:val="28"/>
          <w:highlight w:val="none"/>
        </w:rPr>
        <w:t>主体责任。具体而言包括以下两点：（1）通过对项目设立的背景、意义、项目内容、项目现状及绩效目标、资金投入、资金管理、组织实施、数量指标、质量指标、时效指标、成本指标和效益指标等进行深入调研和分析，进一步了解财政委托审计费项目实施情况，并考察项目实施过程和效果。（2）通过评价，客观公正反映项目立项科学性、项目管理规范性、项目实施有效性和项目效果，总结项目实施的经验，发现项目实施过程中存在的问题，提出合理化建议，为完善项目管理和相关部门决策提供参考依据，并提高财政资金使用效益。</w:t>
      </w:r>
      <w:r>
        <w:rPr>
          <w:rFonts w:hint="eastAsia" w:ascii="Times New Roman" w:hAnsi="Times New Roman" w:eastAsia="仿宋_GB2312" w:cs="Times New Roman"/>
          <w:sz w:val="28"/>
          <w:szCs w:val="28"/>
          <w:highlight w:val="none"/>
        </w:rPr>
        <w:cr/>
      </w:r>
      <w:r>
        <w:rPr>
          <w:rFonts w:hint="eastAsia" w:eastAsia="仿宋_GB2312" w:cs="Times New Roman"/>
          <w:sz w:val="28"/>
          <w:szCs w:val="28"/>
          <w:highlight w:val="none"/>
          <w:lang w:val="en-US" w:eastAsia="zh-CN"/>
        </w:rPr>
        <w:t xml:space="preserve">  </w:t>
      </w:r>
      <w:r>
        <w:rPr>
          <w:rFonts w:hint="eastAsia" w:ascii="Times New Roman" w:hAnsi="Times New Roman" w:eastAsia="仿宋_GB2312" w:cs="Times New Roman"/>
          <w:b/>
          <w:bCs/>
          <w:kern w:val="2"/>
          <w:sz w:val="32"/>
          <w:szCs w:val="32"/>
          <w:highlight w:val="none"/>
          <w:lang w:val="en-US" w:eastAsia="zh-CN" w:bidi="ar-SA"/>
        </w:rPr>
        <w:t>2.评价对象和范围</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Times New Roman" w:hAnsi="Times New Roman" w:eastAsia="仿宋_GB2312" w:cs="Times New Roman"/>
          <w:sz w:val="28"/>
          <w:szCs w:val="22"/>
          <w:highlight w:val="none"/>
        </w:rPr>
        <w:t xml:space="preserve">（1）绩效评价的对象：2022年临聘人员经费项目 </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（2）绩效评价范围：</w:t>
      </w:r>
      <w:r>
        <w:rPr>
          <w:rStyle w:val="18"/>
          <w:rFonts w:hint="eastAsia" w:ascii="楷体" w:hAnsi="楷体" w:eastAsia="楷体"/>
          <w:b w:val="0"/>
          <w:bCs w:val="0"/>
          <w:spacing w:val="-4"/>
          <w:sz w:val="32"/>
          <w:szCs w:val="32"/>
        </w:rPr>
        <w:cr/>
      </w:r>
      <w:r>
        <w:rPr>
          <w:rFonts w:hint="eastAsia" w:ascii="Times New Roman" w:hAnsi="Times New Roman"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1.项目范围：2022年临聘人员经费的完成情况、资金投入的运行情况、项目实施后产生的绩效及影响效果。</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2.时间范围：2022年1月1日至2022年12月31日。</w:t>
      </w:r>
    </w:p>
    <w:p>
      <w:pPr>
        <w:keepNext w:val="0"/>
        <w:keepLines w:val="0"/>
        <w:pageBreakBefore w:val="0"/>
        <w:widowControl w:val="0"/>
        <w:kinsoku/>
        <w:wordWrap/>
        <w:overflowPunct/>
        <w:topLinePunct w:val="0"/>
        <w:autoSpaceDE/>
        <w:autoSpaceDN/>
        <w:bidi w:val="0"/>
        <w:adjustRightInd/>
        <w:snapToGrid/>
        <w:spacing w:line="560" w:lineRule="exact"/>
        <w:ind w:firstLine="627" w:firstLineChars="200"/>
        <w:textAlignment w:val="auto"/>
        <w:rPr>
          <w:rStyle w:val="18"/>
          <w:rFonts w:hint="eastAsia" w:ascii="仿宋" w:hAnsi="仿宋" w:eastAsia="仿宋" w:cs="仿宋"/>
          <w:spacing w:val="-4"/>
          <w:sz w:val="32"/>
          <w:szCs w:val="32"/>
        </w:rPr>
      </w:pPr>
      <w:r>
        <w:rPr>
          <w:rStyle w:val="18"/>
          <w:rFonts w:hint="eastAsia" w:ascii="仿宋" w:hAnsi="仿宋" w:eastAsia="仿宋" w:cs="仿宋"/>
          <w:spacing w:val="-4"/>
          <w:sz w:val="32"/>
          <w:szCs w:val="32"/>
        </w:rPr>
        <w:t>（二）绩效评价原则、评价指标体系、评价方法、评价标准</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2"/>
          <w:highlight w:val="none"/>
        </w:rPr>
      </w:pPr>
      <w:r>
        <w:rPr>
          <w:rFonts w:hint="eastAsia" w:ascii="Times New Roman" w:hAnsi="Times New Roman" w:eastAsia="仿宋_GB2312" w:cs="Times New Roman"/>
          <w:sz w:val="28"/>
          <w:szCs w:val="22"/>
          <w:highlight w:val="none"/>
        </w:rPr>
        <w:t>1.评价原则</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rPr>
        <w:t>（1）科学规范原则：绩效评价应当严格执行规定的程序，按照科学可行的要求，采用定量与定性分析相结合的方法。</w:t>
      </w:r>
      <w:r>
        <w:rPr>
          <w:rFonts w:hint="eastAsia" w:ascii="Times New Roman" w:hAnsi="Times New Roman" w:eastAsia="仿宋_GB2312" w:cs="Times New Roman"/>
          <w:sz w:val="28"/>
          <w:szCs w:val="22"/>
          <w:highlight w:val="none"/>
        </w:rPr>
        <w:cr/>
      </w:r>
      <w:r>
        <w:rPr>
          <w:rFonts w:hint="eastAsia" w:ascii="Times New Roman" w:hAnsi="Times New Roman"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（2）公正公开原则：绩效评价应当符合真实、客观、公正的要求，依法公开并接受监督。</w:t>
      </w:r>
      <w:r>
        <w:rPr>
          <w:rFonts w:hint="eastAsia" w:ascii="Times New Roman" w:hAnsi="Times New Roman" w:eastAsia="仿宋_GB2312" w:cs="Times New Roman"/>
          <w:sz w:val="28"/>
          <w:szCs w:val="22"/>
          <w:highlight w:val="none"/>
        </w:rPr>
        <w:cr/>
      </w:r>
      <w:r>
        <w:rPr>
          <w:rFonts w:hint="eastAsia" w:ascii="Times New Roman" w:hAnsi="Times New Roman"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（3）分级分类原则：根据评价对象特点分类组织实施。</w:t>
      </w:r>
      <w:r>
        <w:rPr>
          <w:rFonts w:hint="eastAsia" w:ascii="Times New Roman" w:hAnsi="Times New Roman" w:eastAsia="仿宋_GB2312" w:cs="Times New Roman"/>
          <w:sz w:val="28"/>
          <w:szCs w:val="22"/>
          <w:highlight w:val="none"/>
        </w:rPr>
        <w:cr/>
      </w:r>
      <w:r>
        <w:rPr>
          <w:rFonts w:hint="eastAsia" w:ascii="Times New Roman" w:hAnsi="Times New Roman"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（4）绩效相关原则：绩效评价应当针对具体支出及其产出绩效进行，评价结果应当清晰反映支出和产出绩效之间的紧密对应关系。</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ascii="Times New Roman" w:hAnsi="Times New Roman" w:eastAsia="仿宋_GB2312" w:cs="Times New Roman"/>
          <w:sz w:val="28"/>
          <w:szCs w:val="22"/>
          <w:highlight w:val="none"/>
        </w:rPr>
        <w:t>根据以上原则，绩效评价应遵循如下要求：</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（1）在数据收集时，采取客观数据，并结合问卷调查结果，以保证各项指标的真实性。</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（2）保证评价结果的真实性、公正性，提高评价报告的公信力。</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（3）绩效评价报告应当简明扼要，除了对绩效评价的过程、结果描述外，还应总结经验，指出问题，并就项目实施过程中所存在的问题提出可操作性改进建议。</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2.评价指标体系</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绩效评价指标体系作为衡量绩效目标实现程度的考核工具，一般遵循以下原则：</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（1）相关性原则：绩效评价指标应当与绩效目标有直接的联系，能够恰当反映目标的实现程度。</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（2）重要性原则：应当优先使用最具评价对象代表性、最能反映评价要求的核心指标。</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（3）可比性原则：对同类评价对象要设定共性的绩效评价指标，以便于评价结果可以相互比较。</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（4）系统性原则：绩效评价指标的设置应当将定量指标与定性指标相结合，能系统反映财政支出所产生的社会效益、经济效益和可持续影响等。</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rPr>
        <w:t>（5）经济性原则：绩效评价指标设计应当通俗易懂、简便易行，数据的获得应当考虑现实条件和可操作性，符合成本效益原则。</w:t>
      </w:r>
      <w:r>
        <w:rPr>
          <w:rFonts w:hint="eastAsia" w:ascii="Times New Roman" w:hAnsi="Times New Roman" w:eastAsia="仿宋_GB2312" w:cs="Times New Roman"/>
          <w:sz w:val="28"/>
          <w:szCs w:val="22"/>
          <w:highlight w:val="none"/>
        </w:rPr>
        <w:cr/>
      </w:r>
      <w:r>
        <w:rPr>
          <w:rFonts w:hint="eastAsia" w:eastAsia="仿宋_GB2312" w:cs="Times New Roman"/>
          <w:sz w:val="28"/>
          <w:szCs w:val="22"/>
          <w:highlight w:val="none"/>
          <w:lang w:val="en-US" w:eastAsia="zh-CN"/>
        </w:rPr>
        <w:t xml:space="preserve">  </w:t>
      </w:r>
      <w:r>
        <w:rPr>
          <w:rStyle w:val="18"/>
          <w:rFonts w:hint="eastAsia" w:ascii="楷体" w:hAnsi="楷体" w:eastAsia="楷体"/>
          <w:b w:val="0"/>
          <w:bCs w:val="0"/>
          <w:spacing w:val="-4"/>
          <w:sz w:val="32"/>
          <w:szCs w:val="32"/>
          <w:lang w:val="en-US" w:eastAsia="zh-CN"/>
        </w:rPr>
        <w:t xml:space="preserve"> </w:t>
      </w:r>
      <w:r>
        <w:rPr>
          <w:rFonts w:hint="eastAsia" w:ascii="Times New Roman" w:hAnsi="Times New Roman" w:eastAsia="仿宋_GB2312" w:cs="Times New Roman"/>
          <w:sz w:val="28"/>
          <w:szCs w:val="22"/>
          <w:highlight w:val="none"/>
        </w:rPr>
        <w:t>3.评价方法</w:t>
      </w:r>
      <w:r>
        <w:rPr>
          <w:rStyle w:val="18"/>
          <w:rFonts w:hint="eastAsia" w:ascii="楷体" w:hAnsi="楷体" w:eastAsia="楷体"/>
          <w:b w:val="0"/>
          <w:bCs w:val="0"/>
          <w:spacing w:val="-4"/>
          <w:sz w:val="32"/>
          <w:szCs w:val="32"/>
        </w:rPr>
        <w:cr/>
      </w:r>
      <w:r>
        <w:rPr>
          <w:rFonts w:hint="eastAsia" w:ascii="Times New Roman" w:hAnsi="Times New Roman" w:eastAsia="仿宋_GB2312" w:cs="Times New Roman"/>
          <w:sz w:val="28"/>
          <w:szCs w:val="22"/>
          <w:highlight w:val="none"/>
          <w:lang w:val="en-US" w:eastAsia="zh-CN"/>
        </w:rPr>
        <w:t>《关于印发&lt;项目支出绩效评价管理办法&gt;的通知》（财预〔2020〕10号）文件指出部门评价的方法主要包括成本效益分析法、公众评判法等。</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lang w:val="en-US" w:eastAsia="zh-CN"/>
        </w:rPr>
        <w:t>（1）成本效益分析法。是指将投入与产出、效益进行关联性分析的方法。</w:t>
      </w:r>
    </w:p>
    <w:p>
      <w:pPr>
        <w:keepNext w:val="0"/>
        <w:keepLines w:val="0"/>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lang w:val="en-US" w:eastAsia="zh-CN"/>
        </w:rPr>
        <w:t>（2）公众评判法。是指通过专家评估、公众问卷及抽样调查等方式进行评判的方法。</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根据本项目（2022年临聘人员经费）的特点，本次评价主要采用成本效益分析法和公众评判法，对项目总预算和明细预算的内容、标准、计划是否经济合理进行深入分析，以考察实际产出和效益是否达到预期。</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 xml:space="preserve"> 4.评价标准</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 xml:space="preserve">  绩效评价标准主要包括计划标准、行业标准、历史标准等，用于对绩效指标完成情况进行比较。</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（1）计划标准。指以预先制定的目标、计划、预算、定额等作为评价标准。</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（2）行业标准。指参照国家公布的行业指标数据制定的评价标准。</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（3）历史标准。指参照历史数据制定的评价标准，为体现绩效改进的原则，在可实现的条件下应当确定相对较高的评价标准。</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在上述评价标准的基础上，本次评价依据以下文件为重要指导和准绳：</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《中共中央国务院关于全面实施预算绩效管理的意见》（中发〔2018〕34号）</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《关于印发&lt;乌鲁木齐市本级部门预算绩效目标管理暂行办法&gt;的通知》（乌财预〔2018〕56号）</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《关于做好2019年部门预算项目支出绩效目标管理有关事宜的通知》（乌财预〔2018〕76号）</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《项目支出绩效评价管理办法》（财预〔2020〕10号）</w:t>
      </w:r>
    </w:p>
    <w:p>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Times New Roman" w:hAnsi="Times New Roman" w:eastAsia="仿宋" w:cs="Times New Roman"/>
          <w:b/>
          <w:bCs/>
          <w:i w:val="0"/>
          <w:iCs w:val="0"/>
          <w:kern w:val="2"/>
          <w:sz w:val="36"/>
          <w:szCs w:val="36"/>
          <w:highlight w:val="none"/>
          <w:lang w:val="en-US" w:eastAsia="zh-CN" w:bidi="en-US"/>
        </w:rPr>
      </w:pPr>
      <w:r>
        <w:rPr>
          <w:rFonts w:hint="eastAsia" w:ascii="Times New Roman" w:hAnsi="Times New Roman" w:eastAsia="仿宋" w:cs="Times New Roman"/>
          <w:b/>
          <w:bCs/>
          <w:i w:val="0"/>
          <w:iCs w:val="0"/>
          <w:kern w:val="2"/>
          <w:sz w:val="36"/>
          <w:szCs w:val="36"/>
          <w:highlight w:val="none"/>
          <w:lang w:val="en-US" w:eastAsia="zh-CN" w:bidi="en-US"/>
        </w:rPr>
        <w:t>（三）绩效评价工作过程</w:t>
      </w:r>
    </w:p>
    <w:p>
      <w:pPr>
        <w:keepNext w:val="0"/>
        <w:keepLines w:val="0"/>
        <w:pageBreakBefore w:val="0"/>
        <w:widowControl w:val="0"/>
        <w:kinsoku/>
        <w:wordWrap/>
        <w:overflowPunct/>
        <w:topLinePunct w:val="0"/>
        <w:autoSpaceDE/>
        <w:autoSpaceDN/>
        <w:bidi w:val="0"/>
        <w:adjustRightInd/>
        <w:snapToGrid w:val="0"/>
        <w:spacing w:line="560" w:lineRule="exact"/>
        <w:ind w:firstLine="560" w:firstLineChars="200"/>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lang w:val="en-US" w:eastAsia="zh-CN"/>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 、材料审核分析、现场核查评价、综合分析评价及报告撰写，评价项目实施情况，展现资金使用效益。</w:t>
      </w:r>
    </w:p>
    <w:p>
      <w:pPr>
        <w:pStyle w:val="2"/>
        <w:keepLines/>
        <w:pageBreakBefore w:val="0"/>
        <w:widowControl w:val="0"/>
        <w:kinsoku/>
        <w:wordWrap/>
        <w:overflowPunct/>
        <w:topLinePunct w:val="0"/>
        <w:autoSpaceDE/>
        <w:autoSpaceDN/>
        <w:bidi w:val="0"/>
        <w:adjustRightInd/>
        <w:snapToGrid/>
        <w:spacing w:before="0" w:after="0" w:line="560" w:lineRule="exact"/>
        <w:jc w:val="left"/>
        <w:textAlignment w:val="auto"/>
        <w:rPr>
          <w:rFonts w:ascii="Times New Roman" w:hAnsi="Times New Roman" w:eastAsia="仿宋" w:cs="Times New Roman"/>
          <w:kern w:val="44"/>
          <w:sz w:val="36"/>
          <w:szCs w:val="36"/>
          <w:highlight w:val="none"/>
          <w:lang w:bidi="en-US"/>
        </w:rPr>
      </w:pPr>
      <w:r>
        <w:rPr>
          <w:rFonts w:hint="eastAsia" w:ascii="Times New Roman" w:hAnsi="Times New Roman" w:eastAsia="仿宋" w:cs="Times New Roman"/>
          <w:kern w:val="44"/>
          <w:sz w:val="36"/>
          <w:szCs w:val="36"/>
          <w:highlight w:val="none"/>
          <w:lang w:bidi="en-US"/>
        </w:rPr>
        <w:t>三、综合评价情况及评价结论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lang w:val="en-US" w:eastAsia="zh-CN"/>
        </w:rPr>
        <w:t>（一）评价结论</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仿宋_GB2312" w:cs="Times New Roman"/>
          <w:sz w:val="28"/>
          <w:szCs w:val="22"/>
          <w:highlight w:val="none"/>
          <w:lang w:val="en-US" w:eastAsia="zh-CN"/>
        </w:rPr>
      </w:pPr>
      <w:r>
        <w:rPr>
          <w:rFonts w:hint="eastAsia" w:ascii="Times New Roman" w:hAnsi="Times New Roman" w:eastAsia="仿宋_GB2312" w:cs="Times New Roman"/>
          <w:sz w:val="28"/>
          <w:szCs w:val="22"/>
          <w:highlight w:val="none"/>
          <w:lang w:val="en-US" w:eastAsia="zh-CN"/>
        </w:rPr>
        <w:t>结合项目特点，制定符合项目实际的绩效评价指标体系及评分标准，通过数据采集、问卷调查及访谈等形式，对2022年临聘人员经费进行客观评价，最终评分结果为：总分为100分，绩效评级为“优” 。</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项目各部分权重和绩效分值如附表所示：</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（二）主要绩效</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单位在此次评价期间内，有序完成设定目标的工作任务，保证辖区工作的正常开展。主要体现在按时发放缴纳675人的工资、社保、绩效、管理费，保障临聘人员社保足额缴纳、工资及时支付，从而充分调动职工的工作积极性，保障村社区日常工作的有序进行。</w:t>
      </w:r>
    </w:p>
    <w:p>
      <w:pPr>
        <w:pageBreakBefore w:val="0"/>
        <w:widowControl w:val="0"/>
        <w:kinsoku/>
        <w:wordWrap/>
        <w:overflowPunct/>
        <w:topLinePunct w:val="0"/>
        <w:autoSpaceDE/>
        <w:autoSpaceDN/>
        <w:bidi w:val="0"/>
        <w:adjustRightInd/>
        <w:snapToGrid/>
        <w:spacing w:line="560" w:lineRule="exact"/>
        <w:ind w:left="0" w:firstLine="0" w:firstLineChars="0"/>
        <w:textAlignment w:val="auto"/>
        <w:rPr>
          <w:rStyle w:val="18"/>
          <w:rFonts w:hint="eastAsia" w:ascii="仿宋" w:hAnsi="仿宋" w:eastAsia="仿宋" w:cs="仿宋"/>
          <w:b/>
          <w:bCs w:val="0"/>
          <w:sz w:val="36"/>
          <w:szCs w:val="36"/>
        </w:rPr>
      </w:pPr>
      <w:r>
        <w:rPr>
          <w:rStyle w:val="18"/>
          <w:rFonts w:hint="eastAsia" w:ascii="仿宋" w:hAnsi="仿宋" w:eastAsia="仿宋" w:cs="仿宋"/>
          <w:b/>
          <w:bCs w:val="0"/>
          <w:spacing w:val="-4"/>
          <w:sz w:val="36"/>
          <w:szCs w:val="36"/>
        </w:rPr>
        <w:t>四、绩效评价指标分析</w:t>
      </w:r>
      <w:r>
        <w:rPr>
          <w:rStyle w:val="18"/>
          <w:rFonts w:hint="eastAsia" w:ascii="仿宋" w:hAnsi="仿宋" w:eastAsia="仿宋" w:cs="仿宋"/>
          <w:b/>
          <w:bCs w:val="0"/>
          <w:sz w:val="36"/>
          <w:szCs w:val="36"/>
        </w:rPr>
        <w:t xml:space="preserve"> </w:t>
      </w:r>
    </w:p>
    <w:p>
      <w:pPr>
        <w:pageBreakBefore w:val="0"/>
        <w:widowControl w:val="0"/>
        <w:kinsoku/>
        <w:wordWrap/>
        <w:overflowPunct/>
        <w:topLinePunct w:val="0"/>
        <w:autoSpaceDE/>
        <w:autoSpaceDN/>
        <w:bidi w:val="0"/>
        <w:adjustRightInd/>
        <w:snapToGrid/>
        <w:spacing w:line="560" w:lineRule="exact"/>
        <w:ind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（一）</w:t>
      </w:r>
      <w:r>
        <w:rPr>
          <w:rStyle w:val="18"/>
          <w:rFonts w:hint="eastAsia" w:ascii="楷体" w:hAnsi="楷体" w:eastAsia="楷体"/>
          <w:spacing w:val="-4"/>
          <w:sz w:val="32"/>
          <w:szCs w:val="32"/>
        </w:rPr>
        <w:t>项目决策情况</w:t>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560" w:firstLineChars="200"/>
        <w:textAlignment w:val="auto"/>
        <w:rPr>
          <w:rStyle w:val="18"/>
          <w:rFonts w:ascii="楷体" w:hAnsi="楷体" w:eastAsia="楷体"/>
          <w:b w:val="0"/>
          <w:bCs w:val="0"/>
          <w:spacing w:val="-4"/>
          <w:sz w:val="32"/>
          <w:szCs w:val="32"/>
        </w:rPr>
      </w:pPr>
      <w:r>
        <w:rPr>
          <w:rFonts w:hint="eastAsia" w:ascii="Times New Roman" w:hAnsi="Times New Roman" w:eastAsia="仿宋_GB2312" w:cs="Times New Roman"/>
          <w:sz w:val="28"/>
          <w:szCs w:val="22"/>
          <w:highlight w:val="none"/>
          <w:lang w:val="en-US" w:eastAsia="zh-CN"/>
        </w:rPr>
        <w:t>项目决算指标由3个二级指标和6个三级指标构成，权重为20分，实际得分20分。</w:t>
      </w:r>
      <w:r>
        <w:rPr>
          <w:rStyle w:val="18"/>
          <w:rFonts w:hint="eastAsia" w:ascii="楷体" w:hAnsi="楷体" w:eastAsia="楷体"/>
          <w:b w:val="0"/>
          <w:bCs w:val="0"/>
          <w:spacing w:val="-4"/>
          <w:sz w:val="32"/>
          <w:szCs w:val="32"/>
        </w:rPr>
        <w:cr/>
      </w:r>
      <w:r>
        <w:rPr>
          <w:rFonts w:hint="eastAsia" w:ascii="Times New Roman" w:hAnsi="Times New Roman" w:eastAsia="仿宋_GB2312" w:cs="Times New Roman"/>
          <w:sz w:val="28"/>
          <w:szCs w:val="22"/>
          <w:highlight w:val="none"/>
          <w:lang w:val="en-US" w:eastAsia="zh-CN"/>
        </w:rPr>
        <w:t>1.项目立项</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 xml:space="preserve">  </w:t>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立项依据充分性：项目立项符合国家法律法规、政策要求。同时，项目与部门职责范围相符，属于部门履职所需。此外，本项目属于公共财政支持范围，符合中央、地方事权支出责任划分原则。因此，立项依据充分。指标赋分4分，得分4分，得分率100%。</w:t>
      </w:r>
      <w:r>
        <w:rPr>
          <w:rFonts w:hint="eastAsia" w:ascii="Times New Roman" w:hAnsi="Times New Roman"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w:t>
      </w:r>
      <w:r>
        <w:rPr>
          <w:rFonts w:hint="eastAsia" w:ascii="Times New Roman" w:hAnsi="Times New Roman" w:eastAsia="仿宋_GB2312" w:cs="Times New Roman"/>
          <w:sz w:val="28"/>
          <w:szCs w:val="22"/>
          <w:highlight w:val="none"/>
          <w:lang w:val="en-US" w:eastAsia="zh-CN"/>
        </w:rPr>
        <w:t>立项程序规范性:项目按照规定的程序申请设立，审批文件、材料符合相关要求，故立项程序规范。指标赋分4分，得分4分，得分率100%。</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综上，该指标满分8分，得分8分。</w:t>
      </w:r>
      <w:r>
        <w:rPr>
          <w:rFonts w:hint="eastAsia" w:ascii="Times New Roman" w:hAnsi="Times New Roman" w:eastAsia="仿宋_GB2312" w:cs="Times New Roman"/>
          <w:sz w:val="28"/>
          <w:szCs w:val="22"/>
          <w:highlight w:val="none"/>
          <w:lang w:val="en-US" w:eastAsia="zh-CN"/>
        </w:rPr>
        <w:cr/>
      </w:r>
      <w:r>
        <w:rPr>
          <w:rFonts w:hint="eastAsia" w:ascii="Times New Roman" w:hAnsi="Times New Roman" w:eastAsia="仿宋_GB2312" w:cs="Times New Roman"/>
          <w:sz w:val="28"/>
          <w:szCs w:val="22"/>
          <w:highlight w:val="none"/>
          <w:lang w:val="en-US" w:eastAsia="zh-CN"/>
        </w:rPr>
        <w:t>2.绩效目标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绩效目标合理性：本项目的绩效目标按照产出、效益和满意度构建绩效评价指标，且具有明确性、可衡量性、可实现性、相关性和时限性等特点，能较为全面地反映本项目的产出和效益，指标赋分3分，得分3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绩效目标明确性：2022年临时聘用人员经费，保障临聘人员工资社保按时发放缴纳，补充我辖区工作人员队伍，提升工作人员工作积极性，提高工作效率，更好地开展民生保障、疫情防控、社区管理、民族团结、综合治理、安全生产、计划生育等各项工作，增加辖区居民居住的幸福感。项目目标全面、完整，产出及效果指标进一步细化。其中，目标已细化为具体的绩效指标，可通过数量指标、质量指标、时效指标和成本指标予以量化，并具有确切的评价标准，且指标设定均与目标相关。各项指标均能在现实条件下收集到相关数据进行佐证，并与当年项目年度计划相对应，指标赋分3分，得分3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综上，该指标满分6分，得分6分。</w:t>
      </w:r>
      <w:r>
        <w:rPr>
          <w:rStyle w:val="18"/>
          <w:rFonts w:hint="eastAsia" w:ascii="楷体" w:hAnsi="楷体" w:eastAsia="楷体"/>
          <w:b w:val="0"/>
          <w:bCs w:val="0"/>
          <w:spacing w:val="-4"/>
          <w:sz w:val="32"/>
          <w:szCs w:val="32"/>
          <w:lang w:val="en-US" w:eastAsia="zh-CN"/>
        </w:rPr>
        <w:cr/>
      </w:r>
      <w:r>
        <w:rPr>
          <w:rFonts w:hint="eastAsia" w:eastAsia="仿宋_GB2312" w:cs="Times New Roman"/>
          <w:sz w:val="28"/>
          <w:szCs w:val="22"/>
          <w:highlight w:val="none"/>
          <w:lang w:val="en-US" w:eastAsia="zh-CN"/>
        </w:rPr>
        <w:t>3.资金投入</w:t>
      </w:r>
      <w:r>
        <w:rPr>
          <w:rStyle w:val="18"/>
          <w:rFonts w:hint="eastAsia" w:ascii="楷体" w:hAnsi="楷体" w:eastAsia="楷体"/>
          <w:b w:val="0"/>
          <w:bCs w:val="0"/>
          <w:spacing w:val="-4"/>
          <w:sz w:val="32"/>
          <w:szCs w:val="32"/>
          <w:lang w:val="en-US" w:eastAsia="zh-CN"/>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预算编制科学性：该项目主要是为我单位的675名的临聘人员发放的工资、社保、绩效、管理费。相关费用计算是以实际单位人数以及相关费用的发放标准来制定的，平均276.72万元/次。指标赋分3分，得分3分，得分率100%。</w:t>
      </w:r>
      <w:r>
        <w:rPr>
          <w:rStyle w:val="18"/>
          <w:rFonts w:hint="eastAsia" w:ascii="楷体" w:hAnsi="楷体" w:eastAsia="楷体"/>
          <w:b w:val="0"/>
          <w:bCs w:val="0"/>
          <w:spacing w:val="-4"/>
          <w:sz w:val="32"/>
          <w:szCs w:val="32"/>
          <w:lang w:val="en-US" w:eastAsia="zh-CN"/>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资金分配合理性：2022年临聘人员经费项目收到预算资金830.15万元，均为区本级财政拨款。实际执行也为830.15万元，不存在预算编制偏差的情况。评价期间，项目资金全部支付完毕，完全达到预期，具备较强的合理性。在项目运作后，可以完全覆盖社区工作人员成本。</w:t>
      </w:r>
      <w:r>
        <w:rPr>
          <w:rStyle w:val="18"/>
          <w:rFonts w:hint="eastAsia" w:ascii="楷体" w:hAnsi="楷体" w:eastAsia="楷体"/>
          <w:b w:val="0"/>
          <w:bCs w:val="0"/>
          <w:spacing w:val="-4"/>
          <w:sz w:val="32"/>
          <w:szCs w:val="32"/>
          <w:lang w:val="en-US" w:eastAsia="zh-CN"/>
        </w:rPr>
        <w:cr/>
      </w:r>
      <w:r>
        <w:rPr>
          <w:rFonts w:hint="eastAsia" w:eastAsia="仿宋_GB2312" w:cs="Times New Roman"/>
          <w:sz w:val="28"/>
          <w:szCs w:val="22"/>
          <w:highlight w:val="none"/>
          <w:lang w:val="en-US" w:eastAsia="zh-CN"/>
        </w:rPr>
        <w:t>指标赋分3分，得分3分，得分率100%。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综上，该指标满分6分，得分6分。</w:t>
      </w:r>
      <w:r>
        <w:rPr>
          <w:rFonts w:hint="eastAsia" w:eastAsia="仿宋_GB2312" w:cs="Times New Roman"/>
          <w:sz w:val="28"/>
          <w:szCs w:val="22"/>
          <w:highlight w:val="none"/>
          <w:lang w:val="en-US" w:eastAsia="zh-CN"/>
        </w:rPr>
        <w:tab/>
      </w:r>
    </w:p>
    <w:p>
      <w:pPr>
        <w:keepNext w:val="0"/>
        <w:keepLines w:val="0"/>
        <w:pageBreakBefore w:val="0"/>
        <w:widowControl w:val="0"/>
        <w:tabs>
          <w:tab w:val="center" w:pos="4295"/>
        </w:tabs>
        <w:kinsoku/>
        <w:wordWrap/>
        <w:overflowPunct/>
        <w:topLinePunct w:val="0"/>
        <w:autoSpaceDE/>
        <w:autoSpaceDN/>
        <w:bidi w:val="0"/>
        <w:adjustRightInd/>
        <w:snapToGrid/>
        <w:spacing w:line="560" w:lineRule="exact"/>
        <w:ind w:firstLine="560" w:firstLineChars="20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（二）项目过程情况</w:t>
      </w:r>
    </w:p>
    <w:p>
      <w:pPr>
        <w:pageBreakBefore w:val="0"/>
        <w:widowControl w:val="0"/>
        <w:kinsoku/>
        <w:wordWrap/>
        <w:overflowPunct/>
        <w:topLinePunct w:val="0"/>
        <w:autoSpaceDE/>
        <w:autoSpaceDN/>
        <w:bidi w:val="0"/>
        <w:adjustRightInd/>
        <w:snapToGrid/>
        <w:spacing w:line="560" w:lineRule="exact"/>
        <w:ind w:firstLine="280" w:firstLineChars="10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项目过程指标由2个二级指标和5个三级指标构成，权重为20分，实际得分20分。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1.资金管理</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资金到位率：2022年临时聘用人员经费预算安排总额为830.15万元，其中财政拨款830.15万元，其他资金0万元，资金到位830.15万元，资金到位率100%。指标赋分5分，得分5分，得分率100%。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预算执行率：该项目是为缴纳我单位675名的临聘人员的工资、社保及相关费用，具体执行时，自聘、公岗和保洁员的工资、社保是按月直接支付给劳务派遣公司，由劳务派遣公司为相关人员缴纳社保，发放工资，于每月20日之前完成支付。转聘人员由我街道发放工资，缴纳社保公积金。截至2022年12月31日，2022年临时聘用人员经费已支出830.15万元，预算执行率100%。指标赋分5分，得分5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资金使用合规性：本项目资金的使用符合国家财经法规和财务管理制度以及有关专项资金管理办法的规定。同时，资金的拨付有完整的审批程序和手续，符合项目预算批复或合同规定的用途，不存在截留、挤占、挪用、虚列支出等情况。指标赋分3分，得分3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综上，该指标满分13分，得分13分。</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2.组织实施</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管理制度健全性：振安街街道办事处的财务管理制度包括内部控制管理制度、经费管理制度及办法，其中内部控制管理制度包含预算管理制度、决算管理制度、支出管理办法、采购管理、预算绩效管理（含预算绩效评价管理）、监督检查等多项管理制度。整体来说，振安街街道办事处的财务管理制度涵盖了预算管理、资金审批、监督管理等多个方面，规范了项目资金申请、审批、复核、支付整个资金环节，保证资金使用的合规性。且制度合法、合规、完整，为项目顺利实施提供重要保障。故管理制度健全性指标赋分3分，得分3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制度执行有效性：根据现场调研和资料抽查情况，乌鲁木齐市水磨沟区振安街街道办事处严格遵守相关法律法规和相关管理规定，项目调整及支出调整手续完备，整体管理合理有序，项目完成后，及时将会计凭证等相关资料分类归档，制度执行有效。故制度执行有效性指标赋分4分，得分4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综上，该指标满分7分，得分7分。</w:t>
      </w:r>
    </w:p>
    <w:p>
      <w:pPr>
        <w:pageBreakBefore w:val="0"/>
        <w:widowControl w:val="0"/>
        <w:kinsoku/>
        <w:wordWrap/>
        <w:overflowPunct/>
        <w:topLinePunct w:val="0"/>
        <w:autoSpaceDE/>
        <w:autoSpaceDN/>
        <w:bidi w:val="0"/>
        <w:adjustRightInd/>
        <w:snapToGrid/>
        <w:spacing w:line="560" w:lineRule="exact"/>
        <w:ind w:firstLine="567" w:firstLineChars="181"/>
        <w:textAlignment w:val="auto"/>
        <w:rPr>
          <w:rFonts w:ascii="楷体" w:hAnsi="楷体" w:eastAsia="楷体"/>
          <w:b/>
          <w:spacing w:val="-4"/>
          <w:sz w:val="32"/>
          <w:szCs w:val="32"/>
        </w:rPr>
      </w:pPr>
      <w:r>
        <w:rPr>
          <w:rFonts w:hint="eastAsia" w:ascii="楷体" w:hAnsi="楷体" w:eastAsia="楷体"/>
          <w:b/>
          <w:spacing w:val="-4"/>
          <w:sz w:val="32"/>
          <w:szCs w:val="32"/>
        </w:rPr>
        <w:t>（三）</w:t>
      </w:r>
      <w:r>
        <w:rPr>
          <w:rStyle w:val="18"/>
          <w:rFonts w:hint="eastAsia" w:ascii="楷体" w:hAnsi="楷体" w:eastAsia="楷体"/>
          <w:spacing w:val="-4"/>
          <w:sz w:val="32"/>
          <w:szCs w:val="32"/>
        </w:rPr>
        <w:t>项目产出情况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Style w:val="18"/>
          <w:rFonts w:ascii="楷体" w:hAnsi="楷体" w:eastAsia="楷体"/>
          <w:b w:val="0"/>
          <w:bCs w:val="0"/>
          <w:spacing w:val="-4"/>
          <w:sz w:val="32"/>
          <w:szCs w:val="32"/>
        </w:rPr>
      </w:pPr>
      <w:r>
        <w:rPr>
          <w:rFonts w:hint="eastAsia" w:eastAsia="仿宋_GB2312" w:cs="Times New Roman"/>
          <w:sz w:val="28"/>
          <w:szCs w:val="22"/>
          <w:highlight w:val="none"/>
          <w:lang w:val="en-US" w:eastAsia="zh-CN"/>
        </w:rPr>
        <w:t>项目产出指标由4个二级指标和5个三级指标构成，权重为45分，实际得分45分。</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1.产出数量</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“发放补助人数”的目标值为“≥645人”，2022年度我单位实际完成675人。其中包括了转聘人员105人、公岗283人、保洁员287人，共计临聘人员675人。</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此675人为8个社区共同所有，分别为春祥社区、翼翔社区、振安街北社区、振安街南社区、山润社区、青润社区、东街北社区、鸿园南路东社区。</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实际完成数比计划完成数要大是因为疫情期间需要大量的工作人员进行防疫和保洁，增加了临聘人员，该项指标分值为10分，实际得分10分，得分率100%。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资金发放次数”的目标值为“=3次”，2022年度我单位实际完成等于3次。究其原因，是因为疫情期间各项经费未能及时到位，资金未能及时拨付，同时临聘人员分多次进行招聘，工资发放未能按照预期次数进行发放。发放次数增加，增加了人力成本，也耗费了工作人员大量的精力。该项指标分值为10分，实际得分10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该项指标下设2个三级指标，指标分值20分，评价得分20分，得分率100%。</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2.产出质量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补贴发放准确率”的目标值为“≥95%”，2022年度我单位实际完成100%。我单位在工资发放前，及时向财政局申请相关经费，并于每月按时将资金支付给劳务派遣工资，按照考勤发放给工作人员。在凭证上进行部门经办人、财务科室长、主任签字后盖章送至财政所，由财政所等人将凭证收齐，出纳会计等人根据凭证数，对发放数进行核对，之后拍照，将照片上传给国库支付系统，保证了每一个环节都无缺漏，因无发放错误情况。该项指标分值为10分，实际得分10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综上，该指标满分10分，得分10分，得分率100%。</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3.产出时效</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补助发放及时率”的目标值“=100%”，2022年度我单位实际完成98%。该项目为每月人员工资经费，按月按时支付给劳务派遣公司，由劳务派遣公司缴纳社保，发放工资，每月20日之前完成支付，无拖延发放情况。由于疫情期间需要持续保供，保持工作和生活的稳定性，该项指标分值为10分，实际得分10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综上，该指标满分10分，得分10分，得分率100%。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4.产出成本</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每次发放补助数”的目标值“=276.72万元/次”，2022年度我单位实际按照3次发放，时间跨度为4个月，每次完成数大约是263.96万元/次。以2022年9月-2022年12月为例：发放总金额为263.96万元，其中包括9月75.30万元、10月34.79万元、11月68.69万元、12月44.67万元（以上数字均为加总之后四舍五入），4月相加凭证数为263.96万元。这其中包含保洁员元的工资、社保等费用。小于276.72万元/次。因此该项指标分值为5分，实际得分5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综上，该指标满分5分，得分5分，得分率100%。</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 xml:space="preserve">  综上，项目产出指标满分45分，得分45分。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200"/>
        <w:textAlignment w:val="auto"/>
        <w:rPr>
          <w:rFonts w:ascii="楷体" w:hAnsi="楷体" w:eastAsia="楷体"/>
          <w:b/>
          <w:spacing w:val="-4"/>
          <w:sz w:val="32"/>
          <w:szCs w:val="32"/>
        </w:rPr>
      </w:pPr>
      <w:r>
        <w:rPr>
          <w:rFonts w:hint="eastAsia" w:ascii="楷体" w:hAnsi="楷体" w:eastAsia="楷体"/>
          <w:b/>
          <w:spacing w:val="-4"/>
          <w:sz w:val="32"/>
          <w:szCs w:val="32"/>
        </w:rPr>
        <w:t>（四）</w:t>
      </w:r>
      <w:r>
        <w:rPr>
          <w:rStyle w:val="18"/>
          <w:rFonts w:hint="eastAsia" w:ascii="楷体" w:hAnsi="楷体" w:eastAsia="楷体"/>
          <w:spacing w:val="-4"/>
          <w:sz w:val="32"/>
          <w:szCs w:val="32"/>
        </w:rPr>
        <w:t>项目效益情况</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 xml:space="preserve">项目效益指标由1个二级指标和2个三级指标构成，权重为10分，实际得分10分。 </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1.项目效益</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（1）实施效益</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经济效益指标：项目属于确定不产生该项效益的，因此未设置。</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社会效益指标：评价指标“提升对辖区居民的服务水平”，指标值：</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通过设置问卷调查的的方式进行考评评价，共计调查样本总量为20个样本，有效调查问卷20份。其中，统计“工作人员满意度”的得分率为96.63%</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指标预期值：有效提高。实际完成值：完全达到预期目标。本项目的实施保障村社区日常工作的有序进行，充分调动职工的工作积极性，加强临时聘用人员管理及考核，进一步提升队伍整体工作水平，从而能够更好的服务辖区居民，提升对辖区居民的服务水平。该项指标分值为5分，实际得分5分，得分率96.63%。</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生态效益指标：项目属于确定不产生该项效益的，因此未设置。</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可持续影响指标：“工作人员满意度”的得分率为96.63%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评价指标“提高工作人员工作效率”。指标值：有效提高，实际完成值：完全达到预期目标。加强临时聘用人员工作效率，强化绩效考核，进一步激发工作热情，使机关单位能够高效有序开展日常各项业务工作。该项指标分值为5分，实际得分5分，得分率100%。</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综上，该指标满分10分，得分10分。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27" w:firstLineChars="200"/>
        <w:textAlignment w:val="auto"/>
        <w:rPr>
          <w:rStyle w:val="18"/>
          <w:rFonts w:hint="eastAsia" w:ascii="楷体" w:hAnsi="楷体" w:eastAsia="楷体"/>
          <w:bCs w:val="0"/>
          <w:spacing w:val="-4"/>
          <w:sz w:val="32"/>
          <w:szCs w:val="32"/>
        </w:rPr>
      </w:pPr>
      <w:r>
        <w:rPr>
          <w:rFonts w:hint="eastAsia" w:ascii="楷体" w:hAnsi="楷体" w:eastAsia="楷体"/>
          <w:b/>
          <w:spacing w:val="-4"/>
          <w:sz w:val="32"/>
          <w:szCs w:val="32"/>
        </w:rPr>
        <w:t>（五）满意度指标完成情况分析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Style w:val="18"/>
          <w:rFonts w:ascii="楷体" w:hAnsi="楷体" w:eastAsia="楷体"/>
          <w:b w:val="0"/>
          <w:bCs w:val="0"/>
          <w:spacing w:val="-4"/>
          <w:sz w:val="32"/>
          <w:szCs w:val="32"/>
        </w:rPr>
      </w:pPr>
      <w:r>
        <w:rPr>
          <w:rFonts w:hint="eastAsia" w:eastAsia="仿宋_GB2312" w:cs="Times New Roman"/>
          <w:sz w:val="28"/>
          <w:szCs w:val="22"/>
          <w:highlight w:val="none"/>
          <w:lang w:val="en-US" w:eastAsia="zh-CN"/>
        </w:rPr>
        <w:t>项目效益指标由1个二级指标和1个三级指标构成，权重为5分，实际得分5分。</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1.满意度指标</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通过设置问卷调查的的方式进行考评评价，共计调查样本总量为20个样本，有效调查问卷20份。其中，统计“工作人员满意度”的为96.63%</w:t>
      </w:r>
      <w:r>
        <w:rPr>
          <w:rStyle w:val="18"/>
          <w:rFonts w:hint="eastAsia" w:ascii="楷体" w:hAnsi="楷体" w:eastAsia="楷体"/>
          <w:b w:val="0"/>
          <w:bCs w:val="0"/>
          <w:spacing w:val="-4"/>
          <w:sz w:val="32"/>
          <w:szCs w:val="32"/>
        </w:rPr>
        <w:cr/>
      </w:r>
      <w:r>
        <w:rPr>
          <w:rFonts w:hint="eastAsia" w:eastAsia="仿宋_GB2312" w:cs="Times New Roman"/>
          <w:sz w:val="28"/>
          <w:szCs w:val="22"/>
          <w:highlight w:val="none"/>
          <w:lang w:val="en-US" w:eastAsia="zh-CN"/>
        </w:rPr>
        <w:t>评价指标“工作人员满意度”，指标值≥95%，实际完成值为96.63%。</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该项指标分值为5分，实际得分5分，得分率100%。</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综上，该指标满分5分，得分5分。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00"/>
        <w:textAlignment w:val="auto"/>
        <w:rPr>
          <w:rStyle w:val="18"/>
          <w:rFonts w:hint="eastAsia" w:ascii="仿宋" w:hAnsi="仿宋" w:eastAsia="仿宋" w:cs="仿宋"/>
          <w:b/>
          <w:bCs w:val="0"/>
          <w:spacing w:val="-4"/>
          <w:sz w:val="36"/>
          <w:szCs w:val="36"/>
        </w:rPr>
      </w:pPr>
      <w:r>
        <w:rPr>
          <w:rStyle w:val="18"/>
          <w:rFonts w:hint="eastAsia" w:ascii="仿宋" w:hAnsi="仿宋" w:eastAsia="仿宋" w:cs="仿宋"/>
          <w:b/>
          <w:bCs w:val="0"/>
          <w:spacing w:val="-4"/>
          <w:sz w:val="36"/>
          <w:szCs w:val="36"/>
        </w:rPr>
        <w:t>五、预算执行进度与绩效指标偏差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本项目预算执行率为100%，指标总体完成率为100%，二者之间的偏差值为0%，小于20%。总体而言，该项目完全达到年度总体目标，财政资金的使用效益和效率较高。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00"/>
        <w:textAlignment w:val="auto"/>
        <w:rPr>
          <w:rStyle w:val="18"/>
          <w:rFonts w:hint="eastAsia" w:ascii="仿宋" w:hAnsi="仿宋" w:eastAsia="仿宋" w:cs="仿宋"/>
          <w:b/>
          <w:bCs w:val="0"/>
          <w:spacing w:val="-4"/>
          <w:sz w:val="36"/>
          <w:szCs w:val="36"/>
        </w:rPr>
      </w:pPr>
      <w:r>
        <w:rPr>
          <w:rStyle w:val="18"/>
          <w:rFonts w:hint="eastAsia" w:ascii="仿宋" w:hAnsi="仿宋" w:eastAsia="仿宋" w:cs="仿宋"/>
          <w:b/>
          <w:bCs w:val="0"/>
          <w:spacing w:val="-4"/>
          <w:sz w:val="36"/>
          <w:szCs w:val="36"/>
        </w:rPr>
        <w:t>六、主要经验及做法、存在的问题及原因分析</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ascii="仿宋_GB2312" w:eastAsia="仿宋_GB2312"/>
          <w:spacing w:val="-4"/>
          <w:sz w:val="32"/>
          <w:szCs w:val="32"/>
        </w:rPr>
      </w:pPr>
      <w:r>
        <w:rPr>
          <w:rFonts w:hint="eastAsia" w:eastAsia="仿宋_GB2312" w:cs="Times New Roman"/>
          <w:sz w:val="28"/>
          <w:szCs w:val="22"/>
          <w:highlight w:val="none"/>
          <w:lang w:val="en-US" w:eastAsia="zh-CN"/>
        </w:rPr>
        <w:t>1、重视项目支出绩效评价管理工作，随着财政投资项目支出规模逐年增加，财政投资项目效益评估备受关注，加强财政投资项目资金使用的监督管理，提高财政资金使用规范性、安全性和有效性尤为重要。乌鲁木齐市水磨沟区振安街街道办事处积极响应乌鲁木齐市水磨沟区财政局的号召，重视项目支出绩效评价工作。按照相关规定认真填写项目绩效目标，灵活设置包括项目产出数量、质量、时效、成本，以及社会效益、生态效益、可持续影响、服务对象满意度为主体的绩效目标，以准确反映项目的产出和效益，有效地提高了绩效评价工作质量。</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bookmarkStart w:id="0" w:name="_GoBack"/>
      <w:bookmarkEnd w:id="0"/>
      <w:r>
        <w:rPr>
          <w:rFonts w:hint="eastAsia" w:eastAsia="仿宋_GB2312" w:cs="Times New Roman"/>
          <w:sz w:val="28"/>
          <w:szCs w:val="22"/>
          <w:highlight w:val="none"/>
          <w:lang w:val="en-US" w:eastAsia="zh-CN"/>
        </w:rPr>
        <w:t>2、领导高度重视专项资金的使用，严格资金的审批，提高资金的使用效率；管理规范，能按照项目资金管理办法来严格执行，强化监督检查，有效规范和加强专项资金的管理；专款专用，严格按照资金管理办法，做到专项核算，专项专用，没有截留，挤占挪用现象。</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rPr>
        <w:t>（二）存在的问题及原因分析</w:t>
      </w:r>
      <w:r>
        <w:rPr>
          <w:rStyle w:val="18"/>
          <w:rFonts w:hint="eastAsia" w:ascii="楷体" w:hAnsi="楷体" w:eastAsia="楷体"/>
          <w:b w:val="0"/>
          <w:bCs w:val="0"/>
          <w:spacing w:val="-4"/>
          <w:sz w:val="32"/>
          <w:szCs w:val="32"/>
        </w:rPr>
        <w:cr/>
      </w:r>
      <w:r>
        <w:rPr>
          <w:rStyle w:val="18"/>
          <w:rFonts w:hint="eastAsia" w:ascii="楷体" w:hAnsi="楷体" w:eastAsia="楷体"/>
          <w:b w:val="0"/>
          <w:bCs w:val="0"/>
          <w:spacing w:val="-4"/>
          <w:sz w:val="32"/>
          <w:szCs w:val="32"/>
          <w:lang w:val="en-US" w:eastAsia="zh-CN"/>
        </w:rPr>
        <w:t xml:space="preserve">  </w:t>
      </w:r>
      <w:r>
        <w:rPr>
          <w:rFonts w:hint="eastAsia" w:eastAsia="仿宋_GB2312" w:cs="Times New Roman"/>
          <w:sz w:val="28"/>
          <w:szCs w:val="22"/>
          <w:highlight w:val="none"/>
          <w:lang w:val="en-US" w:eastAsia="zh-CN"/>
        </w:rPr>
        <w:t>1.部门职能不明确，个别工作分工不清晰，且人员培训和绩效考核制度不够完善，考核方案部分内容和人员名单更新滞后。</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2.已制定由详细的内部控制制度，且本项目已有相关的项目采购管理、项目时间管理、项目风险管理等制度。整个项目执行过程中严格按照制度要求进行，但缺少必要的与本项目相结合的质量管理制度。上述制度的缺乏不利于相关业务质量管理、验收及评价等工作的有效开展，业务管理制度不够完善，仍需加强。</w:t>
      </w:r>
    </w:p>
    <w:p>
      <w:pPr>
        <w:keepNext w:val="0"/>
        <w:keepLines w:val="0"/>
        <w:pageBreakBefore w:val="0"/>
        <w:widowControl w:val="0"/>
        <w:kinsoku/>
        <w:wordWrap/>
        <w:overflowPunct/>
        <w:topLinePunct w:val="0"/>
        <w:autoSpaceDE/>
        <w:autoSpaceDN/>
        <w:bidi w:val="0"/>
        <w:adjustRightInd/>
        <w:snapToGrid/>
        <w:spacing w:line="560" w:lineRule="exact"/>
        <w:ind w:firstLine="707" w:firstLineChars="200"/>
        <w:textAlignment w:val="auto"/>
        <w:rPr>
          <w:rStyle w:val="18"/>
          <w:rFonts w:hint="eastAsia" w:ascii="仿宋" w:hAnsi="仿宋" w:eastAsia="仿宋" w:cs="仿宋"/>
          <w:b/>
          <w:bCs w:val="0"/>
          <w:spacing w:val="-4"/>
          <w:sz w:val="36"/>
          <w:szCs w:val="36"/>
        </w:rPr>
      </w:pPr>
      <w:r>
        <w:rPr>
          <w:rStyle w:val="18"/>
          <w:rFonts w:hint="eastAsia" w:ascii="仿宋" w:hAnsi="仿宋" w:eastAsia="仿宋" w:cs="仿宋"/>
          <w:b/>
          <w:bCs w:val="0"/>
          <w:spacing w:val="-4"/>
          <w:sz w:val="36"/>
          <w:szCs w:val="36"/>
        </w:rPr>
        <w:t>七、有关建议</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560" w:firstLineChars="20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1.进一步建立项目的质量管理制度乌鲁木齐市水磨沟区振安街街道办事处应建立健全业务质量管理制度。同时，由于不同项目之间的质量管理要求具有差异性，建议在总体业务质量管理制度的基础上，进一步结合每个项目的不同特点，建立与该项目相关且具体的质量管理要求，从而对每个项目都达到更可行的监督和管理，增强全员的质量意识，营造人人关注质量的良好氛围，促进财政项目的高质量完成。</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 xml:space="preserve">  2.全面落实经费管理制度，加强对资金使用的监管，要严格遵循街道办事处的经费管理制度，尤其是支付金额达到上会要求的，要严格遵循先报街道财经会研究同意，再根据列支事由拟定经费使用审批单，最后由经办人2人、科室长、分管领导、街道财务分管领导、主管领导、财经领导小组组长填写意见签字后，最终给予支付的经费支付审批流程。通过加大对资金使用的监管力度，全面加强各类经费的管理。</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707" w:firstLineChars="200"/>
        <w:textAlignment w:val="auto"/>
        <w:rPr>
          <w:rStyle w:val="18"/>
          <w:rFonts w:hint="eastAsia" w:ascii="仿宋" w:hAnsi="仿宋" w:eastAsia="仿宋" w:cs="仿宋"/>
          <w:b/>
          <w:bCs w:val="0"/>
          <w:spacing w:val="-4"/>
          <w:sz w:val="36"/>
          <w:szCs w:val="36"/>
        </w:rPr>
      </w:pPr>
      <w:r>
        <w:rPr>
          <w:rStyle w:val="18"/>
          <w:rFonts w:hint="eastAsia" w:ascii="仿宋" w:hAnsi="仿宋" w:eastAsia="仿宋" w:cs="仿宋"/>
          <w:b/>
          <w:bCs w:val="0"/>
          <w:spacing w:val="-4"/>
          <w:sz w:val="36"/>
          <w:szCs w:val="36"/>
        </w:rPr>
        <w:t>八、其他需要说明的问题</w:t>
      </w:r>
    </w:p>
    <w:p>
      <w:pPr>
        <w:keepNext w:val="0"/>
        <w:keepLines w:val="0"/>
        <w:pageBreakBefore w:val="0"/>
        <w:widowControl w:val="0"/>
        <w:kinsoku/>
        <w:wordWrap/>
        <w:overflowPunct/>
        <w:topLinePunct w:val="0"/>
        <w:autoSpaceDE/>
        <w:autoSpaceDN/>
        <w:bidi w:val="0"/>
        <w:adjustRightInd/>
        <w:snapToGrid/>
        <w:spacing w:line="560" w:lineRule="exact"/>
        <w:ind w:left="559" w:leftChars="266" w:firstLine="0" w:firstLineChars="0"/>
        <w:textAlignment w:val="auto"/>
        <w:rPr>
          <w:rFonts w:hint="eastAsia" w:eastAsia="仿宋_GB2312" w:cs="Times New Roman"/>
          <w:sz w:val="28"/>
          <w:szCs w:val="22"/>
          <w:highlight w:val="none"/>
          <w:lang w:val="en-US" w:eastAsia="zh-CN"/>
        </w:rPr>
      </w:pPr>
      <w:r>
        <w:rPr>
          <w:rFonts w:hint="eastAsia" w:eastAsia="仿宋_GB2312" w:cs="Times New Roman"/>
          <w:sz w:val="28"/>
          <w:szCs w:val="22"/>
          <w:highlight w:val="none"/>
          <w:lang w:val="en-US" w:eastAsia="zh-CN"/>
        </w:rPr>
        <w:t>1.项目支出政策和路径设计科学，符合实际需要；</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2.项目安排准确，未发现背离项目立项初衷的情况；</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3.项目的申报、审核机制完善；</w:t>
      </w:r>
      <w:r>
        <w:rPr>
          <w:rFonts w:hint="eastAsia" w:eastAsia="仿宋_GB2312" w:cs="Times New Roman"/>
          <w:sz w:val="28"/>
          <w:szCs w:val="22"/>
          <w:highlight w:val="none"/>
          <w:lang w:val="en-US" w:eastAsia="zh-CN"/>
        </w:rPr>
        <w:cr/>
      </w:r>
      <w:r>
        <w:rPr>
          <w:rFonts w:hint="eastAsia" w:eastAsia="仿宋_GB2312" w:cs="Times New Roman"/>
          <w:sz w:val="28"/>
          <w:szCs w:val="22"/>
          <w:highlight w:val="none"/>
          <w:lang w:val="en-US" w:eastAsia="zh-CN"/>
        </w:rPr>
        <w:t>4.未发现虚假行为和骗取财政资金的问题。</w:t>
      </w: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p>
      <w:pPr>
        <w:pageBreakBefore w:val="0"/>
        <w:widowControl w:val="0"/>
        <w:kinsoku/>
        <w:wordWrap/>
        <w:overflowPunct/>
        <w:topLinePunct w:val="0"/>
        <w:autoSpaceDE/>
        <w:autoSpaceDN/>
        <w:bidi w:val="0"/>
        <w:adjustRightInd/>
        <w:snapToGrid/>
        <w:spacing w:line="560" w:lineRule="exact"/>
        <w:ind w:firstLine="567"/>
        <w:textAlignment w:val="auto"/>
        <w:rPr>
          <w:rStyle w:val="18"/>
          <w:rFonts w:ascii="仿宋" w:hAnsi="仿宋" w:eastAsia="仿宋"/>
          <w:b w:val="0"/>
          <w:spacing w:val="-4"/>
          <w:sz w:val="32"/>
          <w:szCs w:val="32"/>
        </w:rPr>
      </w:pPr>
    </w:p>
    <w:sectPr>
      <w:footerReference r:id="rId3" w:type="default"/>
      <w:pgSz w:w="11906" w:h="16838"/>
      <w:pgMar w:top="1440" w:right="1558"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2003363"/>
    </w:sdtPr>
    <w:sdtContent>
      <w:p>
        <w:pPr>
          <w:pStyle w:val="12"/>
          <w:jc w:val="center"/>
        </w:pPr>
        <w:r>
          <w:fldChar w:fldCharType="begin"/>
        </w:r>
        <w:r>
          <w:instrText xml:space="preserve">PAGE   \* MERGEFORMAT</w:instrText>
        </w:r>
        <w:r>
          <w:fldChar w:fldCharType="separate"/>
        </w:r>
        <w:r>
          <w:rPr>
            <w:lang w:val="zh-CN"/>
          </w:rPr>
          <w:t>1</w:t>
        </w:r>
        <w:r>
          <w:fldChar w:fldCharType="end"/>
        </w:r>
      </w:p>
    </w:sdtContent>
  </w:sdt>
  <w:p>
    <w:pPr>
      <w:pStyle w:val="1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B97653"/>
    <w:multiLevelType w:val="singleLevel"/>
    <w:tmpl w:val="AAB97653"/>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YzRkYmFmODI5MmNmOGFkYWNlMzk0NzY5N2VjMDIifQ=="/>
  </w:docVars>
  <w:rsids>
    <w:rsidRoot w:val="00CA6457"/>
    <w:rsid w:val="000048AA"/>
    <w:rsid w:val="00056465"/>
    <w:rsid w:val="00102DFF"/>
    <w:rsid w:val="00121AE4"/>
    <w:rsid w:val="00146AAD"/>
    <w:rsid w:val="001B3A40"/>
    <w:rsid w:val="00291BC0"/>
    <w:rsid w:val="00311DBE"/>
    <w:rsid w:val="004366A8"/>
    <w:rsid w:val="00502BA7"/>
    <w:rsid w:val="005162F1"/>
    <w:rsid w:val="00535153"/>
    <w:rsid w:val="00554F82"/>
    <w:rsid w:val="0056390D"/>
    <w:rsid w:val="005719B0"/>
    <w:rsid w:val="005D10D6"/>
    <w:rsid w:val="007E3CE9"/>
    <w:rsid w:val="00855E3A"/>
    <w:rsid w:val="0091457F"/>
    <w:rsid w:val="00922CB9"/>
    <w:rsid w:val="009C229E"/>
    <w:rsid w:val="009E5CD9"/>
    <w:rsid w:val="00A26421"/>
    <w:rsid w:val="00A34588"/>
    <w:rsid w:val="00A4293B"/>
    <w:rsid w:val="00A67D50"/>
    <w:rsid w:val="00A8691A"/>
    <w:rsid w:val="00AC1946"/>
    <w:rsid w:val="00B40063"/>
    <w:rsid w:val="00B41F61"/>
    <w:rsid w:val="00BA46E6"/>
    <w:rsid w:val="00C56C72"/>
    <w:rsid w:val="00CA6457"/>
    <w:rsid w:val="00CE2FD9"/>
    <w:rsid w:val="00D17F2E"/>
    <w:rsid w:val="00D30354"/>
    <w:rsid w:val="00DF42A0"/>
    <w:rsid w:val="00E30E91"/>
    <w:rsid w:val="00E769FE"/>
    <w:rsid w:val="00EA2CBE"/>
    <w:rsid w:val="00F32FEE"/>
    <w:rsid w:val="00FB10BB"/>
    <w:rsid w:val="01011432"/>
    <w:rsid w:val="05A351AD"/>
    <w:rsid w:val="07261865"/>
    <w:rsid w:val="07E90206"/>
    <w:rsid w:val="0856517C"/>
    <w:rsid w:val="0935436E"/>
    <w:rsid w:val="0BFB189F"/>
    <w:rsid w:val="0C0B1892"/>
    <w:rsid w:val="0CA3761D"/>
    <w:rsid w:val="11BD75F7"/>
    <w:rsid w:val="121B5084"/>
    <w:rsid w:val="12E10DF9"/>
    <w:rsid w:val="13BE561A"/>
    <w:rsid w:val="15392994"/>
    <w:rsid w:val="165F1C73"/>
    <w:rsid w:val="17005FBC"/>
    <w:rsid w:val="18A62B93"/>
    <w:rsid w:val="18FE139B"/>
    <w:rsid w:val="1CCA3B59"/>
    <w:rsid w:val="1EEF3CF3"/>
    <w:rsid w:val="202D1472"/>
    <w:rsid w:val="207E43F5"/>
    <w:rsid w:val="2A891760"/>
    <w:rsid w:val="2D1302BF"/>
    <w:rsid w:val="2D892209"/>
    <w:rsid w:val="3029612C"/>
    <w:rsid w:val="32A221C5"/>
    <w:rsid w:val="33F20F2A"/>
    <w:rsid w:val="346C4839"/>
    <w:rsid w:val="34C44675"/>
    <w:rsid w:val="359D0C08"/>
    <w:rsid w:val="36D445B8"/>
    <w:rsid w:val="37153A06"/>
    <w:rsid w:val="3AFC2CAE"/>
    <w:rsid w:val="3B5B5607"/>
    <w:rsid w:val="3CB11983"/>
    <w:rsid w:val="3CE21B3C"/>
    <w:rsid w:val="3D262FCD"/>
    <w:rsid w:val="3DD551FD"/>
    <w:rsid w:val="3E017D86"/>
    <w:rsid w:val="4071385D"/>
    <w:rsid w:val="40FA0730"/>
    <w:rsid w:val="47F6649C"/>
    <w:rsid w:val="497B4195"/>
    <w:rsid w:val="4A05330E"/>
    <w:rsid w:val="4A0829C7"/>
    <w:rsid w:val="4B6B7E57"/>
    <w:rsid w:val="4D2606A1"/>
    <w:rsid w:val="4DD81EEA"/>
    <w:rsid w:val="4FFD009D"/>
    <w:rsid w:val="51830480"/>
    <w:rsid w:val="53A616BE"/>
    <w:rsid w:val="53EE2DB3"/>
    <w:rsid w:val="54662BFB"/>
    <w:rsid w:val="55FA2E24"/>
    <w:rsid w:val="62051CA5"/>
    <w:rsid w:val="64967C6E"/>
    <w:rsid w:val="65864EAB"/>
    <w:rsid w:val="6654575F"/>
    <w:rsid w:val="66E618E5"/>
    <w:rsid w:val="67087745"/>
    <w:rsid w:val="677105D6"/>
    <w:rsid w:val="684B23DC"/>
    <w:rsid w:val="6992608B"/>
    <w:rsid w:val="6C3A69EF"/>
    <w:rsid w:val="6F314061"/>
    <w:rsid w:val="6F7F1918"/>
    <w:rsid w:val="77660698"/>
    <w:rsid w:val="778E5E41"/>
    <w:rsid w:val="785901FD"/>
    <w:rsid w:val="7A437BC0"/>
    <w:rsid w:val="7DB12889"/>
    <w:rsid w:val="7E0111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9"/>
    <w:pPr>
      <w:keepNext/>
      <w:widowControl/>
      <w:spacing w:before="240" w:after="60"/>
      <w:jc w:val="left"/>
      <w:outlineLvl w:val="0"/>
    </w:pPr>
    <w:rPr>
      <w:rFonts w:asciiTheme="majorHAnsi" w:hAnsiTheme="majorHAnsi" w:eastAsiaTheme="majorEastAsia"/>
      <w:b/>
      <w:bCs/>
      <w:kern w:val="32"/>
      <w:sz w:val="32"/>
      <w:szCs w:val="32"/>
    </w:rPr>
  </w:style>
  <w:style w:type="paragraph" w:styleId="3">
    <w:name w:val="heading 2"/>
    <w:basedOn w:val="1"/>
    <w:next w:val="1"/>
    <w:link w:val="21"/>
    <w:semiHidden/>
    <w:unhideWhenUsed/>
    <w:qFormat/>
    <w:uiPriority w:val="9"/>
    <w:pPr>
      <w:keepNext/>
      <w:widowControl/>
      <w:spacing w:before="240" w:after="60"/>
      <w:jc w:val="left"/>
      <w:outlineLvl w:val="1"/>
    </w:pPr>
    <w:rPr>
      <w:rFonts w:asciiTheme="majorHAnsi" w:hAnsiTheme="majorHAnsi" w:eastAsiaTheme="majorEastAsia"/>
      <w:b/>
      <w:bCs/>
      <w:i/>
      <w:iCs/>
      <w:kern w:val="0"/>
      <w:sz w:val="28"/>
      <w:szCs w:val="28"/>
    </w:rPr>
  </w:style>
  <w:style w:type="paragraph" w:styleId="4">
    <w:name w:val="heading 3"/>
    <w:basedOn w:val="1"/>
    <w:next w:val="1"/>
    <w:link w:val="22"/>
    <w:semiHidden/>
    <w:unhideWhenUsed/>
    <w:qFormat/>
    <w:uiPriority w:val="9"/>
    <w:pPr>
      <w:keepNext/>
      <w:widowControl/>
      <w:spacing w:before="240" w:after="60"/>
      <w:jc w:val="left"/>
      <w:outlineLvl w:val="2"/>
    </w:pPr>
    <w:rPr>
      <w:rFonts w:asciiTheme="majorHAnsi" w:hAnsiTheme="majorHAnsi" w:eastAsiaTheme="majorEastAsia"/>
      <w:b/>
      <w:bCs/>
      <w:kern w:val="0"/>
      <w:sz w:val="26"/>
      <w:szCs w:val="26"/>
    </w:rPr>
  </w:style>
  <w:style w:type="paragraph" w:styleId="5">
    <w:name w:val="heading 4"/>
    <w:basedOn w:val="1"/>
    <w:next w:val="1"/>
    <w:link w:val="23"/>
    <w:semiHidden/>
    <w:unhideWhenUsed/>
    <w:qFormat/>
    <w:uiPriority w:val="9"/>
    <w:pPr>
      <w:keepNext/>
      <w:widowControl/>
      <w:spacing w:before="240" w:after="60"/>
      <w:jc w:val="left"/>
      <w:outlineLvl w:val="3"/>
    </w:pPr>
    <w:rPr>
      <w:rFonts w:asciiTheme="minorHAnsi" w:hAnsiTheme="minorHAnsi" w:eastAsiaTheme="minorEastAsia"/>
      <w:b/>
      <w:bCs/>
      <w:kern w:val="0"/>
      <w:sz w:val="28"/>
      <w:szCs w:val="28"/>
    </w:rPr>
  </w:style>
  <w:style w:type="paragraph" w:styleId="6">
    <w:name w:val="heading 5"/>
    <w:basedOn w:val="1"/>
    <w:next w:val="1"/>
    <w:link w:val="24"/>
    <w:semiHidden/>
    <w:unhideWhenUsed/>
    <w:qFormat/>
    <w:uiPriority w:val="9"/>
    <w:pPr>
      <w:widowControl/>
      <w:spacing w:before="240" w:after="60"/>
      <w:jc w:val="left"/>
      <w:outlineLvl w:val="4"/>
    </w:pPr>
    <w:rPr>
      <w:rFonts w:asciiTheme="minorHAnsi" w:hAnsiTheme="minorHAnsi" w:eastAsiaTheme="minorEastAsia"/>
      <w:b/>
      <w:bCs/>
      <w:i/>
      <w:iCs/>
      <w:kern w:val="0"/>
      <w:sz w:val="26"/>
      <w:szCs w:val="26"/>
    </w:rPr>
  </w:style>
  <w:style w:type="paragraph" w:styleId="7">
    <w:name w:val="heading 6"/>
    <w:basedOn w:val="1"/>
    <w:next w:val="1"/>
    <w:link w:val="25"/>
    <w:semiHidden/>
    <w:unhideWhenUsed/>
    <w:qFormat/>
    <w:uiPriority w:val="9"/>
    <w:pPr>
      <w:widowControl/>
      <w:spacing w:before="240" w:after="60"/>
      <w:jc w:val="left"/>
      <w:outlineLvl w:val="5"/>
    </w:pPr>
    <w:rPr>
      <w:rFonts w:asciiTheme="minorHAnsi" w:hAnsiTheme="minorHAnsi" w:eastAsiaTheme="minorEastAsia"/>
      <w:b/>
      <w:bCs/>
      <w:kern w:val="0"/>
      <w:sz w:val="22"/>
      <w:szCs w:val="22"/>
    </w:rPr>
  </w:style>
  <w:style w:type="paragraph" w:styleId="8">
    <w:name w:val="heading 7"/>
    <w:basedOn w:val="1"/>
    <w:next w:val="1"/>
    <w:link w:val="26"/>
    <w:semiHidden/>
    <w:unhideWhenUsed/>
    <w:qFormat/>
    <w:uiPriority w:val="9"/>
    <w:pPr>
      <w:widowControl/>
      <w:spacing w:before="240" w:after="60"/>
      <w:jc w:val="left"/>
      <w:outlineLvl w:val="6"/>
    </w:pPr>
    <w:rPr>
      <w:rFonts w:asciiTheme="minorHAnsi" w:hAnsiTheme="minorHAnsi" w:eastAsiaTheme="minorEastAsia"/>
      <w:kern w:val="0"/>
      <w:sz w:val="24"/>
    </w:rPr>
  </w:style>
  <w:style w:type="paragraph" w:styleId="9">
    <w:name w:val="heading 8"/>
    <w:basedOn w:val="1"/>
    <w:next w:val="1"/>
    <w:link w:val="27"/>
    <w:semiHidden/>
    <w:unhideWhenUsed/>
    <w:qFormat/>
    <w:uiPriority w:val="9"/>
    <w:pPr>
      <w:widowControl/>
      <w:spacing w:before="240" w:after="60"/>
      <w:jc w:val="left"/>
      <w:outlineLvl w:val="7"/>
    </w:pPr>
    <w:rPr>
      <w:rFonts w:asciiTheme="minorHAnsi" w:hAnsiTheme="minorHAnsi" w:eastAsiaTheme="minorEastAsia"/>
      <w:i/>
      <w:iCs/>
      <w:kern w:val="0"/>
      <w:sz w:val="24"/>
    </w:rPr>
  </w:style>
  <w:style w:type="paragraph" w:styleId="10">
    <w:name w:val="heading 9"/>
    <w:basedOn w:val="1"/>
    <w:next w:val="1"/>
    <w:link w:val="28"/>
    <w:semiHidden/>
    <w:unhideWhenUsed/>
    <w:qFormat/>
    <w:uiPriority w:val="9"/>
    <w:pPr>
      <w:widowControl/>
      <w:spacing w:before="240" w:after="60"/>
      <w:jc w:val="left"/>
      <w:outlineLvl w:val="8"/>
    </w:pPr>
    <w:rPr>
      <w:rFonts w:asciiTheme="majorHAnsi" w:hAnsiTheme="majorHAnsi" w:eastAsiaTheme="majorEastAsia"/>
      <w:kern w:val="0"/>
      <w:sz w:val="22"/>
      <w:szCs w:val="22"/>
    </w:rPr>
  </w:style>
  <w:style w:type="character" w:default="1" w:styleId="17">
    <w:name w:val="Default Paragraph Font"/>
    <w:semiHidden/>
    <w:unhideWhenUsed/>
    <w:uiPriority w:val="1"/>
  </w:style>
  <w:style w:type="table" w:default="1" w:styleId="16">
    <w:name w:val="Normal Table"/>
    <w:semiHidden/>
    <w:unhideWhenUsed/>
    <w:uiPriority w:val="99"/>
    <w:tblPr>
      <w:tblCellMar>
        <w:top w:w="0" w:type="dxa"/>
        <w:left w:w="108" w:type="dxa"/>
        <w:bottom w:w="0" w:type="dxa"/>
        <w:right w:w="108" w:type="dxa"/>
      </w:tblCellMar>
    </w:tblPr>
  </w:style>
  <w:style w:type="paragraph" w:styleId="11">
    <w:name w:val="Balloon Text"/>
    <w:basedOn w:val="1"/>
    <w:link w:val="45"/>
    <w:semiHidden/>
    <w:unhideWhenUsed/>
    <w:qFormat/>
    <w:uiPriority w:val="99"/>
    <w:rPr>
      <w:sz w:val="18"/>
      <w:szCs w:val="18"/>
    </w:rPr>
  </w:style>
  <w:style w:type="paragraph" w:styleId="12">
    <w:name w:val="footer"/>
    <w:basedOn w:val="1"/>
    <w:link w:val="44"/>
    <w:unhideWhenUsed/>
    <w:qFormat/>
    <w:uiPriority w:val="99"/>
    <w:pPr>
      <w:tabs>
        <w:tab w:val="center" w:pos="4153"/>
        <w:tab w:val="right" w:pos="8306"/>
      </w:tabs>
      <w:snapToGrid w:val="0"/>
      <w:jc w:val="left"/>
    </w:pPr>
    <w:rPr>
      <w:rFonts w:ascii="Calibri" w:hAnsi="Calibri"/>
      <w:sz w:val="18"/>
      <w:szCs w:val="18"/>
    </w:rPr>
  </w:style>
  <w:style w:type="paragraph" w:styleId="13">
    <w:name w:val="header"/>
    <w:basedOn w:val="1"/>
    <w:link w:val="43"/>
    <w:unhideWhenUsed/>
    <w:qFormat/>
    <w:uiPriority w:val="99"/>
    <w:pPr>
      <w:pBdr>
        <w:bottom w:val="single" w:color="auto" w:sz="6" w:space="1"/>
      </w:pBdr>
      <w:tabs>
        <w:tab w:val="center" w:pos="4153"/>
        <w:tab w:val="right" w:pos="8306"/>
      </w:tabs>
      <w:snapToGrid w:val="0"/>
      <w:jc w:val="center"/>
    </w:pPr>
    <w:rPr>
      <w:rFonts w:ascii="Calibri" w:hAnsi="Calibri"/>
      <w:sz w:val="18"/>
      <w:szCs w:val="18"/>
    </w:rPr>
  </w:style>
  <w:style w:type="paragraph" w:styleId="14">
    <w:name w:val="Subtitle"/>
    <w:basedOn w:val="1"/>
    <w:next w:val="1"/>
    <w:link w:val="30"/>
    <w:qFormat/>
    <w:uiPriority w:val="11"/>
    <w:pPr>
      <w:widowControl/>
      <w:spacing w:after="60"/>
      <w:jc w:val="center"/>
      <w:outlineLvl w:val="1"/>
    </w:pPr>
    <w:rPr>
      <w:rFonts w:asciiTheme="majorHAnsi" w:hAnsiTheme="majorHAnsi" w:eastAsiaTheme="majorEastAsia"/>
      <w:kern w:val="0"/>
      <w:sz w:val="24"/>
    </w:rPr>
  </w:style>
  <w:style w:type="paragraph" w:styleId="15">
    <w:name w:val="Title"/>
    <w:basedOn w:val="1"/>
    <w:next w:val="1"/>
    <w:link w:val="29"/>
    <w:qFormat/>
    <w:uiPriority w:val="10"/>
    <w:pPr>
      <w:widowControl/>
      <w:spacing w:before="240" w:after="60"/>
      <w:jc w:val="center"/>
      <w:outlineLvl w:val="0"/>
    </w:pPr>
    <w:rPr>
      <w:rFonts w:asciiTheme="majorHAnsi" w:hAnsiTheme="majorHAnsi" w:eastAsiaTheme="majorEastAsia"/>
      <w:b/>
      <w:bCs/>
      <w:kern w:val="28"/>
      <w:sz w:val="32"/>
      <w:szCs w:val="32"/>
    </w:rPr>
  </w:style>
  <w:style w:type="character" w:styleId="18">
    <w:name w:val="Strong"/>
    <w:basedOn w:val="17"/>
    <w:qFormat/>
    <w:uiPriority w:val="0"/>
    <w:rPr>
      <w:b/>
      <w:bCs/>
    </w:rPr>
  </w:style>
  <w:style w:type="character" w:styleId="19">
    <w:name w:val="Emphasis"/>
    <w:basedOn w:val="17"/>
    <w:qFormat/>
    <w:uiPriority w:val="20"/>
    <w:rPr>
      <w:rFonts w:asciiTheme="minorHAnsi" w:hAnsiTheme="minorHAnsi"/>
      <w:b/>
      <w:i/>
      <w:iCs/>
    </w:rPr>
  </w:style>
  <w:style w:type="character" w:customStyle="1" w:styleId="20">
    <w:name w:val="标题 1 字符"/>
    <w:basedOn w:val="17"/>
    <w:link w:val="2"/>
    <w:qFormat/>
    <w:uiPriority w:val="9"/>
    <w:rPr>
      <w:rFonts w:asciiTheme="majorHAnsi" w:hAnsiTheme="majorHAnsi" w:eastAsiaTheme="majorEastAsia"/>
      <w:b/>
      <w:bCs/>
      <w:kern w:val="32"/>
      <w:sz w:val="32"/>
      <w:szCs w:val="32"/>
    </w:rPr>
  </w:style>
  <w:style w:type="character" w:customStyle="1" w:styleId="21">
    <w:name w:val="标题 2 字符"/>
    <w:basedOn w:val="17"/>
    <w:link w:val="3"/>
    <w:semiHidden/>
    <w:qFormat/>
    <w:uiPriority w:val="9"/>
    <w:rPr>
      <w:rFonts w:asciiTheme="majorHAnsi" w:hAnsiTheme="majorHAnsi" w:eastAsiaTheme="majorEastAsia"/>
      <w:b/>
      <w:bCs/>
      <w:i/>
      <w:iCs/>
      <w:sz w:val="28"/>
      <w:szCs w:val="28"/>
    </w:rPr>
  </w:style>
  <w:style w:type="character" w:customStyle="1" w:styleId="22">
    <w:name w:val="标题 3 字符"/>
    <w:basedOn w:val="17"/>
    <w:link w:val="4"/>
    <w:semiHidden/>
    <w:qFormat/>
    <w:uiPriority w:val="9"/>
    <w:rPr>
      <w:rFonts w:asciiTheme="majorHAnsi" w:hAnsiTheme="majorHAnsi" w:eastAsiaTheme="majorEastAsia"/>
      <w:b/>
      <w:bCs/>
      <w:sz w:val="26"/>
      <w:szCs w:val="26"/>
    </w:rPr>
  </w:style>
  <w:style w:type="character" w:customStyle="1" w:styleId="23">
    <w:name w:val="标题 4 字符"/>
    <w:basedOn w:val="17"/>
    <w:link w:val="5"/>
    <w:semiHidden/>
    <w:qFormat/>
    <w:uiPriority w:val="9"/>
    <w:rPr>
      <w:b/>
      <w:bCs/>
      <w:sz w:val="28"/>
      <w:szCs w:val="28"/>
    </w:rPr>
  </w:style>
  <w:style w:type="character" w:customStyle="1" w:styleId="24">
    <w:name w:val="标题 5 字符"/>
    <w:basedOn w:val="17"/>
    <w:link w:val="6"/>
    <w:semiHidden/>
    <w:qFormat/>
    <w:uiPriority w:val="9"/>
    <w:rPr>
      <w:b/>
      <w:bCs/>
      <w:i/>
      <w:iCs/>
      <w:sz w:val="26"/>
      <w:szCs w:val="26"/>
    </w:rPr>
  </w:style>
  <w:style w:type="character" w:customStyle="1" w:styleId="25">
    <w:name w:val="标题 6 字符"/>
    <w:basedOn w:val="17"/>
    <w:link w:val="7"/>
    <w:semiHidden/>
    <w:qFormat/>
    <w:uiPriority w:val="9"/>
    <w:rPr>
      <w:b/>
      <w:bCs/>
    </w:rPr>
  </w:style>
  <w:style w:type="character" w:customStyle="1" w:styleId="26">
    <w:name w:val="标题 7 字符"/>
    <w:basedOn w:val="17"/>
    <w:link w:val="8"/>
    <w:semiHidden/>
    <w:qFormat/>
    <w:uiPriority w:val="9"/>
    <w:rPr>
      <w:sz w:val="24"/>
      <w:szCs w:val="24"/>
    </w:rPr>
  </w:style>
  <w:style w:type="character" w:customStyle="1" w:styleId="27">
    <w:name w:val="标题 8 字符"/>
    <w:basedOn w:val="17"/>
    <w:link w:val="9"/>
    <w:semiHidden/>
    <w:qFormat/>
    <w:uiPriority w:val="9"/>
    <w:rPr>
      <w:i/>
      <w:iCs/>
      <w:sz w:val="24"/>
      <w:szCs w:val="24"/>
    </w:rPr>
  </w:style>
  <w:style w:type="character" w:customStyle="1" w:styleId="28">
    <w:name w:val="标题 9 字符"/>
    <w:basedOn w:val="17"/>
    <w:link w:val="10"/>
    <w:semiHidden/>
    <w:qFormat/>
    <w:uiPriority w:val="9"/>
    <w:rPr>
      <w:rFonts w:asciiTheme="majorHAnsi" w:hAnsiTheme="majorHAnsi" w:eastAsiaTheme="majorEastAsia"/>
    </w:rPr>
  </w:style>
  <w:style w:type="character" w:customStyle="1" w:styleId="29">
    <w:name w:val="标题 字符"/>
    <w:basedOn w:val="17"/>
    <w:link w:val="15"/>
    <w:qFormat/>
    <w:uiPriority w:val="10"/>
    <w:rPr>
      <w:rFonts w:asciiTheme="majorHAnsi" w:hAnsiTheme="majorHAnsi" w:eastAsiaTheme="majorEastAsia"/>
      <w:b/>
      <w:bCs/>
      <w:kern w:val="28"/>
      <w:sz w:val="32"/>
      <w:szCs w:val="32"/>
    </w:rPr>
  </w:style>
  <w:style w:type="character" w:customStyle="1" w:styleId="30">
    <w:name w:val="副标题 字符"/>
    <w:basedOn w:val="17"/>
    <w:link w:val="14"/>
    <w:qFormat/>
    <w:uiPriority w:val="11"/>
    <w:rPr>
      <w:rFonts w:asciiTheme="majorHAnsi" w:hAnsiTheme="majorHAnsi" w:eastAsiaTheme="majorEastAsia"/>
      <w:sz w:val="24"/>
      <w:szCs w:val="24"/>
    </w:rPr>
  </w:style>
  <w:style w:type="paragraph" w:styleId="31">
    <w:name w:val="No Spacing"/>
    <w:basedOn w:val="1"/>
    <w:qFormat/>
    <w:uiPriority w:val="1"/>
    <w:pPr>
      <w:widowControl/>
      <w:jc w:val="left"/>
    </w:pPr>
    <w:rPr>
      <w:rFonts w:asciiTheme="minorHAnsi" w:hAnsiTheme="minorHAnsi" w:eastAsiaTheme="minorEastAsia"/>
      <w:kern w:val="0"/>
      <w:sz w:val="24"/>
      <w:szCs w:val="32"/>
      <w:lang w:eastAsia="en-US" w:bidi="en-US"/>
    </w:rPr>
  </w:style>
  <w:style w:type="paragraph" w:styleId="32">
    <w:name w:val="List Paragraph"/>
    <w:basedOn w:val="1"/>
    <w:qFormat/>
    <w:uiPriority w:val="34"/>
    <w:pPr>
      <w:widowControl/>
      <w:ind w:left="720"/>
      <w:contextualSpacing/>
      <w:jc w:val="left"/>
    </w:pPr>
    <w:rPr>
      <w:rFonts w:asciiTheme="minorHAnsi" w:hAnsiTheme="minorHAnsi" w:eastAsiaTheme="minorEastAsia"/>
      <w:kern w:val="0"/>
      <w:sz w:val="24"/>
      <w:lang w:eastAsia="en-US" w:bidi="en-US"/>
    </w:rPr>
  </w:style>
  <w:style w:type="paragraph" w:styleId="33">
    <w:name w:val="Quote"/>
    <w:basedOn w:val="1"/>
    <w:next w:val="1"/>
    <w:link w:val="34"/>
    <w:qFormat/>
    <w:uiPriority w:val="29"/>
    <w:pPr>
      <w:widowControl/>
      <w:jc w:val="left"/>
    </w:pPr>
    <w:rPr>
      <w:rFonts w:asciiTheme="minorHAnsi" w:hAnsiTheme="minorHAnsi" w:eastAsiaTheme="minorEastAsia"/>
      <w:i/>
      <w:kern w:val="0"/>
      <w:sz w:val="24"/>
    </w:rPr>
  </w:style>
  <w:style w:type="character" w:customStyle="1" w:styleId="34">
    <w:name w:val="引用 字符"/>
    <w:basedOn w:val="17"/>
    <w:link w:val="33"/>
    <w:qFormat/>
    <w:uiPriority w:val="29"/>
    <w:rPr>
      <w:i/>
      <w:sz w:val="24"/>
      <w:szCs w:val="24"/>
    </w:rPr>
  </w:style>
  <w:style w:type="paragraph" w:styleId="35">
    <w:name w:val="Intense Quote"/>
    <w:basedOn w:val="1"/>
    <w:next w:val="1"/>
    <w:link w:val="36"/>
    <w:qFormat/>
    <w:uiPriority w:val="30"/>
    <w:pPr>
      <w:widowControl/>
      <w:ind w:left="720" w:right="720"/>
      <w:jc w:val="left"/>
    </w:pPr>
    <w:rPr>
      <w:rFonts w:asciiTheme="minorHAnsi" w:hAnsiTheme="minorHAnsi" w:eastAsiaTheme="minorEastAsia"/>
      <w:b/>
      <w:i/>
      <w:kern w:val="0"/>
      <w:sz w:val="24"/>
      <w:szCs w:val="22"/>
    </w:rPr>
  </w:style>
  <w:style w:type="character" w:customStyle="1" w:styleId="36">
    <w:name w:val="明显引用 字符"/>
    <w:basedOn w:val="17"/>
    <w:link w:val="35"/>
    <w:qFormat/>
    <w:uiPriority w:val="30"/>
    <w:rPr>
      <w:b/>
      <w:i/>
      <w:sz w:val="24"/>
    </w:rPr>
  </w:style>
  <w:style w:type="character" w:customStyle="1" w:styleId="37">
    <w:name w:val="不明显强调1"/>
    <w:qFormat/>
    <w:uiPriority w:val="19"/>
    <w:rPr>
      <w:i/>
      <w:color w:val="595959" w:themeColor="text1" w:themeTint="A6"/>
      <w14:textFill>
        <w14:solidFill>
          <w14:schemeClr w14:val="tx1">
            <w14:lumMod w14:val="65000"/>
            <w14:lumOff w14:val="35000"/>
          </w14:schemeClr>
        </w14:solidFill>
      </w14:textFill>
    </w:rPr>
  </w:style>
  <w:style w:type="character" w:customStyle="1" w:styleId="38">
    <w:name w:val="明显强调1"/>
    <w:basedOn w:val="17"/>
    <w:qFormat/>
    <w:uiPriority w:val="21"/>
    <w:rPr>
      <w:b/>
      <w:i/>
      <w:sz w:val="24"/>
      <w:szCs w:val="24"/>
      <w:u w:val="single"/>
    </w:rPr>
  </w:style>
  <w:style w:type="character" w:customStyle="1" w:styleId="39">
    <w:name w:val="不明显参考1"/>
    <w:basedOn w:val="17"/>
    <w:qFormat/>
    <w:uiPriority w:val="31"/>
    <w:rPr>
      <w:sz w:val="24"/>
      <w:szCs w:val="24"/>
      <w:u w:val="single"/>
    </w:rPr>
  </w:style>
  <w:style w:type="character" w:customStyle="1" w:styleId="40">
    <w:name w:val="明显参考1"/>
    <w:basedOn w:val="17"/>
    <w:qFormat/>
    <w:uiPriority w:val="32"/>
    <w:rPr>
      <w:b/>
      <w:sz w:val="24"/>
      <w:u w:val="single"/>
    </w:rPr>
  </w:style>
  <w:style w:type="character" w:customStyle="1" w:styleId="41">
    <w:name w:val="书籍标题1"/>
    <w:basedOn w:val="17"/>
    <w:qFormat/>
    <w:uiPriority w:val="33"/>
    <w:rPr>
      <w:rFonts w:asciiTheme="majorHAnsi" w:hAnsiTheme="majorHAnsi" w:eastAsiaTheme="majorEastAsia"/>
      <w:b/>
      <w:i/>
      <w:sz w:val="24"/>
      <w:szCs w:val="24"/>
    </w:rPr>
  </w:style>
  <w:style w:type="paragraph" w:customStyle="1" w:styleId="42">
    <w:name w:val="TOC 标题1"/>
    <w:basedOn w:val="2"/>
    <w:next w:val="1"/>
    <w:semiHidden/>
    <w:unhideWhenUsed/>
    <w:qFormat/>
    <w:uiPriority w:val="39"/>
    <w:pPr>
      <w:outlineLvl w:val="9"/>
    </w:pPr>
    <w:rPr>
      <w:lang w:eastAsia="en-US" w:bidi="en-US"/>
    </w:rPr>
  </w:style>
  <w:style w:type="character" w:customStyle="1" w:styleId="43">
    <w:name w:val="页眉 字符"/>
    <w:basedOn w:val="17"/>
    <w:link w:val="13"/>
    <w:qFormat/>
    <w:uiPriority w:val="99"/>
    <w:rPr>
      <w:rFonts w:ascii="Calibri" w:hAnsi="Calibri" w:eastAsia="宋体"/>
      <w:kern w:val="2"/>
      <w:sz w:val="18"/>
      <w:szCs w:val="18"/>
    </w:rPr>
  </w:style>
  <w:style w:type="character" w:customStyle="1" w:styleId="44">
    <w:name w:val="页脚 字符"/>
    <w:basedOn w:val="17"/>
    <w:link w:val="12"/>
    <w:qFormat/>
    <w:uiPriority w:val="99"/>
    <w:rPr>
      <w:rFonts w:ascii="Calibri" w:hAnsi="Calibri" w:eastAsia="宋体"/>
      <w:kern w:val="2"/>
      <w:sz w:val="18"/>
      <w:szCs w:val="18"/>
    </w:rPr>
  </w:style>
  <w:style w:type="character" w:customStyle="1" w:styleId="45">
    <w:name w:val="批注框文本 字符"/>
    <w:basedOn w:val="17"/>
    <w:link w:val="11"/>
    <w:semiHidden/>
    <w:qFormat/>
    <w:uiPriority w:val="99"/>
    <w:rPr>
      <w:rFonts w:ascii="Times New Roman" w:hAnsi="Times New Roman" w:eastAsia="宋体"/>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7817</Words>
  <Characters>8268</Characters>
  <Lines>4</Lines>
  <Paragraphs>1</Paragraphs>
  <TotalTime>72</TotalTime>
  <ScaleCrop>false</ScaleCrop>
  <LinksUpToDate>false</LinksUpToDate>
  <CharactersWithSpaces>8417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2018-08-15T02:06:00Z</dcterms:created>
  <dc:creator>赵 恺（预算处）</dc:creator>
  <cp:lastModifiedBy>Administrator</cp:lastModifiedBy>
  <cp:lastPrinted>2018-12-31T10:56:00Z</cp:lastPrinted>
  <dcterms:modified xsi:type="dcterms:W3CDTF">2023-09-06T04:25:34Z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AB21F45AA6CE453E911AB58C63A00E83</vt:lpwstr>
  </property>
</Properties>
</file>