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54" w:name="_GoBack"/>
      <w:bookmarkEnd w:id="54"/>
    </w:p>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44"/>
          <w:szCs w:val="44"/>
        </w:rPr>
      </w:pPr>
      <w:r>
        <w:rPr>
          <w:rFonts w:hint="eastAsia" w:ascii="方正小标宋_GBK" w:hAnsi="宋体" w:eastAsia="方正小标宋_GBK"/>
          <w:sz w:val="44"/>
          <w:szCs w:val="44"/>
        </w:rPr>
        <w:t>乌鲁木齐市逸夫小学2022年度部门</w:t>
      </w:r>
    </w:p>
    <w:p>
      <w:pPr>
        <w:jc w:val="center"/>
        <w:rPr>
          <w:rFonts w:hint="eastAsia" w:ascii="方正小标宋_GBK" w:hAnsi="宋体" w:eastAsia="方正小标宋_GBK"/>
          <w:sz w:val="44"/>
          <w:szCs w:val="44"/>
        </w:rPr>
      </w:pPr>
      <w:r>
        <w:rPr>
          <w:rFonts w:hint="eastAsia" w:ascii="方正小标宋_GBK" w:hAnsi="宋体" w:eastAsia="方正小标宋_GBK"/>
          <w:sz w:val="44"/>
          <w:szCs w:val="44"/>
        </w:rPr>
        <w:t>决算公开说明</w:t>
      </w:r>
    </w:p>
    <w:p>
      <w:pPr>
        <w:jc w:val="center"/>
        <w:rPr>
          <w:rFonts w:hint="eastAsia"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6"/>
        <w:tabs>
          <w:tab w:val="right" w:pos="8306"/>
        </w:tabs>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_Toc32314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_Toc30567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sz w:val="32"/>
          <w:szCs w:val="32"/>
        </w:rPr>
        <w:fldChar w:fldCharType="end"/>
      </w:r>
    </w:p>
    <w:p>
      <w:pPr>
        <w:pStyle w:val="6"/>
        <w:tabs>
          <w:tab w:val="righ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_Toc29374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_Toc5810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sz w:val="32"/>
          <w:szCs w:val="32"/>
        </w:rPr>
        <w:fldChar w:fldCharType="end"/>
      </w:r>
    </w:p>
    <w:p>
      <w:pPr>
        <w:rPr>
          <w:rFonts w:hint="eastAsia"/>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_Toc5810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sz w:val="32"/>
          <w:szCs w:val="32"/>
        </w:rPr>
        <w:fldChar w:fldCharType="end"/>
      </w:r>
    </w:p>
    <w:p>
      <w:pPr>
        <w:pStyle w:val="3"/>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_Toc11283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sz w:val="32"/>
          <w:szCs w:val="32"/>
        </w:rPr>
        <w:fldChar w:fldCharType="end"/>
      </w:r>
    </w:p>
    <w:p>
      <w:pPr>
        <w:pStyle w:val="6"/>
        <w:tabs>
          <w:tab w:val="righ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_Toc3250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6"/>
        <w:tabs>
          <w:tab w:val="righ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_Toc22784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_Toc24532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sz w:val="32"/>
          <w:szCs w:val="32"/>
        </w:rPr>
        <w:fldChar w:fldCharType="end"/>
      </w:r>
    </w:p>
    <w:p>
      <w:pPr>
        <w:pStyle w:val="7"/>
        <w:tabs>
          <w:tab w:val="right" w:pos="8306"/>
        </w:tabs>
        <w:ind w:left="0" w:leftChars="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fldChar w:fldCharType="begin"/>
      </w:r>
      <w:r>
        <w:rPr>
          <w:rFonts w:hint="eastAsia" w:ascii="仿宋_GB2312" w:hAnsi="仿宋_GB2312" w:eastAsia="仿宋_GB2312" w:cs="仿宋_GB2312"/>
          <w:bCs/>
          <w:kern w:val="0"/>
          <w:sz w:val="32"/>
          <w:szCs w:val="32"/>
        </w:rPr>
        <w:instrText xml:space="preserve"> HYPERLINK \l _Toc7643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hint="eastAsia"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738"/>
      <w:bookmarkStart w:id="3" w:name="_Toc30567"/>
      <w:r>
        <w:rPr>
          <w:rFonts w:hint="eastAsia" w:ascii="黑体" w:hAnsi="黑体" w:eastAsia="黑体" w:cs="宋体"/>
          <w:bCs/>
          <w:kern w:val="0"/>
          <w:sz w:val="32"/>
          <w:szCs w:val="32"/>
        </w:rPr>
        <w:t>一、主要职能</w:t>
      </w:r>
      <w:bookmarkEnd w:id="2"/>
      <w:bookmarkEnd w:id="3"/>
    </w:p>
    <w:p>
      <w:pPr>
        <w:ind w:firstLine="640" w:firstLineChars="200"/>
        <w:outlineLvl w:val="1"/>
        <w:rPr>
          <w:rFonts w:hint="eastAsia" w:ascii="仿宋_GB2312" w:eastAsia="仿宋_GB2312"/>
          <w:sz w:val="32"/>
          <w:szCs w:val="32"/>
        </w:rPr>
      </w:pPr>
      <w:bookmarkStart w:id="4" w:name="_Toc31238"/>
      <w:bookmarkStart w:id="5" w:name="_Toc2151"/>
      <w:r>
        <w:rPr>
          <w:rFonts w:hint="eastAsia" w:ascii="仿宋_GB2312" w:eastAsia="仿宋_GB2312"/>
          <w:sz w:val="32"/>
          <w:szCs w:val="32"/>
        </w:rPr>
        <w:t>乌鲁木齐市逸夫小学系属于水磨沟区区属小学，属于全额拨款事业单位，上级主管部门为乌鲁木齐市水磨沟区教育局。</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工作职能是实施小学义务教育，促进基础教育发展，小学学历教育。</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我校属于公益一类事业单位，单位经自主申报主管部门审核现执行事业单位工资制度。</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我校全面贯彻执行党和国家的教育方针，坚持社会主义办学方向。不断提升教师专业素养，提高教育质量，以素质教育为核心，以构建和谐校园为目标，以基础教育课程改革思想为先导，以常规管理为保障，以教师队伍建设为重点，以课堂教学改革为突破口，建立富于激励性的管理机制。</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努力建立一支志存高远、学求博深、为人师表的教师队伍，面向全体学生，开发潜能，促进学生生动活泼主动发展，建立温馨和谐的育人氛围。</w:t>
      </w:r>
    </w:p>
    <w:p>
      <w:pPr>
        <w:ind w:firstLine="640" w:firstLineChars="200"/>
        <w:outlineLvl w:val="1"/>
        <w:rPr>
          <w:rFonts w:hint="eastAsia"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shd w:val="clear" w:color="auto" w:fill="FFFFFF"/>
        <w:spacing w:line="360" w:lineRule="auto"/>
        <w:ind w:firstLine="640"/>
        <w:rPr>
          <w:rFonts w:eastAsia="Times New Roman"/>
          <w:kern w:val="0"/>
          <w:sz w:val="32"/>
        </w:rPr>
      </w:pPr>
      <w:bookmarkStart w:id="6" w:name="_Toc29374"/>
      <w:bookmarkStart w:id="7" w:name="_Toc3092"/>
      <w:r>
        <w:rPr>
          <w:rFonts w:hint="eastAsia" w:ascii="仿宋_GB2312" w:hAnsi="仿宋_GB2312" w:eastAsia="仿宋_GB2312"/>
          <w:kern w:val="0"/>
          <w:sz w:val="32"/>
        </w:rPr>
        <w:t>乌鲁木齐市逸夫小学2022年度，实有人数98人，其中：在职人员69人，离休人员0人，退休人员29人。</w:t>
      </w:r>
    </w:p>
    <w:p>
      <w:pPr>
        <w:shd w:val="clear" w:color="auto" w:fill="FFFFFF"/>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rPr>
        <w:t>从部门决算单位构成看，乌鲁木齐市逸夫小学部门决算包括：乌鲁木齐市逸夫小学</w:t>
      </w:r>
      <w:r>
        <w:rPr>
          <w:rFonts w:hint="eastAsia" w:ascii="仿宋_GB2312" w:hAnsi="仿宋_GB2312" w:eastAsia="仿宋_GB2312"/>
          <w:kern w:val="0"/>
          <w:sz w:val="32"/>
          <w:lang w:val="zh-CN"/>
        </w:rPr>
        <w:t>决算。单位无下属预算单位，下设9个科室，分别是：有党支部、行政办公室、德育处、教务处、教科研室、保卫科、工会、团支部、少先大队。</w:t>
      </w:r>
    </w:p>
    <w:p>
      <w:pPr>
        <w:ind w:firstLine="640" w:firstLineChars="200"/>
        <w:jc w:val="center"/>
        <w:outlineLvl w:val="0"/>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hint="eastAsia"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pPr>
        <w:ind w:firstLine="640" w:firstLineChars="200"/>
        <w:rPr>
          <w:rFonts w:hint="eastAsia" w:ascii="仿宋_GB2312" w:eastAsia="仿宋_GB2312"/>
          <w:sz w:val="32"/>
          <w:szCs w:val="32"/>
        </w:rPr>
      </w:pPr>
      <w:r>
        <w:rPr>
          <w:rFonts w:hint="eastAsia" w:ascii="仿宋_GB2312" w:eastAsia="仿宋_GB2312"/>
          <w:sz w:val="32"/>
          <w:szCs w:val="32"/>
        </w:rPr>
        <w:t>2022年度收入总计1341.85万元，其中：本年收入合计1270.6万元，使用非财政拨款结余0万元，年初结转和结余71.25万元。收入总计与上年相比，减少257.34万元，下降16.09%，主要原因是：传统文化特色项目经费减少、</w:t>
      </w:r>
      <w:r>
        <w:rPr>
          <w:rFonts w:hint="eastAsia" w:ascii="仿宋_GB2312" w:eastAsia="仿宋_GB2312"/>
          <w:kern w:val="0"/>
          <w:sz w:val="32"/>
        </w:rPr>
        <w:t>公用经费减少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年支出总计1341.85万元，其中：本年支出合计1328.43万元，结余分配0万元，年末结转和结余13.41万元。支出总计与上年相比，减少257.34万元，下降16.09%，主要原因是：传统文化特色项目经费支出减少、2022年下半年公用经费支出减少。</w:t>
      </w:r>
    </w:p>
    <w:p>
      <w:pPr>
        <w:ind w:firstLine="640" w:firstLineChars="200"/>
        <w:outlineLvl w:val="1"/>
        <w:rPr>
          <w:rFonts w:hint="eastAsia" w:ascii="黑体" w:hAnsi="黑体" w:eastAsia="黑体" w:cs="宋体"/>
          <w:bCs/>
          <w:kern w:val="0"/>
          <w:sz w:val="32"/>
          <w:szCs w:val="32"/>
        </w:rPr>
      </w:pPr>
      <w:bookmarkStart w:id="10" w:name="_Toc12142"/>
      <w:bookmarkStart w:id="11" w:name="_Toc1979"/>
      <w:r>
        <w:rPr>
          <w:rFonts w:hint="eastAsia" w:ascii="黑体" w:hAnsi="黑体" w:eastAsia="黑体" w:cs="宋体"/>
          <w:bCs/>
          <w:kern w:val="0"/>
          <w:sz w:val="32"/>
          <w:szCs w:val="32"/>
        </w:rPr>
        <w:t>二、收入决算情况说明</w:t>
      </w:r>
      <w:bookmarkEnd w:id="10"/>
      <w:bookmarkEnd w:id="11"/>
    </w:p>
    <w:p>
      <w:pPr>
        <w:ind w:firstLine="640" w:firstLineChars="200"/>
        <w:rPr>
          <w:rFonts w:hint="eastAsia" w:ascii="仿宋_GB2312" w:eastAsia="仿宋_GB2312"/>
          <w:sz w:val="32"/>
          <w:szCs w:val="32"/>
        </w:rPr>
      </w:pPr>
      <w:r>
        <w:rPr>
          <w:rFonts w:hint="eastAsia" w:ascii="仿宋_GB2312" w:eastAsia="仿宋_GB2312"/>
          <w:sz w:val="32"/>
          <w:szCs w:val="32"/>
        </w:rPr>
        <w:t>2022年度本年收入1270.6万元，其中：财政拨款收入1240.43万元，占97.63%；上级补助收入0万元，占0%；事业收入0万元，占0%；经营收入0万元，占0%；附属单位上缴收入0万元，占0%；其他收入30.17万元，占2.37%。</w:t>
      </w:r>
    </w:p>
    <w:p>
      <w:pPr>
        <w:ind w:firstLine="640" w:firstLineChars="200"/>
        <w:outlineLvl w:val="1"/>
        <w:rPr>
          <w:rFonts w:hint="eastAsia" w:ascii="黑体" w:hAnsi="黑体" w:eastAsia="黑体" w:cs="宋体"/>
          <w:bCs/>
          <w:kern w:val="0"/>
          <w:sz w:val="32"/>
          <w:szCs w:val="32"/>
        </w:rPr>
      </w:pPr>
      <w:bookmarkStart w:id="12" w:name="_Toc13201"/>
      <w:bookmarkStart w:id="13" w:name="_Toc27961"/>
      <w:r>
        <w:rPr>
          <w:rFonts w:hint="eastAsia" w:ascii="黑体" w:hAnsi="黑体" w:eastAsia="黑体" w:cs="宋体"/>
          <w:bCs/>
          <w:kern w:val="0"/>
          <w:sz w:val="32"/>
          <w:szCs w:val="32"/>
        </w:rPr>
        <w:t>三、支出决算情况说明</w:t>
      </w:r>
      <w:bookmarkEnd w:id="12"/>
      <w:bookmarkEnd w:id="13"/>
    </w:p>
    <w:p>
      <w:pPr>
        <w:ind w:firstLine="640" w:firstLineChars="200"/>
        <w:rPr>
          <w:rFonts w:hint="eastAsia" w:ascii="仿宋_GB2312" w:eastAsia="仿宋_GB2312"/>
          <w:sz w:val="32"/>
          <w:szCs w:val="32"/>
        </w:rPr>
      </w:pPr>
      <w:r>
        <w:rPr>
          <w:rFonts w:hint="eastAsia" w:ascii="仿宋_GB2312" w:eastAsia="仿宋_GB2312"/>
          <w:sz w:val="32"/>
          <w:szCs w:val="32"/>
        </w:rPr>
        <w:t>2022年度本年支出1328.43万元，其中：基本支出1204.21万元，占90.65%；项目支出124.22万元，占9.35%；上缴上级支出0万元，占0%；经营支出0万元，占0%；对附属单位补助支出0万元，占0%。</w:t>
      </w:r>
    </w:p>
    <w:p>
      <w:pPr>
        <w:ind w:firstLine="640" w:firstLineChars="200"/>
        <w:outlineLvl w:val="1"/>
        <w:rPr>
          <w:rFonts w:hint="eastAsia" w:ascii="黑体" w:hAnsi="黑体" w:eastAsia="黑体" w:cs="宋体"/>
          <w:bCs/>
          <w:kern w:val="0"/>
          <w:sz w:val="32"/>
          <w:szCs w:val="32"/>
        </w:rPr>
      </w:pPr>
      <w:bookmarkStart w:id="14" w:name="_Toc4393"/>
      <w:bookmarkStart w:id="15" w:name="_Toc26564"/>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hint="eastAsia" w:ascii="仿宋_GB2312" w:eastAsia="仿宋_GB2312"/>
          <w:sz w:val="32"/>
          <w:szCs w:val="32"/>
          <w:highlight w:val="yellow"/>
        </w:rPr>
      </w:pPr>
      <w:r>
        <w:rPr>
          <w:rFonts w:hint="eastAsia" w:ascii="仿宋_GB2312" w:eastAsia="仿宋_GB2312"/>
          <w:sz w:val="32"/>
          <w:szCs w:val="32"/>
        </w:rPr>
        <w:t>2022年度财政拨款收入总计1297.23万元，其中：年初财政拨款结转和结余56.8万元，财政拨款本年收入1240.43万元。财政拨款收入总计与上年相比，减少220.05万元，下降14.50%，主要原因是：</w:t>
      </w:r>
      <w:r>
        <w:rPr>
          <w:rFonts w:hint="eastAsia" w:ascii="仿宋_GB2312" w:hAnsi="仿宋_GB2312" w:eastAsia="仿宋_GB2312"/>
          <w:kern w:val="0"/>
          <w:sz w:val="32"/>
        </w:rPr>
        <w:t>新工招教师人员工资增加，调社保和公积金基数</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财政拨款支出总计1297.23万元，其中：年末财政拨款结转和结余0.48万元，财政拨款本年支出1296.75万元。财政拨款支出总计与上年相比，减少220.05万元，下降14.50%，主要原因是：2022年下半年公用经费支出减少。</w:t>
      </w:r>
    </w:p>
    <w:p>
      <w:pPr>
        <w:ind w:firstLine="640" w:firstLineChars="200"/>
        <w:rPr>
          <w:rFonts w:hint="eastAsia" w:ascii="仿宋_GB2312" w:eastAsia="仿宋_GB2312"/>
          <w:sz w:val="32"/>
          <w:szCs w:val="32"/>
        </w:rPr>
      </w:pPr>
      <w:r>
        <w:rPr>
          <w:rFonts w:hint="eastAsia" w:ascii="仿宋_GB2312" w:eastAsia="仿宋_GB2312"/>
          <w:sz w:val="32"/>
          <w:szCs w:val="32"/>
        </w:rPr>
        <w:t>与年初预算数相比情况：财政拨款收入总计年初预算数1223.17万元，决算数1297.23万元，预决算差异率6.05%，主要原因是：</w:t>
      </w:r>
      <w:r>
        <w:rPr>
          <w:rFonts w:hint="eastAsia" w:ascii="仿宋_GB2312" w:hAnsi="仿宋_GB2312" w:eastAsia="仿宋_GB2312"/>
          <w:kern w:val="0"/>
          <w:sz w:val="32"/>
        </w:rPr>
        <w:t>是社保、公积金等基数增大,调资</w:t>
      </w:r>
      <w:r>
        <w:rPr>
          <w:rFonts w:hint="eastAsia" w:ascii="仿宋_GB2312" w:eastAsia="仿宋_GB2312"/>
          <w:sz w:val="32"/>
          <w:szCs w:val="32"/>
        </w:rPr>
        <w:t>。财政拨款支出总计年初预算数1223.17万元，决算数1297.23万元，预决算差异率6.05%，主要原因是：</w:t>
      </w:r>
      <w:r>
        <w:rPr>
          <w:rFonts w:hint="eastAsia" w:ascii="仿宋_GB2312" w:hAnsi="仿宋_GB2312" w:eastAsia="仿宋_GB2312"/>
          <w:kern w:val="0"/>
          <w:sz w:val="32"/>
        </w:rPr>
        <w:t>是社保、公积金等基数增大,调资</w:t>
      </w:r>
      <w:r>
        <w:rPr>
          <w:rFonts w:hint="eastAsia" w:ascii="仿宋_GB2312" w:eastAsia="仿宋_GB2312"/>
          <w:sz w:val="32"/>
          <w:szCs w:val="32"/>
        </w:rPr>
        <w:t>。</w:t>
      </w:r>
    </w:p>
    <w:p>
      <w:pPr>
        <w:ind w:firstLine="640" w:firstLineChars="200"/>
        <w:outlineLvl w:val="1"/>
        <w:rPr>
          <w:rFonts w:hint="eastAsia" w:ascii="黑体" w:hAnsi="黑体" w:eastAsia="黑体" w:cs="宋体"/>
          <w:bCs/>
          <w:kern w:val="0"/>
          <w:sz w:val="32"/>
          <w:szCs w:val="32"/>
        </w:rPr>
      </w:pPr>
      <w:bookmarkStart w:id="16" w:name="_Toc20360"/>
      <w:bookmarkStart w:id="17" w:name="_Toc13833"/>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hint="eastAsia" w:ascii="黑体" w:hAnsi="黑体" w:eastAsia="黑体"/>
          <w:sz w:val="32"/>
          <w:szCs w:val="32"/>
        </w:rPr>
      </w:pPr>
      <w:r>
        <w:rPr>
          <w:rFonts w:hint="eastAsia" w:ascii="黑体" w:hAnsi="黑体" w:eastAsia="黑体"/>
          <w:sz w:val="32"/>
          <w:szCs w:val="32"/>
        </w:rPr>
        <w:t>（一）一般公共预算财政拨款支出决算总体情况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2022年度一般公共预算财政拨款支出1296.75万元，占本年支出合计的97.62%，与上年相比减少163.73万元，下降11.21%，主要原因是：2022年下半年公用经费支出减少。</w:t>
      </w:r>
    </w:p>
    <w:p>
      <w:pPr>
        <w:ind w:firstLine="640" w:firstLineChars="200"/>
        <w:outlineLvl w:val="2"/>
        <w:rPr>
          <w:rFonts w:hint="eastAsia" w:ascii="黑体" w:hAnsi="黑体" w:eastAsia="黑体"/>
          <w:sz w:val="32"/>
          <w:szCs w:val="32"/>
        </w:rPr>
      </w:pPr>
    </w:p>
    <w:p>
      <w:pPr>
        <w:ind w:firstLine="640" w:firstLineChars="200"/>
        <w:outlineLvl w:val="2"/>
        <w:rPr>
          <w:rFonts w:hint="eastAsia" w:ascii="黑体" w:hAnsi="黑体" w:eastAsia="黑体"/>
          <w:sz w:val="32"/>
          <w:szCs w:val="32"/>
        </w:rPr>
      </w:pPr>
      <w:r>
        <w:rPr>
          <w:rFonts w:hint="eastAsia" w:ascii="黑体" w:hAnsi="黑体" w:eastAsia="黑体"/>
          <w:sz w:val="32"/>
          <w:szCs w:val="32"/>
        </w:rPr>
        <w:t>（二）一般公共预算财政拨款支出决算结构情况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1.2050202 小学教育1283.1</w:t>
      </w:r>
      <w:r>
        <w:rPr>
          <w:rFonts w:hint="eastAsia" w:ascii="仿宋_GB2312" w:hAnsi="仿宋_GB2312" w:eastAsia="仿宋_GB2312" w:cs="仿宋_GB2312"/>
          <w:kern w:val="0"/>
          <w:sz w:val="32"/>
          <w:szCs w:val="32"/>
        </w:rPr>
        <w:t>万元，占</w:t>
      </w:r>
      <w:r>
        <w:rPr>
          <w:rFonts w:hint="eastAsia" w:ascii="仿宋_GB2312" w:eastAsia="仿宋_GB2312"/>
          <w:sz w:val="32"/>
          <w:szCs w:val="32"/>
        </w:rPr>
        <w:t>98.95</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黑体" w:hAnsi="黑体" w:eastAsia="黑体"/>
          <w:sz w:val="32"/>
          <w:szCs w:val="32"/>
        </w:rPr>
      </w:pPr>
      <w:r>
        <w:rPr>
          <w:rFonts w:hint="eastAsia" w:ascii="仿宋_GB2312" w:hAnsi="仿宋_GB2312" w:eastAsia="仿宋_GB2312" w:cs="仿宋_GB2312"/>
          <w:kern w:val="0"/>
          <w:sz w:val="32"/>
          <w:szCs w:val="32"/>
        </w:rPr>
        <w:t>2.2050904 城市中小学教学设施13.65万元，占</w:t>
      </w:r>
      <w:r>
        <w:rPr>
          <w:rFonts w:hint="eastAsia" w:ascii="仿宋_GB2312" w:eastAsia="仿宋_GB2312"/>
          <w:sz w:val="32"/>
          <w:szCs w:val="32"/>
        </w:rPr>
        <w:t>1.05</w:t>
      </w:r>
      <w:r>
        <w:rPr>
          <w:rFonts w:hint="eastAsia" w:ascii="仿宋_GB2312" w:hAnsi="仿宋_GB2312" w:eastAsia="仿宋_GB2312" w:cs="仿宋_GB2312"/>
          <w:kern w:val="0"/>
          <w:sz w:val="32"/>
          <w:szCs w:val="32"/>
        </w:rPr>
        <w:t>%。</w:t>
      </w:r>
    </w:p>
    <w:p>
      <w:pPr>
        <w:ind w:firstLine="640" w:firstLineChars="200"/>
        <w:outlineLvl w:val="2"/>
        <w:rPr>
          <w:rFonts w:hint="eastAsia" w:ascii="黑体" w:hAnsi="黑体" w:eastAsia="黑体"/>
          <w:sz w:val="32"/>
          <w:szCs w:val="32"/>
        </w:rPr>
      </w:pPr>
      <w:r>
        <w:rPr>
          <w:rFonts w:hint="eastAsia" w:ascii="黑体" w:hAnsi="黑体" w:eastAsia="黑体"/>
          <w:sz w:val="32"/>
          <w:szCs w:val="32"/>
        </w:rPr>
        <w:t>（三）一般公共预算财政拨款支出决算具体情况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2050202 小学教育</w:t>
      </w:r>
      <w:r>
        <w:rPr>
          <w:rFonts w:hint="eastAsia" w:ascii="仿宋_GB2312" w:hAnsi="仿宋_GB2312" w:eastAsia="仿宋_GB2312" w:cs="仿宋_GB2312"/>
          <w:kern w:val="0"/>
          <w:sz w:val="32"/>
          <w:szCs w:val="32"/>
        </w:rPr>
        <w:t>:支出决算数为</w:t>
      </w:r>
      <w:r>
        <w:rPr>
          <w:rFonts w:hint="eastAsia" w:ascii="仿宋_GB2312" w:hAnsi="仿宋_GB2312" w:eastAsia="仿宋_GB2312" w:cs="仿宋_GB2312"/>
          <w:sz w:val="32"/>
          <w:szCs w:val="32"/>
        </w:rPr>
        <w:t>1283.1</w:t>
      </w:r>
      <w:r>
        <w:rPr>
          <w:rFonts w:hint="eastAsia" w:ascii="仿宋_GB2312" w:hAnsi="仿宋_GB2312" w:eastAsia="仿宋_GB2312" w:cs="仿宋_GB2312"/>
          <w:kern w:val="0"/>
          <w:sz w:val="32"/>
          <w:szCs w:val="32"/>
        </w:rPr>
        <w:t>万元，比上年决算减少67.07万元，下降4.96%，主要原因是：</w:t>
      </w:r>
      <w:r>
        <w:rPr>
          <w:rFonts w:hint="eastAsia" w:ascii="仿宋_GB2312" w:eastAsia="仿宋_GB2312"/>
          <w:sz w:val="32"/>
          <w:szCs w:val="32"/>
        </w:rPr>
        <w:t>2022年下半年公用经费支出减少</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2.2050904 城市中小学教学设施:支出决算数为13.65万元，比上年决算增加11.73万元，增长610.94%，主要原因是：2022年支出市级体育和传统文化特色学校建设项目补助资金。</w:t>
      </w:r>
    </w:p>
    <w:p>
      <w:pPr>
        <w:ind w:firstLine="640" w:firstLineChars="200"/>
        <w:outlineLvl w:val="1"/>
        <w:rPr>
          <w:rFonts w:hint="eastAsia" w:ascii="黑体" w:hAnsi="黑体" w:eastAsia="黑体" w:cs="宋体"/>
          <w:bCs/>
          <w:kern w:val="0"/>
          <w:sz w:val="32"/>
          <w:szCs w:val="32"/>
        </w:rPr>
      </w:pPr>
      <w:bookmarkStart w:id="18" w:name="_Toc11146"/>
      <w:bookmarkStart w:id="19" w:name="_Toc30870"/>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hint="eastAsia" w:ascii="仿宋_GB2312" w:eastAsia="仿宋_GB2312"/>
          <w:sz w:val="32"/>
          <w:szCs w:val="32"/>
        </w:rPr>
      </w:pPr>
      <w:r>
        <w:rPr>
          <w:rFonts w:hint="eastAsia" w:ascii="仿宋_GB2312" w:eastAsia="仿宋_GB2312"/>
          <w:sz w:val="32"/>
          <w:szCs w:val="32"/>
        </w:rPr>
        <w:t>2022年度一般公共预算财政拨款基本支出1204.04万元，其中：</w:t>
      </w:r>
    </w:p>
    <w:p>
      <w:pPr>
        <w:ind w:firstLine="640" w:firstLineChars="200"/>
        <w:rPr>
          <w:rFonts w:hint="eastAsia" w:ascii="仿宋_GB2312" w:eastAsia="仿宋_GB2312"/>
          <w:sz w:val="32"/>
          <w:szCs w:val="32"/>
        </w:rPr>
      </w:pPr>
      <w:r>
        <w:rPr>
          <w:rFonts w:hint="eastAsia" w:ascii="仿宋_GB2312" w:eastAsia="仿宋_GB2312"/>
          <w:sz w:val="32"/>
          <w:szCs w:val="32"/>
        </w:rPr>
        <w:t>人员经费1183.04万元，包括：基本工资、津贴补贴、奖金、绩效工资、机关事业单位基本养老保险缴费、职工基本医疗保险缴费、其他社会保障缴费、住房公积金、退休费、奖励金。</w:t>
      </w:r>
    </w:p>
    <w:p>
      <w:pPr>
        <w:ind w:firstLine="640" w:firstLineChars="200"/>
        <w:rPr>
          <w:rFonts w:hint="eastAsia" w:ascii="仿宋_GB2312" w:eastAsia="仿宋_GB2312"/>
          <w:sz w:val="32"/>
          <w:szCs w:val="32"/>
        </w:rPr>
      </w:pPr>
      <w:r>
        <w:rPr>
          <w:rFonts w:hint="eastAsia" w:ascii="仿宋_GB2312" w:eastAsia="仿宋_GB2312"/>
          <w:sz w:val="32"/>
          <w:szCs w:val="32"/>
        </w:rPr>
        <w:t>公用经费21万元，包括：水费、电费、取暖费、培训费、工会经费、其他交通费用、其他商品和服务支出。</w:t>
      </w:r>
    </w:p>
    <w:p>
      <w:pPr>
        <w:ind w:firstLine="640" w:firstLineChars="200"/>
        <w:outlineLvl w:val="1"/>
        <w:rPr>
          <w:rFonts w:hint="eastAsia"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hint="eastAsia" w:ascii="仿宋_GB2312" w:eastAsia="仿宋_GB2312"/>
          <w:sz w:val="32"/>
          <w:szCs w:val="32"/>
        </w:rPr>
      </w:pPr>
      <w:r>
        <w:rPr>
          <w:rFonts w:hint="eastAsia" w:ascii="仿宋_GB2312" w:eastAsia="仿宋_GB2312"/>
          <w:sz w:val="32"/>
          <w:szCs w:val="32"/>
        </w:rPr>
        <w:t>2022年度财政拨款“三公”经费支出决算0万元，比上年增加（减少）0万元，增长（下降）0%，主要原因是：</w:t>
      </w:r>
      <w:r>
        <w:rPr>
          <w:rFonts w:hint="eastAsia" w:ascii="仿宋_GB2312" w:eastAsia="仿宋_GB2312"/>
          <w:kern w:val="0"/>
          <w:sz w:val="32"/>
        </w:rPr>
        <w:t>无“三公”经费支出</w:t>
      </w:r>
      <w:r>
        <w:rPr>
          <w:rFonts w:hint="eastAsia" w:ascii="仿宋_GB2312" w:eastAsia="仿宋_GB2312"/>
          <w:sz w:val="32"/>
          <w:szCs w:val="32"/>
        </w:rPr>
        <w:t>。其中：因公出国（境）费支出0万元，占0%，比上年增加（减少）0万元，增长（下降）0%，主要原因是：</w:t>
      </w:r>
      <w:r>
        <w:rPr>
          <w:rFonts w:hint="eastAsia" w:ascii="仿宋_GB2312" w:eastAsia="仿宋_GB2312"/>
          <w:kern w:val="0"/>
          <w:sz w:val="32"/>
        </w:rPr>
        <w:t>无“三公”经费支出</w:t>
      </w:r>
      <w:r>
        <w:rPr>
          <w:rFonts w:hint="eastAsia" w:ascii="仿宋_GB2312" w:eastAsia="仿宋_GB2312"/>
          <w:sz w:val="32"/>
          <w:szCs w:val="32"/>
        </w:rPr>
        <w:t>；公务用车购置及运行维护费支出0万元，占0%，比上年增加（减少）0万元，增长（下降）0%，主要原因是：</w:t>
      </w:r>
      <w:r>
        <w:rPr>
          <w:rFonts w:hint="eastAsia" w:ascii="仿宋_GB2312" w:eastAsia="仿宋_GB2312"/>
          <w:kern w:val="0"/>
          <w:sz w:val="32"/>
        </w:rPr>
        <w:t>无“三公”经费支出</w:t>
      </w:r>
      <w:r>
        <w:rPr>
          <w:rFonts w:hint="eastAsia" w:ascii="仿宋_GB2312" w:eastAsia="仿宋_GB2312"/>
          <w:sz w:val="32"/>
          <w:szCs w:val="32"/>
        </w:rPr>
        <w:t>；公务接待费支出0万元，占0%，比上年增加（减少）0万元，增长（下降）0%，主要原因是：</w:t>
      </w:r>
      <w:r>
        <w:rPr>
          <w:rFonts w:hint="eastAsia" w:ascii="仿宋_GB2312" w:eastAsia="仿宋_GB2312"/>
          <w:kern w:val="0"/>
          <w:sz w:val="32"/>
        </w:rPr>
        <w:t>无“三公”经费支出</w:t>
      </w:r>
      <w:r>
        <w:rPr>
          <w:rFonts w:hint="eastAsia" w:ascii="仿宋_GB2312" w:eastAsia="仿宋_GB2312"/>
          <w:sz w:val="32"/>
          <w:szCs w:val="32"/>
        </w:rPr>
        <w:t>。具体情况如下：</w:t>
      </w:r>
    </w:p>
    <w:p>
      <w:pPr>
        <w:ind w:firstLine="640" w:firstLineChars="200"/>
        <w:rPr>
          <w:rFonts w:hint="eastAsia" w:ascii="仿宋_GB2312" w:eastAsia="仿宋_GB2312"/>
          <w:sz w:val="32"/>
          <w:szCs w:val="32"/>
        </w:rPr>
      </w:pPr>
      <w:r>
        <w:rPr>
          <w:rFonts w:hint="eastAsia" w:ascii="仿宋_GB2312" w:eastAsia="仿宋_GB2312"/>
          <w:sz w:val="32"/>
          <w:szCs w:val="32"/>
        </w:rPr>
        <w:t>因公出国（境）费支出0万元，开支内容包括无。单位全年安排的因公出国（境）团组0个，因公出国（境）0人次。</w:t>
      </w:r>
    </w:p>
    <w:p>
      <w:pPr>
        <w:ind w:firstLine="640" w:firstLineChars="200"/>
        <w:rPr>
          <w:rFonts w:hint="eastAsia" w:ascii="仿宋_GB2312" w:eastAsia="仿宋_GB2312"/>
          <w:sz w:val="32"/>
          <w:szCs w:val="32"/>
        </w:rPr>
      </w:pPr>
      <w:r>
        <w:rPr>
          <w:rFonts w:hint="eastAsia" w:ascii="仿宋_GB2312" w:eastAsia="仿宋_GB2312"/>
          <w:sz w:val="32"/>
          <w:szCs w:val="32"/>
        </w:rPr>
        <w:t>公务用车购置及运行维护费0万元，其中：公务用车购置费0万元，公务用车运行维护费0万元。公务用车运行维护费开支内容包括无。公务用车购置数0辆，公务用车保有量0辆。</w:t>
      </w:r>
    </w:p>
    <w:p>
      <w:pPr>
        <w:ind w:firstLine="640" w:firstLineChars="200"/>
        <w:rPr>
          <w:rFonts w:hint="eastAsia" w:ascii="仿宋_GB2312" w:eastAsia="仿宋_GB2312"/>
          <w:sz w:val="32"/>
          <w:szCs w:val="32"/>
        </w:rPr>
      </w:pPr>
      <w:r>
        <w:rPr>
          <w:rFonts w:hint="eastAsia" w:ascii="仿宋_GB2312" w:eastAsia="仿宋_GB2312"/>
          <w:sz w:val="32"/>
          <w:szCs w:val="32"/>
        </w:rPr>
        <w:t>公务接待费0万元，开支内容包括无。单位全年安排的国内公务接待0批次，0人次。</w:t>
      </w:r>
    </w:p>
    <w:p>
      <w:pPr>
        <w:ind w:firstLine="640" w:firstLineChars="200"/>
        <w:rPr>
          <w:rFonts w:hint="eastAsia" w:ascii="仿宋_GB2312" w:eastAsia="仿宋_GB2312"/>
          <w:sz w:val="32"/>
          <w:szCs w:val="32"/>
        </w:rPr>
      </w:pPr>
      <w:r>
        <w:rPr>
          <w:rFonts w:hint="eastAsia" w:ascii="仿宋_GB2312" w:eastAsia="仿宋_GB2312"/>
          <w:sz w:val="32"/>
          <w:szCs w:val="32"/>
        </w:rPr>
        <w:t>与全年预算数相比情况：“三公”经费支出全年预算数0.61万元，决算数0万元，预决算差异率-100%，主要原因是：</w:t>
      </w:r>
      <w:r>
        <w:rPr>
          <w:rFonts w:hint="eastAsia" w:ascii="仿宋_GB2312" w:eastAsia="仿宋_GB2312"/>
          <w:kern w:val="0"/>
          <w:sz w:val="32"/>
        </w:rPr>
        <w:t>无“三公”经费支出</w:t>
      </w:r>
      <w:r>
        <w:rPr>
          <w:rFonts w:hint="eastAsia" w:ascii="仿宋_GB2312" w:eastAsia="仿宋_GB2312"/>
          <w:sz w:val="32"/>
          <w:szCs w:val="32"/>
        </w:rPr>
        <w:t>。</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0万元，决算数0万元，预决算差异率0%，主要原因是：</w:t>
      </w:r>
      <w:r>
        <w:rPr>
          <w:rFonts w:hint="eastAsia" w:ascii="仿宋_GB2312" w:eastAsia="仿宋_GB2312"/>
          <w:kern w:val="0"/>
          <w:sz w:val="32"/>
        </w:rPr>
        <w:t>无“三公”经费支出</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费全年预算数0万元，决算数0万元，预决算差异率0%，主要原因是：</w:t>
      </w:r>
      <w:r>
        <w:rPr>
          <w:rFonts w:hint="eastAsia" w:ascii="仿宋_GB2312" w:eastAsia="仿宋_GB2312"/>
          <w:kern w:val="0"/>
          <w:sz w:val="32"/>
        </w:rPr>
        <w:t>无“三公”经费支出</w:t>
      </w:r>
      <w:r>
        <w:rPr>
          <w:rFonts w:hint="eastAsia" w:ascii="仿宋_GB2312" w:eastAsia="仿宋_GB2312"/>
          <w:sz w:val="32"/>
          <w:szCs w:val="32"/>
        </w:rPr>
        <w:t>；</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预算数0万元，决算数0万元，预决算差异率0%，主要原因是：</w:t>
      </w:r>
      <w:r>
        <w:rPr>
          <w:rFonts w:hint="eastAsia" w:ascii="仿宋_GB2312" w:eastAsia="仿宋_GB2312"/>
          <w:kern w:val="0"/>
          <w:sz w:val="32"/>
        </w:rPr>
        <w:t>无“三公”经费支出</w:t>
      </w:r>
      <w:r>
        <w:rPr>
          <w:rFonts w:hint="eastAsia" w:ascii="仿宋_GB2312" w:eastAsia="仿宋_GB2312"/>
          <w:sz w:val="32"/>
          <w:szCs w:val="32"/>
        </w:rPr>
        <w:t>；</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预算数0.61万元，决算数0万元，预决算差异率-100%，主要原因是：</w:t>
      </w:r>
      <w:r>
        <w:rPr>
          <w:rFonts w:hint="eastAsia" w:ascii="仿宋_GB2312" w:eastAsia="仿宋_GB2312"/>
          <w:kern w:val="0"/>
          <w:sz w:val="32"/>
        </w:rPr>
        <w:t>无“三公”经费支出</w:t>
      </w:r>
      <w:r>
        <w:rPr>
          <w:rFonts w:hint="eastAsia" w:ascii="仿宋_GB2312" w:eastAsia="仿宋_GB2312"/>
          <w:sz w:val="32"/>
          <w:szCs w:val="32"/>
        </w:rPr>
        <w:t>。</w:t>
      </w:r>
    </w:p>
    <w:p>
      <w:pPr>
        <w:ind w:firstLine="640" w:firstLineChars="200"/>
        <w:outlineLvl w:val="1"/>
        <w:rPr>
          <w:rFonts w:hint="eastAsia"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hint="eastAsia"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outlineLvl w:val="1"/>
        <w:rPr>
          <w:rFonts w:hint="eastAsia"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outlineLvl w:val="1"/>
        <w:rPr>
          <w:rFonts w:hint="eastAsia" w:ascii="黑体" w:hAnsi="黑体" w:eastAsia="黑体" w:cs="宋体"/>
          <w:bCs/>
          <w:kern w:val="0"/>
          <w:sz w:val="32"/>
          <w:szCs w:val="32"/>
        </w:rPr>
      </w:pPr>
      <w:bookmarkStart w:id="24" w:name="_Toc7314"/>
      <w:bookmarkStart w:id="25" w:name="_Toc1235"/>
      <w:r>
        <w:rPr>
          <w:rFonts w:hint="eastAsia" w:ascii="黑体" w:hAnsi="黑体" w:eastAsia="黑体" w:cs="宋体"/>
          <w:bCs/>
          <w:kern w:val="0"/>
          <w:sz w:val="32"/>
          <w:szCs w:val="32"/>
        </w:rPr>
        <w:t>十、其他重要事项的情况说明</w:t>
      </w:r>
      <w:bookmarkEnd w:id="24"/>
      <w:bookmarkEnd w:id="25"/>
    </w:p>
    <w:p>
      <w:pPr>
        <w:ind w:firstLine="640" w:firstLineChars="200"/>
        <w:outlineLvl w:val="2"/>
        <w:rPr>
          <w:rFonts w:hint="eastAsia" w:ascii="黑体" w:hAnsi="黑体" w:eastAsia="黑体"/>
          <w:sz w:val="32"/>
          <w:szCs w:val="32"/>
        </w:rPr>
      </w:pPr>
      <w:bookmarkStart w:id="26" w:name="_Toc14519"/>
      <w:bookmarkStart w:id="27" w:name="_Toc13105"/>
      <w:r>
        <w:rPr>
          <w:rFonts w:hint="eastAsia" w:ascii="黑体" w:hAnsi="黑体" w:eastAsia="黑体"/>
          <w:sz w:val="32"/>
          <w:szCs w:val="32"/>
        </w:rPr>
        <w:t>（一）机关运行经费支出情况</w:t>
      </w:r>
      <w:bookmarkEnd w:id="26"/>
      <w:bookmarkEnd w:id="27"/>
    </w:p>
    <w:p>
      <w:pPr>
        <w:ind w:firstLine="640" w:firstLineChars="200"/>
        <w:rPr>
          <w:rFonts w:hint="eastAsia" w:ascii="仿宋_GB2312" w:eastAsia="仿宋_GB2312"/>
          <w:sz w:val="32"/>
          <w:szCs w:val="32"/>
        </w:rPr>
      </w:pPr>
      <w:r>
        <w:rPr>
          <w:rFonts w:hint="eastAsia" w:ascii="仿宋_GB2312" w:eastAsia="仿宋_GB2312"/>
          <w:sz w:val="32"/>
          <w:szCs w:val="32"/>
        </w:rPr>
        <w:t>2022年度乌鲁木齐市逸夫小学公用经费21万元，比上年减少220.27万元，下降91.30%，主要原因是：2022年下半年公用经费支出减少。</w:t>
      </w:r>
    </w:p>
    <w:p>
      <w:pPr>
        <w:ind w:firstLine="640" w:firstLineChars="200"/>
        <w:outlineLvl w:val="2"/>
        <w:rPr>
          <w:rFonts w:hint="eastAsia" w:ascii="黑体" w:hAnsi="黑体" w:eastAsia="黑体"/>
          <w:sz w:val="32"/>
          <w:szCs w:val="32"/>
        </w:rPr>
      </w:pPr>
      <w:bookmarkStart w:id="28" w:name="_Toc26704"/>
      <w:bookmarkStart w:id="29" w:name="_Toc227"/>
      <w:r>
        <w:rPr>
          <w:rFonts w:hint="eastAsia" w:ascii="黑体" w:hAnsi="黑体" w:eastAsia="黑体"/>
          <w:sz w:val="32"/>
          <w:szCs w:val="32"/>
        </w:rPr>
        <w:t>（二）政府采购情况</w:t>
      </w:r>
      <w:bookmarkEnd w:id="28"/>
      <w:bookmarkEnd w:id="29"/>
    </w:p>
    <w:p>
      <w:pPr>
        <w:ind w:firstLine="640" w:firstLineChars="200"/>
        <w:rPr>
          <w:rFonts w:hint="eastAsia" w:ascii="仿宋_GB2312" w:eastAsia="仿宋_GB2312"/>
          <w:sz w:val="32"/>
          <w:szCs w:val="32"/>
        </w:rPr>
      </w:pPr>
      <w:r>
        <w:rPr>
          <w:rFonts w:hint="eastAsia" w:ascii="仿宋_GB2312" w:eastAsia="仿宋_GB2312"/>
          <w:sz w:val="32"/>
          <w:szCs w:val="32"/>
        </w:rPr>
        <w:t>2022年度政府采购支出总额0万元，其中：政府采购货物支出0万元、政府采购工程支出0万元、政府采购服务支出0万元。</w:t>
      </w:r>
    </w:p>
    <w:p>
      <w:pPr>
        <w:ind w:firstLine="640" w:firstLineChars="200"/>
        <w:rPr>
          <w:rFonts w:hint="eastAsia" w:ascii="仿宋_GB2312" w:eastAsia="仿宋_GB2312"/>
          <w:sz w:val="32"/>
          <w:szCs w:val="32"/>
        </w:rPr>
      </w:pPr>
      <w:r>
        <w:rPr>
          <w:rFonts w:hint="eastAsia" w:ascii="仿宋_GB2312" w:eastAsia="仿宋_GB2312"/>
          <w:sz w:val="32"/>
          <w:szCs w:val="32"/>
        </w:rPr>
        <w:t>授予中小企业合同金额0万元，占政府采购支出总额的0%，其中：授予小微企业合同金额0万元，占政府采购支出总额的0%。</w:t>
      </w:r>
    </w:p>
    <w:p>
      <w:pPr>
        <w:ind w:firstLine="640" w:firstLineChars="200"/>
        <w:outlineLvl w:val="2"/>
        <w:rPr>
          <w:rFonts w:hint="eastAsia" w:ascii="黑体" w:hAnsi="黑体" w:eastAsia="黑体"/>
          <w:sz w:val="32"/>
          <w:szCs w:val="32"/>
        </w:rPr>
      </w:pPr>
      <w:bookmarkStart w:id="30" w:name="_Toc8391"/>
      <w:bookmarkStart w:id="31" w:name="_Toc4591"/>
      <w:r>
        <w:rPr>
          <w:rFonts w:hint="eastAsia" w:ascii="黑体" w:hAnsi="黑体" w:eastAsia="黑体"/>
          <w:sz w:val="32"/>
          <w:szCs w:val="32"/>
        </w:rPr>
        <w:t>（三）国有资产占用情况说明</w:t>
      </w:r>
      <w:bookmarkEnd w:id="30"/>
      <w:bookmarkEnd w:id="31"/>
    </w:p>
    <w:p>
      <w:pPr>
        <w:ind w:firstLine="640" w:firstLineChars="200"/>
        <w:rPr>
          <w:rFonts w:hint="eastAsia" w:ascii="仿宋_GB2312" w:eastAsia="仿宋_GB2312"/>
          <w:sz w:val="32"/>
          <w:szCs w:val="32"/>
        </w:rPr>
      </w:pPr>
      <w:r>
        <w:rPr>
          <w:rFonts w:hint="eastAsia" w:ascii="仿宋_GB2312" w:eastAsia="仿宋_GB2312"/>
          <w:sz w:val="32"/>
          <w:szCs w:val="32"/>
        </w:rPr>
        <w:t>截止2022年12月31日，固定资产原值1654.76万元，房屋5391.37方米，价值606.83万元。车辆0辆，价值0万元，其中：副部（省）级及以上领导用车0辆、主要领导干部用车0辆、机要通信用车0辆、应急保障用车0辆、执法执勤用车0辆、特种专业技术用车0辆、离退休干部用车0辆、其他用车0辆，其他用车主要是：无其他用车；单价100万元（含）以上设备（不含车辆）0台（套）。</w:t>
      </w:r>
    </w:p>
    <w:p>
      <w:pPr>
        <w:ind w:firstLine="640" w:firstLineChars="200"/>
        <w:outlineLvl w:val="1"/>
        <w:rPr>
          <w:rFonts w:hint="eastAsia" w:ascii="黑体" w:hAnsi="黑体" w:eastAsia="黑体" w:cs="宋体"/>
          <w:bCs/>
          <w:kern w:val="0"/>
          <w:sz w:val="32"/>
          <w:szCs w:val="32"/>
        </w:rPr>
      </w:pPr>
      <w:bookmarkStart w:id="32" w:name="_Toc435"/>
      <w:bookmarkStart w:id="33" w:name="_Toc11283"/>
      <w:r>
        <w:rPr>
          <w:rFonts w:hint="eastAsia" w:ascii="黑体" w:hAnsi="黑体" w:eastAsia="黑体" w:cs="宋体"/>
          <w:bCs/>
          <w:kern w:val="0"/>
          <w:sz w:val="32"/>
          <w:szCs w:val="32"/>
        </w:rPr>
        <w:t>十一、预算绩效的情况说明</w:t>
      </w:r>
      <w:bookmarkEnd w:id="32"/>
      <w:bookmarkEnd w:id="33"/>
    </w:p>
    <w:p>
      <w:pPr>
        <w:shd w:val="clear" w:color="auto" w:fill="FFFFFF"/>
        <w:autoSpaceDE w:val="0"/>
        <w:autoSpaceDN w:val="0"/>
        <w:adjustRightInd w:val="0"/>
        <w:spacing w:line="360" w:lineRule="auto"/>
        <w:ind w:firstLine="640"/>
        <w:rPr>
          <w:rFonts w:hint="eastAsia" w:ascii="仿宋_GB2312" w:eastAsia="仿宋_GB2312"/>
          <w:kern w:val="0"/>
          <w:sz w:val="32"/>
        </w:rPr>
      </w:pPr>
      <w:r>
        <w:rPr>
          <w:rFonts w:hint="eastAsia" w:ascii="仿宋_GB2312" w:eastAsia="仿宋_GB2312"/>
          <w:sz w:val="32"/>
          <w:szCs w:val="32"/>
        </w:rPr>
        <w:t>根据预算绩效管理要求，我单位2022年度开展预算绩效评价项目4个，全年预算数103.11万元，全年执行数52.08万元。预算绩效管理取得的成效：</w:t>
      </w:r>
      <w:r>
        <w:rPr>
          <w:rFonts w:hint="eastAsia" w:ascii="仿宋_GB2312" w:eastAsia="仿宋_GB2312"/>
          <w:kern w:val="0"/>
          <w:sz w:val="32"/>
        </w:rPr>
        <w:t>一是不断健全预算管理工作制度，</w:t>
      </w:r>
      <w:r>
        <w:rPr>
          <w:rFonts w:hint="eastAsia" w:eastAsia="仿宋_GB2312"/>
          <w:kern w:val="0"/>
          <w:sz w:val="32"/>
        </w:rPr>
        <w:t>保障学校日常教育教学活动的正常开展，提高学校的办学条件，改善校园环境，更新教学设备，弥补日常公用经费的不足；</w:t>
      </w:r>
      <w:r>
        <w:rPr>
          <w:rFonts w:hint="eastAsia" w:ascii="仿宋_GB2312" w:eastAsia="仿宋_GB2312"/>
          <w:kern w:val="0"/>
          <w:sz w:val="32"/>
        </w:rPr>
        <w:t>二是</w:t>
      </w:r>
      <w:r>
        <w:rPr>
          <w:rFonts w:hint="eastAsia" w:eastAsia="仿宋_GB2312"/>
          <w:kern w:val="0"/>
          <w:sz w:val="32"/>
        </w:rPr>
        <w:t>提高教师工资待遇，提高薪资水平，有效促进教师工作积极性，保障学校正常教育教学工作顺利进行。</w:t>
      </w:r>
      <w:r>
        <w:rPr>
          <w:rFonts w:hint="eastAsia" w:ascii="仿宋_GB2312" w:eastAsia="仿宋_GB2312"/>
          <w:kern w:val="0"/>
          <w:sz w:val="32"/>
        </w:rPr>
        <w:t>发现的问题及原因：一是</w:t>
      </w:r>
      <w:r>
        <w:rPr>
          <w:rFonts w:hint="eastAsia" w:eastAsia="仿宋_GB2312"/>
          <w:kern w:val="0"/>
          <w:sz w:val="32"/>
        </w:rPr>
        <w:t>项目资金年初需及时拨付</w:t>
      </w:r>
      <w:r>
        <w:rPr>
          <w:rFonts w:hint="eastAsia" w:ascii="仿宋_GB2312" w:eastAsia="仿宋_GB2312"/>
          <w:kern w:val="0"/>
          <w:sz w:val="32"/>
        </w:rPr>
        <w:t>；二是</w:t>
      </w:r>
      <w:r>
        <w:rPr>
          <w:rFonts w:hint="eastAsia" w:eastAsia="仿宋_GB2312"/>
          <w:kern w:val="0"/>
          <w:sz w:val="32"/>
        </w:rPr>
        <w:t>资金申报计划及时批复</w:t>
      </w:r>
      <w:r>
        <w:rPr>
          <w:rFonts w:hint="eastAsia" w:ascii="仿宋_GB2312" w:eastAsia="仿宋_GB2312"/>
          <w:kern w:val="0"/>
          <w:sz w:val="32"/>
        </w:rPr>
        <w:t>。下一步改进措施:一是继续加强相关经费的使用管理，确保专项经费专款专用规定落实到位；二是更好的利用学校经费，保障了学校教学工作正常运转，为师生创造优美的学习环境。具体项目自评情况附项目支出绩效自评表。</w:t>
      </w:r>
    </w:p>
    <w:tbl>
      <w:tblPr>
        <w:tblStyle w:val="8"/>
        <w:tblW w:w="9895" w:type="dxa"/>
        <w:tblInd w:w="96" w:type="dxa"/>
        <w:tblLayout w:type="autofit"/>
        <w:tblCellMar>
          <w:top w:w="0" w:type="dxa"/>
          <w:left w:w="108" w:type="dxa"/>
          <w:bottom w:w="0" w:type="dxa"/>
          <w:right w:w="108" w:type="dxa"/>
        </w:tblCellMar>
      </w:tblPr>
      <w:tblGrid>
        <w:gridCol w:w="474"/>
        <w:gridCol w:w="475"/>
        <w:gridCol w:w="484"/>
        <w:gridCol w:w="1332"/>
        <w:gridCol w:w="1615"/>
        <w:gridCol w:w="869"/>
        <w:gridCol w:w="1056"/>
        <w:gridCol w:w="696"/>
        <w:gridCol w:w="310"/>
        <w:gridCol w:w="294"/>
        <w:gridCol w:w="369"/>
        <w:gridCol w:w="461"/>
        <w:gridCol w:w="366"/>
        <w:gridCol w:w="1094"/>
      </w:tblGrid>
      <w:tr>
        <w:tblPrEx>
          <w:tblCellMar>
            <w:top w:w="0" w:type="dxa"/>
            <w:left w:w="108" w:type="dxa"/>
            <w:bottom w:w="0" w:type="dxa"/>
            <w:right w:w="108" w:type="dxa"/>
          </w:tblCellMar>
        </w:tblPrEx>
        <w:trPr>
          <w:trHeight w:val="600" w:hRule="atLeast"/>
        </w:trPr>
        <w:tc>
          <w:tcPr>
            <w:tcW w:w="9895" w:type="dxa"/>
            <w:gridSpan w:val="14"/>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tblPrEx>
          <w:tblCellMar>
            <w:top w:w="0" w:type="dxa"/>
            <w:left w:w="108" w:type="dxa"/>
            <w:bottom w:w="0" w:type="dxa"/>
            <w:right w:w="108" w:type="dxa"/>
          </w:tblCellMar>
        </w:tblPrEx>
        <w:trPr>
          <w:trHeight w:val="300" w:hRule="atLeast"/>
        </w:trPr>
        <w:tc>
          <w:tcPr>
            <w:tcW w:w="9895" w:type="dxa"/>
            <w:gridSpan w:val="14"/>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108" w:type="dxa"/>
            <w:bottom w:w="0" w:type="dxa"/>
            <w:right w:w="108" w:type="dxa"/>
          </w:tblCellMar>
        </w:tblPrEx>
        <w:trPr>
          <w:trHeight w:val="391" w:hRule="atLeast"/>
        </w:trPr>
        <w:tc>
          <w:tcPr>
            <w:tcW w:w="9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8946"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城乡义务教育保障金区县配套（公用经费）</w:t>
            </w:r>
          </w:p>
        </w:tc>
      </w:tr>
      <w:tr>
        <w:tblPrEx>
          <w:tblCellMar>
            <w:top w:w="0" w:type="dxa"/>
            <w:left w:w="108" w:type="dxa"/>
            <w:bottom w:w="0" w:type="dxa"/>
            <w:right w:w="108" w:type="dxa"/>
          </w:tblCellMar>
        </w:tblPrEx>
        <w:trPr>
          <w:trHeight w:val="610" w:hRule="atLeast"/>
        </w:trPr>
        <w:tc>
          <w:tcPr>
            <w:tcW w:w="9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主管部门</w:t>
            </w:r>
          </w:p>
        </w:tc>
        <w:tc>
          <w:tcPr>
            <w:tcW w:w="535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实施单位</w:t>
            </w:r>
          </w:p>
        </w:tc>
        <w:tc>
          <w:tcPr>
            <w:tcW w:w="258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r>
      <w:tr>
        <w:tblPrEx>
          <w:tblCellMar>
            <w:top w:w="0" w:type="dxa"/>
            <w:left w:w="108" w:type="dxa"/>
            <w:bottom w:w="0" w:type="dxa"/>
            <w:right w:w="108" w:type="dxa"/>
          </w:tblCellMar>
        </w:tblPrEx>
        <w:trPr>
          <w:trHeight w:val="610" w:hRule="atLeast"/>
        </w:trPr>
        <w:tc>
          <w:tcPr>
            <w:tcW w:w="9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项目资金</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（万元）</w:t>
            </w:r>
          </w:p>
        </w:tc>
        <w:tc>
          <w:tcPr>
            <w:tcW w:w="18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年初预算数</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全年预算数</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全年执行数</w:t>
            </w:r>
          </w:p>
        </w:tc>
        <w:tc>
          <w:tcPr>
            <w:tcW w:w="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执行率</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r>
      <w:tr>
        <w:tblPrEx>
          <w:tblCellMar>
            <w:top w:w="0" w:type="dxa"/>
            <w:left w:w="108" w:type="dxa"/>
            <w:bottom w:w="0" w:type="dxa"/>
            <w:right w:w="108" w:type="dxa"/>
          </w:tblCellMar>
        </w:tblPrEx>
        <w:trPr>
          <w:trHeight w:val="610"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年度资金总额</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0.00</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14.35</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0.00</w:t>
            </w:r>
          </w:p>
        </w:tc>
        <w:tc>
          <w:tcPr>
            <w:tcW w:w="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0.00%</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0.00分</w:t>
            </w:r>
          </w:p>
        </w:tc>
      </w:tr>
      <w:tr>
        <w:tblPrEx>
          <w:tblCellMar>
            <w:top w:w="0" w:type="dxa"/>
            <w:left w:w="108" w:type="dxa"/>
            <w:bottom w:w="0" w:type="dxa"/>
            <w:right w:w="108" w:type="dxa"/>
          </w:tblCellMar>
        </w:tblPrEx>
        <w:trPr>
          <w:trHeight w:val="610"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其中：当年财政拨款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14.35</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610"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上年结转资金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391"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其他资金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8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391" w:hRule="atLeast"/>
        </w:trPr>
        <w:tc>
          <w:tcPr>
            <w:tcW w:w="4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年度总体目标</w:t>
            </w:r>
          </w:p>
        </w:tc>
        <w:tc>
          <w:tcPr>
            <w:tcW w:w="583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预期目标</w:t>
            </w:r>
          </w:p>
        </w:tc>
        <w:tc>
          <w:tcPr>
            <w:tcW w:w="359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实际完成情况</w:t>
            </w:r>
          </w:p>
        </w:tc>
      </w:tr>
      <w:tr>
        <w:tblPrEx>
          <w:tblCellMar>
            <w:top w:w="0" w:type="dxa"/>
            <w:left w:w="108" w:type="dxa"/>
            <w:bottom w:w="0" w:type="dxa"/>
            <w:right w:w="108" w:type="dxa"/>
          </w:tblCellMar>
        </w:tblPrEx>
        <w:trPr>
          <w:trHeight w:val="4208"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83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等。</w:t>
            </w:r>
          </w:p>
        </w:tc>
        <w:tc>
          <w:tcPr>
            <w:tcW w:w="359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该项目资金使用完全合规合法，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CellMar>
            <w:top w:w="0" w:type="dxa"/>
            <w:left w:w="108" w:type="dxa"/>
            <w:bottom w:w="0" w:type="dxa"/>
            <w:right w:w="108" w:type="dxa"/>
          </w:tblCellMar>
        </w:tblPrEx>
        <w:trPr>
          <w:trHeight w:val="391"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484"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332"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615"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869"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056"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c>
          <w:tcPr>
            <w:tcW w:w="69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310"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294"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369"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461"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366"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094"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391" w:hRule="atLeast"/>
        </w:trPr>
        <w:tc>
          <w:tcPr>
            <w:tcW w:w="47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381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三级指标</w:t>
            </w:r>
          </w:p>
        </w:tc>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年度指标值</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实际完成值</w:t>
            </w:r>
          </w:p>
        </w:tc>
        <w:tc>
          <w:tcPr>
            <w:tcW w:w="6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8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c>
          <w:tcPr>
            <w:tcW w:w="14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偏差原因分析及改进措施</w:t>
            </w:r>
          </w:p>
        </w:tc>
      </w:tr>
      <w:tr>
        <w:tblPrEx>
          <w:tblCellMar>
            <w:top w:w="0" w:type="dxa"/>
            <w:left w:w="108" w:type="dxa"/>
            <w:bottom w:w="0" w:type="dxa"/>
            <w:right w:w="108" w:type="dxa"/>
          </w:tblCellMar>
        </w:tblPrEx>
        <w:trPr>
          <w:trHeight w:val="819"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81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1210" w:hRule="atLeast"/>
        </w:trPr>
        <w:tc>
          <w:tcPr>
            <w:tcW w:w="4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年度绩效指标完成情况</w:t>
            </w:r>
          </w:p>
        </w:tc>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产出指标</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教师参加培训人次</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&gt;=16次</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8次</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因国库库款紧张，外出培训减少</w:t>
            </w:r>
          </w:p>
        </w:tc>
      </w:tr>
      <w:tr>
        <w:tblPrEx>
          <w:tblCellMar>
            <w:top w:w="0" w:type="dxa"/>
            <w:left w:w="108" w:type="dxa"/>
            <w:bottom w:w="0" w:type="dxa"/>
            <w:right w:w="108" w:type="dxa"/>
          </w:tblCellMar>
        </w:tblPrEx>
        <w:trPr>
          <w:trHeight w:val="12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购买教育教学用品数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&gt;=5类</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5类</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2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培训结业率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2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购置设备质量达标率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&gt;=95%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2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培训按期完成率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6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教师培训成本</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&lt;=5000元/次</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0元/次</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因国库库款紧张，培训费用未报销</w:t>
            </w:r>
          </w:p>
        </w:tc>
      </w:tr>
      <w:tr>
        <w:tblPrEx>
          <w:tblCellMar>
            <w:top w:w="0" w:type="dxa"/>
            <w:left w:w="108" w:type="dxa"/>
            <w:bottom w:w="0" w:type="dxa"/>
            <w:right w:w="108" w:type="dxa"/>
          </w:tblCellMar>
        </w:tblPrEx>
        <w:trPr>
          <w:trHeight w:val="12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购买各类教学用品成本</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&lt;=12700元/类</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0元/类</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因国库库款紧张，教学用品未支付</w:t>
            </w:r>
          </w:p>
        </w:tc>
      </w:tr>
      <w:tr>
        <w:tblPrEx>
          <w:tblCellMar>
            <w:top w:w="0" w:type="dxa"/>
            <w:left w:w="108" w:type="dxa"/>
            <w:bottom w:w="0" w:type="dxa"/>
            <w:right w:w="108" w:type="dxa"/>
          </w:tblCellMar>
        </w:tblPrEx>
        <w:trPr>
          <w:trHeight w:val="1809"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效益指标</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809"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提高学校教学水平，改善办学条件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有效提高</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完全达到预期效果</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809"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26"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71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学生家长满意度</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&gt;=95%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391"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32"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cs="宋体"/>
                <w:color w:val="000000"/>
                <w:sz w:val="24"/>
              </w:rPr>
            </w:pPr>
          </w:p>
        </w:tc>
        <w:tc>
          <w:tcPr>
            <w:tcW w:w="1615" w:type="dxa"/>
            <w:tcBorders>
              <w:top w:val="single" w:color="000000" w:sz="4" w:space="0"/>
              <w:left w:val="nil"/>
              <w:bottom w:val="single" w:color="000000" w:sz="4" w:space="0"/>
              <w:right w:val="nil"/>
            </w:tcBorders>
            <w:noWrap w:val="0"/>
            <w:vAlign w:val="center"/>
          </w:tcPr>
          <w:p>
            <w:pPr>
              <w:jc w:val="left"/>
              <w:rPr>
                <w:rFonts w:hint="eastAsia" w:ascii="宋体" w:hAnsi="宋体" w:cs="宋体"/>
                <w:color w:val="000000"/>
                <w:sz w:val="24"/>
              </w:rPr>
            </w:pPr>
          </w:p>
        </w:tc>
        <w:tc>
          <w:tcPr>
            <w:tcW w:w="869"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10"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294"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69"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46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619" w:hRule="atLeast"/>
        </w:trPr>
        <w:tc>
          <w:tcPr>
            <w:tcW w:w="700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总分</w:t>
            </w:r>
          </w:p>
        </w:tc>
        <w:tc>
          <w:tcPr>
            <w:tcW w:w="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8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77.50分</w:t>
            </w: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bl>
    <w:p>
      <w:pPr>
        <w:rPr>
          <w:rFonts w:hint="eastAsia" w:ascii="仿宋_GB2312" w:eastAsia="仿宋_GB2312"/>
          <w:sz w:val="32"/>
          <w:szCs w:val="32"/>
        </w:rPr>
      </w:pPr>
    </w:p>
    <w:tbl>
      <w:tblPr>
        <w:tblStyle w:val="8"/>
        <w:tblW w:w="9120" w:type="dxa"/>
        <w:tblInd w:w="96" w:type="dxa"/>
        <w:tblLayout w:type="autofit"/>
        <w:tblCellMar>
          <w:top w:w="0" w:type="dxa"/>
          <w:left w:w="108" w:type="dxa"/>
          <w:bottom w:w="0" w:type="dxa"/>
          <w:right w:w="108" w:type="dxa"/>
        </w:tblCellMar>
      </w:tblPr>
      <w:tblGrid>
        <w:gridCol w:w="456"/>
        <w:gridCol w:w="347"/>
        <w:gridCol w:w="109"/>
        <w:gridCol w:w="456"/>
        <w:gridCol w:w="121"/>
        <w:gridCol w:w="678"/>
        <w:gridCol w:w="110"/>
        <w:gridCol w:w="569"/>
        <w:gridCol w:w="480"/>
        <w:gridCol w:w="216"/>
        <w:gridCol w:w="387"/>
        <w:gridCol w:w="14"/>
        <w:gridCol w:w="802"/>
        <w:gridCol w:w="136"/>
        <w:gridCol w:w="680"/>
        <w:gridCol w:w="322"/>
        <w:gridCol w:w="248"/>
        <w:gridCol w:w="6"/>
        <w:gridCol w:w="312"/>
        <w:gridCol w:w="168"/>
        <w:gridCol w:w="336"/>
        <w:gridCol w:w="344"/>
        <w:gridCol w:w="105"/>
        <w:gridCol w:w="613"/>
        <w:gridCol w:w="135"/>
        <w:gridCol w:w="221"/>
        <w:gridCol w:w="700"/>
        <w:gridCol w:w="816"/>
      </w:tblGrid>
      <w:tr>
        <w:tblPrEx>
          <w:tblCellMar>
            <w:top w:w="0" w:type="dxa"/>
            <w:left w:w="108" w:type="dxa"/>
            <w:bottom w:w="0" w:type="dxa"/>
            <w:right w:w="108" w:type="dxa"/>
          </w:tblCellMar>
        </w:tblPrEx>
        <w:trPr>
          <w:gridAfter w:val="3"/>
          <w:wAfter w:w="1598" w:type="dxa"/>
          <w:trHeight w:val="623" w:hRule="atLeast"/>
        </w:trPr>
        <w:tc>
          <w:tcPr>
            <w:tcW w:w="7522" w:type="dxa"/>
            <w:gridSpan w:val="25"/>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tblPrEx>
          <w:tblCellMar>
            <w:top w:w="0" w:type="dxa"/>
            <w:left w:w="108" w:type="dxa"/>
            <w:bottom w:w="0" w:type="dxa"/>
            <w:right w:w="108" w:type="dxa"/>
          </w:tblCellMar>
        </w:tblPrEx>
        <w:trPr>
          <w:gridAfter w:val="3"/>
          <w:wAfter w:w="1598" w:type="dxa"/>
          <w:trHeight w:val="312" w:hRule="atLeast"/>
        </w:trPr>
        <w:tc>
          <w:tcPr>
            <w:tcW w:w="7522" w:type="dxa"/>
            <w:gridSpan w:val="25"/>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108" w:type="dxa"/>
            <w:bottom w:w="0" w:type="dxa"/>
            <w:right w:w="108" w:type="dxa"/>
          </w:tblCellMar>
        </w:tblPrEx>
        <w:trPr>
          <w:gridAfter w:val="3"/>
          <w:wAfter w:w="1598" w:type="dxa"/>
          <w:trHeight w:val="633" w:hRule="atLeast"/>
        </w:trPr>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6701" w:type="dxa"/>
            <w:gridSpan w:val="2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城乡义务教育保障金区县配套（困难生补助）</w:t>
            </w:r>
          </w:p>
        </w:tc>
      </w:tr>
      <w:tr>
        <w:tblPrEx>
          <w:tblCellMar>
            <w:top w:w="0" w:type="dxa"/>
            <w:left w:w="108" w:type="dxa"/>
            <w:bottom w:w="0" w:type="dxa"/>
            <w:right w:w="108" w:type="dxa"/>
          </w:tblCellMar>
        </w:tblPrEx>
        <w:trPr>
          <w:gridAfter w:val="3"/>
          <w:wAfter w:w="1598" w:type="dxa"/>
          <w:trHeight w:val="633" w:hRule="atLeast"/>
        </w:trPr>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主管部门</w:t>
            </w:r>
          </w:p>
        </w:tc>
        <w:tc>
          <w:tcPr>
            <w:tcW w:w="364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c>
          <w:tcPr>
            <w:tcW w:w="10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实施单位</w:t>
            </w:r>
          </w:p>
        </w:tc>
        <w:tc>
          <w:tcPr>
            <w:tcW w:w="2037"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r>
      <w:tr>
        <w:tblPrEx>
          <w:tblCellMar>
            <w:top w:w="0" w:type="dxa"/>
            <w:left w:w="108" w:type="dxa"/>
            <w:bottom w:w="0" w:type="dxa"/>
            <w:right w:w="108" w:type="dxa"/>
          </w:tblCellMar>
        </w:tblPrEx>
        <w:trPr>
          <w:gridAfter w:val="3"/>
          <w:wAfter w:w="1598" w:type="dxa"/>
          <w:trHeight w:val="633" w:hRule="atLeast"/>
        </w:trPr>
        <w:tc>
          <w:tcPr>
            <w:tcW w:w="82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项目资金</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（万元）</w:t>
            </w: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年初预算数</w:t>
            </w: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全年预算数</w:t>
            </w:r>
          </w:p>
        </w:tc>
        <w:tc>
          <w:tcPr>
            <w:tcW w:w="10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全年执行数</w:t>
            </w:r>
          </w:p>
        </w:tc>
        <w:tc>
          <w:tcPr>
            <w:tcW w:w="5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8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执行率</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r>
      <w:tr>
        <w:tblPrEx>
          <w:tblCellMar>
            <w:top w:w="0" w:type="dxa"/>
            <w:left w:w="108" w:type="dxa"/>
            <w:bottom w:w="0" w:type="dxa"/>
            <w:right w:w="108" w:type="dxa"/>
          </w:tblCellMar>
        </w:tblPrEx>
        <w:trPr>
          <w:gridAfter w:val="3"/>
          <w:wAfter w:w="1598" w:type="dxa"/>
          <w:trHeight w:val="633" w:hRule="atLeast"/>
        </w:trPr>
        <w:tc>
          <w:tcPr>
            <w:tcW w:w="82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年度资金总额</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0.00</w:t>
            </w: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0.80</w:t>
            </w:r>
          </w:p>
        </w:tc>
        <w:tc>
          <w:tcPr>
            <w:tcW w:w="10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0.28</w:t>
            </w:r>
          </w:p>
        </w:tc>
        <w:tc>
          <w:tcPr>
            <w:tcW w:w="5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35.00%</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3.50分</w:t>
            </w:r>
          </w:p>
        </w:tc>
      </w:tr>
      <w:tr>
        <w:tblPrEx>
          <w:tblCellMar>
            <w:top w:w="0" w:type="dxa"/>
            <w:left w:w="108" w:type="dxa"/>
            <w:bottom w:w="0" w:type="dxa"/>
            <w:right w:w="108" w:type="dxa"/>
          </w:tblCellMar>
        </w:tblPrEx>
        <w:trPr>
          <w:gridAfter w:val="3"/>
          <w:wAfter w:w="1598" w:type="dxa"/>
          <w:trHeight w:val="633" w:hRule="atLeast"/>
        </w:trPr>
        <w:tc>
          <w:tcPr>
            <w:tcW w:w="82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其中：当年财政拨款</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0.8</w:t>
            </w:r>
          </w:p>
        </w:tc>
        <w:tc>
          <w:tcPr>
            <w:tcW w:w="10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0.28</w:t>
            </w:r>
          </w:p>
        </w:tc>
        <w:tc>
          <w:tcPr>
            <w:tcW w:w="5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8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gridAfter w:val="3"/>
          <w:wAfter w:w="1598" w:type="dxa"/>
          <w:trHeight w:val="633" w:hRule="atLeast"/>
        </w:trPr>
        <w:tc>
          <w:tcPr>
            <w:tcW w:w="82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上年结转资金</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0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5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8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gridAfter w:val="3"/>
          <w:wAfter w:w="1598" w:type="dxa"/>
          <w:trHeight w:val="409" w:hRule="atLeast"/>
        </w:trPr>
        <w:tc>
          <w:tcPr>
            <w:tcW w:w="82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其他资金</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0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5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8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gridAfter w:val="3"/>
          <w:wAfter w:w="1598" w:type="dxa"/>
          <w:trHeight w:val="409" w:hRule="atLeast"/>
        </w:trPr>
        <w:tc>
          <w:tcPr>
            <w:tcW w:w="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年度总体目标</w:t>
            </w:r>
          </w:p>
        </w:tc>
        <w:tc>
          <w:tcPr>
            <w:tcW w:w="4053"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预期目标</w:t>
            </w:r>
          </w:p>
        </w:tc>
        <w:tc>
          <w:tcPr>
            <w:tcW w:w="3059"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实际完成情况</w:t>
            </w:r>
          </w:p>
        </w:tc>
      </w:tr>
      <w:tr>
        <w:tblPrEx>
          <w:tblCellMar>
            <w:top w:w="0" w:type="dxa"/>
            <w:left w:w="108" w:type="dxa"/>
            <w:bottom w:w="0" w:type="dxa"/>
            <w:right w:w="108" w:type="dxa"/>
          </w:tblCellMar>
        </w:tblPrEx>
        <w:trPr>
          <w:gridAfter w:val="3"/>
          <w:wAfter w:w="1598" w:type="dxa"/>
          <w:trHeight w:val="4369"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053"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困难生补助资金分春季、秋季两学期发放到学生家长银行卡中，小学阶段补助标准312.5元/人/学期。确保符合资助的学生截止2022年12月，能够做到应助尽助，该项目保证全部资金按要求都用于困难生补助，保障项目资金按计划执行，严格把控项目资金使用，足额及时拨付资金，及时上报资金的使用情况，有效减轻困难学生家庭经济负担，逐步改善我校困难生的生活状况，提高学生体质健康。</w:t>
            </w:r>
          </w:p>
        </w:tc>
        <w:tc>
          <w:tcPr>
            <w:tcW w:w="3059"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该项目按照相关要求向我校符合条件的困难学生发放补助，补助发放很及时率，覆盖了全部符合补助政策的学生，完全符合补助发放的政策要求，减轻了家庭经济负担。项目的实施做到公平、公正、公开，极大解决众多家庭经济困难学生的生活费，缓解困难家庭经济压力，保证家庭经济困难学生公平接受义务教育的权利，为推进社会公平，阻断贫困代际传递发挥积极作用，促进我校教育事业的稳定、健康发展。</w:t>
            </w:r>
          </w:p>
        </w:tc>
      </w:tr>
      <w:tr>
        <w:tblPrEx>
          <w:tblCellMar>
            <w:top w:w="0" w:type="dxa"/>
            <w:left w:w="108" w:type="dxa"/>
            <w:bottom w:w="0" w:type="dxa"/>
            <w:right w:w="108" w:type="dxa"/>
          </w:tblCellMar>
        </w:tblPrEx>
        <w:trPr>
          <w:gridAfter w:val="3"/>
          <w:wAfter w:w="1598" w:type="dxa"/>
          <w:trHeight w:val="409"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410"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909" w:type="dxa"/>
            <w:gridSpan w:val="3"/>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004"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583"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736" w:type="dxa"/>
            <w:gridSpan w:val="2"/>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c>
          <w:tcPr>
            <w:tcW w:w="735" w:type="dxa"/>
            <w:gridSpan w:val="2"/>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287"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231"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301"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439"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404"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62" w:type="dxa"/>
            <w:gridSpan w:val="2"/>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409" w:hRule="atLeast"/>
        </w:trPr>
        <w:tc>
          <w:tcPr>
            <w:tcW w:w="4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2496"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三级指标</w:t>
            </w:r>
          </w:p>
        </w:tc>
        <w:tc>
          <w:tcPr>
            <w:tcW w:w="7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年度指标值</w:t>
            </w:r>
          </w:p>
        </w:tc>
        <w:tc>
          <w:tcPr>
            <w:tcW w:w="7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实际完成值</w:t>
            </w:r>
          </w:p>
        </w:tc>
        <w:tc>
          <w:tcPr>
            <w:tcW w:w="51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74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c>
          <w:tcPr>
            <w:tcW w:w="106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偏差原因分析及改进措施</w:t>
            </w:r>
          </w:p>
        </w:tc>
      </w:tr>
      <w:tr>
        <w:tblPrEx>
          <w:tblCellMar>
            <w:top w:w="0" w:type="dxa"/>
            <w:left w:w="108" w:type="dxa"/>
            <w:bottom w:w="0" w:type="dxa"/>
            <w:right w:w="108" w:type="dxa"/>
          </w:tblCellMar>
        </w:tblPrEx>
        <w:trPr>
          <w:gridAfter w:val="3"/>
          <w:wAfter w:w="1598" w:type="dxa"/>
          <w:trHeight w:val="848"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96"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1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6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2190" w:hRule="atLeast"/>
        </w:trPr>
        <w:tc>
          <w:tcPr>
            <w:tcW w:w="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年度绩效指标完成情况</w:t>
            </w:r>
          </w:p>
        </w:tc>
        <w:tc>
          <w:tcPr>
            <w:tcW w:w="4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产出指标</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发放困难补助人数</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&gt;=25人</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9人</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资金分上下学期支付，剩余资金下学期发放完毕</w:t>
            </w:r>
          </w:p>
        </w:tc>
      </w:tr>
      <w:tr>
        <w:tblPrEx>
          <w:tblCellMar>
            <w:top w:w="0" w:type="dxa"/>
            <w:left w:w="108" w:type="dxa"/>
            <w:bottom w:w="0" w:type="dxa"/>
            <w:right w:w="108" w:type="dxa"/>
          </w:tblCellMar>
        </w:tblPrEx>
        <w:trPr>
          <w:gridAfter w:val="3"/>
          <w:wAfter w:w="1598" w:type="dxa"/>
          <w:trHeight w:val="1256"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每学期发放补助次数</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=1次</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1次</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256"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符合补助政策学生覆盖率</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256"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补助发放符合度</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256"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时效指标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补助发放及时率</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256"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成本指标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每学期小学困难生生均补助标准</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312.5元/每学期</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312.5元/每学期</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878"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效益指标</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经济效益指标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878"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社会效益指标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降低家庭经济困难学生失学率</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有效降低</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完全达到预期效果</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878"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生态效益指标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878"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可持续影响指标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1567" w:hRule="atLeast"/>
        </w:trPr>
        <w:tc>
          <w:tcPr>
            <w:tcW w:w="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249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学生满意度</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&gt;=95%</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409"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909" w:type="dxa"/>
            <w:gridSpan w:val="3"/>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cs="宋体"/>
                <w:color w:val="000000"/>
                <w:sz w:val="24"/>
              </w:rPr>
            </w:pPr>
          </w:p>
        </w:tc>
        <w:tc>
          <w:tcPr>
            <w:tcW w:w="1004" w:type="dxa"/>
            <w:gridSpan w:val="2"/>
            <w:tcBorders>
              <w:top w:val="single" w:color="000000" w:sz="4" w:space="0"/>
              <w:left w:val="nil"/>
              <w:bottom w:val="single" w:color="000000" w:sz="4" w:space="0"/>
              <w:right w:val="nil"/>
            </w:tcBorders>
            <w:noWrap w:val="0"/>
            <w:vAlign w:val="center"/>
          </w:tcPr>
          <w:p>
            <w:pPr>
              <w:jc w:val="left"/>
              <w:rPr>
                <w:rFonts w:hint="eastAsia" w:ascii="宋体" w:hAnsi="宋体" w:cs="宋体"/>
                <w:color w:val="000000"/>
                <w:sz w:val="24"/>
              </w:rPr>
            </w:pPr>
          </w:p>
        </w:tc>
        <w:tc>
          <w:tcPr>
            <w:tcW w:w="583" w:type="dxa"/>
            <w:gridSpan w:val="2"/>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8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231"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01"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439"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gridAfter w:val="3"/>
          <w:wAfter w:w="1598" w:type="dxa"/>
          <w:trHeight w:val="642" w:hRule="atLeast"/>
        </w:trPr>
        <w:tc>
          <w:tcPr>
            <w:tcW w:w="5198"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总分</w:t>
            </w:r>
          </w:p>
        </w:tc>
        <w:tc>
          <w:tcPr>
            <w:tcW w:w="51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87.10分</w:t>
            </w:r>
          </w:p>
        </w:tc>
        <w:tc>
          <w:tcPr>
            <w:tcW w:w="106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633" w:hRule="atLeast"/>
        </w:trPr>
        <w:tc>
          <w:tcPr>
            <w:tcW w:w="9120" w:type="dxa"/>
            <w:gridSpan w:val="28"/>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tblPrEx>
          <w:tblCellMar>
            <w:top w:w="0" w:type="dxa"/>
            <w:left w:w="108" w:type="dxa"/>
            <w:bottom w:w="0" w:type="dxa"/>
            <w:right w:w="108" w:type="dxa"/>
          </w:tblCellMar>
        </w:tblPrEx>
        <w:trPr>
          <w:trHeight w:val="312" w:hRule="atLeast"/>
        </w:trPr>
        <w:tc>
          <w:tcPr>
            <w:tcW w:w="9120" w:type="dxa"/>
            <w:gridSpan w:val="28"/>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108" w:type="dxa"/>
            <w:bottom w:w="0" w:type="dxa"/>
            <w:right w:w="108" w:type="dxa"/>
          </w:tblCellMar>
        </w:tblPrEx>
        <w:trPr>
          <w:trHeight w:val="633" w:hRule="atLeast"/>
        </w:trPr>
        <w:tc>
          <w:tcPr>
            <w:tcW w:w="13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7768" w:type="dxa"/>
            <w:gridSpan w:val="2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乌财科教[2022]45号关于拨付2022年中小学和幼儿园自聘教师补助资金的通知(转移支付)</w:t>
            </w:r>
          </w:p>
        </w:tc>
      </w:tr>
      <w:tr>
        <w:tblPrEx>
          <w:tblCellMar>
            <w:top w:w="0" w:type="dxa"/>
            <w:left w:w="108" w:type="dxa"/>
            <w:bottom w:w="0" w:type="dxa"/>
            <w:right w:w="108" w:type="dxa"/>
          </w:tblCellMar>
        </w:tblPrEx>
        <w:trPr>
          <w:trHeight w:val="322" w:hRule="atLeast"/>
        </w:trPr>
        <w:tc>
          <w:tcPr>
            <w:tcW w:w="13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主管部门</w:t>
            </w:r>
          </w:p>
        </w:tc>
        <w:tc>
          <w:tcPr>
            <w:tcW w:w="323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c>
          <w:tcPr>
            <w:tcW w:w="15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实施单位</w:t>
            </w:r>
          </w:p>
        </w:tc>
        <w:tc>
          <w:tcPr>
            <w:tcW w:w="295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r>
      <w:tr>
        <w:tblPrEx>
          <w:tblCellMar>
            <w:top w:w="0" w:type="dxa"/>
            <w:left w:w="108" w:type="dxa"/>
            <w:bottom w:w="0" w:type="dxa"/>
            <w:right w:w="108" w:type="dxa"/>
          </w:tblCellMar>
        </w:tblPrEx>
        <w:trPr>
          <w:trHeight w:val="944" w:hRule="atLeast"/>
        </w:trPr>
        <w:tc>
          <w:tcPr>
            <w:tcW w:w="1352"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项目资金</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（万元）</w:t>
            </w:r>
          </w:p>
        </w:tc>
        <w:tc>
          <w:tcPr>
            <w:tcW w:w="135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年初预算数</w:t>
            </w: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全年预算数</w:t>
            </w:r>
          </w:p>
        </w:tc>
        <w:tc>
          <w:tcPr>
            <w:tcW w:w="15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全年执行数</w:t>
            </w:r>
          </w:p>
        </w:tc>
        <w:tc>
          <w:tcPr>
            <w:tcW w:w="126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9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执行率</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r>
      <w:tr>
        <w:tblPrEx>
          <w:tblCellMar>
            <w:top w:w="0" w:type="dxa"/>
            <w:left w:w="108" w:type="dxa"/>
            <w:bottom w:w="0" w:type="dxa"/>
            <w:right w:w="108" w:type="dxa"/>
          </w:tblCellMar>
        </w:tblPrEx>
        <w:trPr>
          <w:trHeight w:val="633" w:hRule="atLeast"/>
        </w:trPr>
        <w:tc>
          <w:tcPr>
            <w:tcW w:w="135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年度资金总额</w:t>
            </w:r>
          </w:p>
        </w:tc>
        <w:tc>
          <w:tcPr>
            <w:tcW w:w="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0.00</w:t>
            </w: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13.34</w:t>
            </w:r>
          </w:p>
        </w:tc>
        <w:tc>
          <w:tcPr>
            <w:tcW w:w="15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13.34</w:t>
            </w:r>
          </w:p>
        </w:tc>
        <w:tc>
          <w:tcPr>
            <w:tcW w:w="126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9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100.00%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10.00分</w:t>
            </w:r>
          </w:p>
        </w:tc>
      </w:tr>
      <w:tr>
        <w:tblPrEx>
          <w:tblCellMar>
            <w:top w:w="0" w:type="dxa"/>
            <w:left w:w="108" w:type="dxa"/>
            <w:bottom w:w="0" w:type="dxa"/>
            <w:right w:w="108" w:type="dxa"/>
          </w:tblCellMar>
        </w:tblPrEx>
        <w:trPr>
          <w:trHeight w:val="633" w:hRule="atLeast"/>
        </w:trPr>
        <w:tc>
          <w:tcPr>
            <w:tcW w:w="135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其中：当年财政拨款</w:t>
            </w:r>
          </w:p>
        </w:tc>
        <w:tc>
          <w:tcPr>
            <w:tcW w:w="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13.34</w:t>
            </w:r>
          </w:p>
        </w:tc>
        <w:tc>
          <w:tcPr>
            <w:tcW w:w="15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13.34</w:t>
            </w:r>
          </w:p>
        </w:tc>
        <w:tc>
          <w:tcPr>
            <w:tcW w:w="126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9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633" w:hRule="atLeast"/>
        </w:trPr>
        <w:tc>
          <w:tcPr>
            <w:tcW w:w="135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上年结转资金</w:t>
            </w:r>
          </w:p>
        </w:tc>
        <w:tc>
          <w:tcPr>
            <w:tcW w:w="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5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26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9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322" w:hRule="atLeast"/>
        </w:trPr>
        <w:tc>
          <w:tcPr>
            <w:tcW w:w="135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其他资金</w:t>
            </w:r>
          </w:p>
        </w:tc>
        <w:tc>
          <w:tcPr>
            <w:tcW w:w="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5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26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9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322" w:hRule="atLeast"/>
        </w:trPr>
        <w:tc>
          <w:tcPr>
            <w:tcW w:w="7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年度总体目标</w:t>
            </w:r>
          </w:p>
        </w:tc>
        <w:tc>
          <w:tcPr>
            <w:tcW w:w="3873"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预期目标</w:t>
            </w:r>
          </w:p>
        </w:tc>
        <w:tc>
          <w:tcPr>
            <w:tcW w:w="4538"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实际完成情况</w:t>
            </w:r>
          </w:p>
        </w:tc>
      </w:tr>
      <w:tr>
        <w:tblPrEx>
          <w:tblCellMar>
            <w:top w:w="0" w:type="dxa"/>
            <w:left w:w="108" w:type="dxa"/>
            <w:bottom w:w="0" w:type="dxa"/>
            <w:right w:w="108" w:type="dxa"/>
          </w:tblCellMar>
        </w:tblPrEx>
        <w:trPr>
          <w:trHeight w:val="2812"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873"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收到资金后及时拨付，确保自聘教师待遇落实到位，保障正常的教育教学秩序。严格按照国家、自治区有关财经法规和资金管理办法，进一步强化主体责任，完善经费使用管理制度，严格预算约束，加大信息公开力度，规范专项资金的使用和监督管理。切实提高资金使用效益，防止出现挤占、挪用、虚报、套取补助资金等行为。</w:t>
            </w:r>
          </w:p>
        </w:tc>
        <w:tc>
          <w:tcPr>
            <w:tcW w:w="4538"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该项目资金发放符合各类制度要求，资金发放及时，符合补助政策教师全覆盖，教师们都很满意度。提高了临聘教师工资待遇，提高薪资水平，专款专用，严格按照资金使用具体实施条例严格支付流程，对自聘教师发放补助，做到资金金额发放准确，资金发放基本及时，资金使用效率高效，有效促进了临聘教师工作积极性，保障了学校的正常教育教学工作顺利进行，为社会闲散人员提供了就业机会。</w:t>
            </w:r>
          </w:p>
        </w:tc>
      </w:tr>
      <w:tr>
        <w:tblPrEx>
          <w:tblCellMar>
            <w:top w:w="0" w:type="dxa"/>
            <w:left w:w="108" w:type="dxa"/>
            <w:bottom w:w="0" w:type="dxa"/>
            <w:right w:w="108" w:type="dxa"/>
          </w:tblCellMar>
        </w:tblPrEx>
        <w:trPr>
          <w:trHeight w:val="322" w:hRule="atLeast"/>
        </w:trPr>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678"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79"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31"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399"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843" w:type="dxa"/>
            <w:gridSpan w:val="2"/>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c>
          <w:tcPr>
            <w:tcW w:w="1128" w:type="dxa"/>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453" w:type="dxa"/>
            <w:gridSpan w:val="3"/>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04"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65"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347" w:type="dxa"/>
            <w:gridSpan w:val="2"/>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04"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737"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312" w:hRule="atLeast"/>
        </w:trPr>
        <w:tc>
          <w:tcPr>
            <w:tcW w:w="7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1709"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三级指标</w:t>
            </w:r>
          </w:p>
        </w:tc>
        <w:tc>
          <w:tcPr>
            <w:tcW w:w="8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年度指标值</w:t>
            </w:r>
          </w:p>
        </w:tc>
        <w:tc>
          <w:tcPr>
            <w:tcW w:w="112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实际完成值</w:t>
            </w:r>
          </w:p>
        </w:tc>
        <w:tc>
          <w:tcPr>
            <w:tcW w:w="1057"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101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c>
          <w:tcPr>
            <w:tcW w:w="13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偏差原因分析及改进措施</w:t>
            </w:r>
          </w:p>
        </w:tc>
      </w:tr>
      <w:tr>
        <w:tblPrEx>
          <w:tblCellMar>
            <w:top w:w="0" w:type="dxa"/>
            <w:left w:w="108" w:type="dxa"/>
            <w:bottom w:w="0" w:type="dxa"/>
            <w:right w:w="108" w:type="dxa"/>
          </w:tblCellMar>
        </w:tblPrEx>
        <w:trPr>
          <w:trHeight w:val="647"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09"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2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5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1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633" w:hRule="atLeast"/>
        </w:trPr>
        <w:tc>
          <w:tcPr>
            <w:tcW w:w="7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年度绩效指标完成情况</w:t>
            </w:r>
          </w:p>
        </w:tc>
        <w:tc>
          <w:tcPr>
            <w:tcW w:w="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产出指标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自聘教师人数</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=14人</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14人</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256"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发放补助次数</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=4次</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2次</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12月临时聘用人员工资于转年1月份发放</w:t>
            </w:r>
          </w:p>
        </w:tc>
      </w:tr>
      <w:tr>
        <w:tblPrEx>
          <w:tblCellMar>
            <w:top w:w="0" w:type="dxa"/>
            <w:left w:w="108" w:type="dxa"/>
            <w:bottom w:w="0" w:type="dxa"/>
            <w:right w:w="108" w:type="dxa"/>
          </w:tblCellMar>
        </w:tblPrEx>
        <w:trPr>
          <w:trHeight w:val="633"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资金到位准确率（%）</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633"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时效指标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资金发放及时率（%）</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44"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成本指标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发放补助成本</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=3975元/人/次</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3975元/人/次</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44"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效益指标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经济效益指标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44"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社会效益指标</w:t>
            </w:r>
          </w:p>
        </w:tc>
        <w:tc>
          <w:tcPr>
            <w:tcW w:w="170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提高学校教学水平，改善办学条件</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有效提高</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完全达到预期效果</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44"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生态效益指标</w:t>
            </w:r>
          </w:p>
        </w:tc>
        <w:tc>
          <w:tcPr>
            <w:tcW w:w="1709"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256"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可持续影响指标</w:t>
            </w:r>
          </w:p>
        </w:tc>
        <w:tc>
          <w:tcPr>
            <w:tcW w:w="170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保障学校正常运转，完成教育教学活动和其他日常工作任务</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持续保障</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完全达到预期效果</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44"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聘用教师满意度</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44" w:hRule="atLeast"/>
        </w:trPr>
        <w:tc>
          <w:tcPr>
            <w:tcW w:w="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170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学生满意度</w:t>
            </w: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322" w:hRule="atLeast"/>
        </w:trPr>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79" w:type="dxa"/>
            <w:gridSpan w:val="2"/>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cs="宋体"/>
                <w:color w:val="000000"/>
                <w:sz w:val="24"/>
              </w:rPr>
            </w:pPr>
          </w:p>
        </w:tc>
        <w:tc>
          <w:tcPr>
            <w:tcW w:w="631" w:type="dxa"/>
            <w:gridSpan w:val="2"/>
            <w:tcBorders>
              <w:top w:val="single" w:color="000000" w:sz="4" w:space="0"/>
              <w:left w:val="nil"/>
              <w:bottom w:val="single" w:color="000000" w:sz="4" w:space="0"/>
              <w:right w:val="nil"/>
            </w:tcBorders>
            <w:noWrap w:val="0"/>
            <w:vAlign w:val="center"/>
          </w:tcPr>
          <w:p>
            <w:pPr>
              <w:jc w:val="left"/>
              <w:rPr>
                <w:rFonts w:hint="eastAsia" w:ascii="宋体" w:hAnsi="宋体" w:cs="宋体"/>
                <w:color w:val="000000"/>
                <w:sz w:val="24"/>
              </w:rPr>
            </w:pPr>
          </w:p>
        </w:tc>
        <w:tc>
          <w:tcPr>
            <w:tcW w:w="399" w:type="dxa"/>
            <w:gridSpan w:val="2"/>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8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3" w:type="dxa"/>
            <w:gridSpan w:val="3"/>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60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65"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347"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332" w:hRule="atLeast"/>
        </w:trPr>
        <w:tc>
          <w:tcPr>
            <w:tcW w:w="5710" w:type="dxa"/>
            <w:gridSpan w:val="1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总分</w:t>
            </w:r>
          </w:p>
        </w:tc>
        <w:tc>
          <w:tcPr>
            <w:tcW w:w="10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01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95.00分</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bl>
    <w:p>
      <w:pPr>
        <w:rPr>
          <w:rFonts w:hint="eastAsia" w:ascii="仿宋_GB2312" w:eastAsia="仿宋_GB2312"/>
          <w:sz w:val="32"/>
          <w:szCs w:val="32"/>
        </w:rPr>
      </w:pPr>
    </w:p>
    <w:tbl>
      <w:tblPr>
        <w:tblStyle w:val="8"/>
        <w:tblW w:w="9624" w:type="dxa"/>
        <w:tblInd w:w="96" w:type="dxa"/>
        <w:tblLayout w:type="autofit"/>
        <w:tblCellMar>
          <w:top w:w="0" w:type="dxa"/>
          <w:left w:w="108" w:type="dxa"/>
          <w:bottom w:w="0" w:type="dxa"/>
          <w:right w:w="108" w:type="dxa"/>
        </w:tblCellMar>
      </w:tblPr>
      <w:tblGrid>
        <w:gridCol w:w="456"/>
        <w:gridCol w:w="456"/>
        <w:gridCol w:w="467"/>
        <w:gridCol w:w="1189"/>
        <w:gridCol w:w="1836"/>
        <w:gridCol w:w="791"/>
        <w:gridCol w:w="1056"/>
        <w:gridCol w:w="816"/>
        <w:gridCol w:w="298"/>
        <w:gridCol w:w="278"/>
        <w:gridCol w:w="349"/>
        <w:gridCol w:w="467"/>
        <w:gridCol w:w="469"/>
        <w:gridCol w:w="696"/>
      </w:tblGrid>
      <w:tr>
        <w:tblPrEx>
          <w:tblCellMar>
            <w:top w:w="0" w:type="dxa"/>
            <w:left w:w="108" w:type="dxa"/>
            <w:bottom w:w="0" w:type="dxa"/>
            <w:right w:w="108" w:type="dxa"/>
          </w:tblCellMar>
        </w:tblPrEx>
        <w:trPr>
          <w:trHeight w:val="617" w:hRule="atLeast"/>
        </w:trPr>
        <w:tc>
          <w:tcPr>
            <w:tcW w:w="9624" w:type="dxa"/>
            <w:gridSpan w:val="14"/>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2"/>
                <w:szCs w:val="32"/>
              </w:rPr>
            </w:pPr>
            <w:bookmarkStart w:id="34" w:name="_Toc3250"/>
            <w:bookmarkStart w:id="35" w:name="_Toc24143"/>
            <w:r>
              <w:rPr>
                <w:rFonts w:hint="eastAsia" w:ascii="宋体" w:hAnsi="宋体" w:cs="宋体"/>
                <w:b/>
                <w:bCs/>
                <w:color w:val="000000"/>
                <w:kern w:val="0"/>
                <w:sz w:val="32"/>
                <w:szCs w:val="32"/>
                <w:lang w:bidi="ar"/>
              </w:rPr>
              <w:t>项目支出绩效自评表</w:t>
            </w:r>
          </w:p>
        </w:tc>
      </w:tr>
      <w:tr>
        <w:tblPrEx>
          <w:tblCellMar>
            <w:top w:w="0" w:type="dxa"/>
            <w:left w:w="108" w:type="dxa"/>
            <w:bottom w:w="0" w:type="dxa"/>
            <w:right w:w="108" w:type="dxa"/>
          </w:tblCellMar>
        </w:tblPrEx>
        <w:trPr>
          <w:trHeight w:val="309" w:hRule="atLeast"/>
        </w:trPr>
        <w:tc>
          <w:tcPr>
            <w:tcW w:w="9624" w:type="dxa"/>
            <w:gridSpan w:val="14"/>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108" w:type="dxa"/>
            <w:bottom w:w="0" w:type="dxa"/>
            <w:right w:w="108" w:type="dxa"/>
          </w:tblCellMar>
        </w:tblPrEx>
        <w:trPr>
          <w:trHeight w:val="318" w:hRule="atLeast"/>
        </w:trPr>
        <w:tc>
          <w:tcPr>
            <w:tcW w:w="9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8712"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乌财科教【2021】120号关于提前下达2022年教育直达资金的通知（公用经费）</w:t>
            </w:r>
          </w:p>
        </w:tc>
      </w:tr>
      <w:tr>
        <w:tblPrEx>
          <w:tblCellMar>
            <w:top w:w="0" w:type="dxa"/>
            <w:left w:w="108" w:type="dxa"/>
            <w:bottom w:w="0" w:type="dxa"/>
            <w:right w:w="108" w:type="dxa"/>
          </w:tblCellMar>
        </w:tblPrEx>
        <w:trPr>
          <w:trHeight w:val="318" w:hRule="atLeast"/>
        </w:trPr>
        <w:tc>
          <w:tcPr>
            <w:tcW w:w="9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主管部门</w:t>
            </w:r>
          </w:p>
        </w:tc>
        <w:tc>
          <w:tcPr>
            <w:tcW w:w="533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实施单位</w:t>
            </w:r>
          </w:p>
        </w:tc>
        <w:tc>
          <w:tcPr>
            <w:tcW w:w="22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乌鲁木齐市逸夫小学</w:t>
            </w:r>
          </w:p>
        </w:tc>
      </w:tr>
      <w:tr>
        <w:tblPrEx>
          <w:tblCellMar>
            <w:top w:w="0" w:type="dxa"/>
            <w:left w:w="108" w:type="dxa"/>
            <w:bottom w:w="0" w:type="dxa"/>
            <w:right w:w="108" w:type="dxa"/>
          </w:tblCellMar>
        </w:tblPrEx>
        <w:trPr>
          <w:trHeight w:val="626"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项目资金</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（万元）</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年初预算数</w:t>
            </w: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全年预算数</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全年执行数</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执行率</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r>
      <w:tr>
        <w:tblPrEx>
          <w:tblCellMar>
            <w:top w:w="0" w:type="dxa"/>
            <w:left w:w="108" w:type="dxa"/>
            <w:bottom w:w="0" w:type="dxa"/>
            <w:right w:w="108" w:type="dxa"/>
          </w:tblCellMar>
        </w:tblPrEx>
        <w:trPr>
          <w:trHeight w:val="62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年度资金总额</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74.62</w:t>
            </w: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74.62</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38.46</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51.54%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5.15分</w:t>
            </w:r>
          </w:p>
        </w:tc>
      </w:tr>
      <w:tr>
        <w:tblPrEx>
          <w:tblCellMar>
            <w:top w:w="0" w:type="dxa"/>
            <w:left w:w="108" w:type="dxa"/>
            <w:bottom w:w="0" w:type="dxa"/>
            <w:right w:w="108" w:type="dxa"/>
          </w:tblCellMar>
        </w:tblPrEx>
        <w:trPr>
          <w:trHeight w:val="62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其中：当年财政拨款</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74.62</w:t>
            </w: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74.62</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38.46</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62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上年结转资金</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318"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其他资金</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318" w:hRule="atLeast"/>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年度总体目标</w:t>
            </w:r>
          </w:p>
        </w:tc>
        <w:tc>
          <w:tcPr>
            <w:tcW w:w="579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预期目标</w:t>
            </w:r>
          </w:p>
        </w:tc>
        <w:tc>
          <w:tcPr>
            <w:tcW w:w="337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实际完成情况</w:t>
            </w:r>
          </w:p>
        </w:tc>
      </w:tr>
      <w:tr>
        <w:tblPrEx>
          <w:tblCellMar>
            <w:top w:w="0" w:type="dxa"/>
            <w:left w:w="108" w:type="dxa"/>
            <w:bottom w:w="0" w:type="dxa"/>
            <w:right w:w="108" w:type="dxa"/>
          </w:tblCellMar>
        </w:tblPrEx>
        <w:trPr>
          <w:trHeight w:val="4631"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79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公务接待费，非财政供养人员经费等。</w:t>
            </w:r>
          </w:p>
        </w:tc>
        <w:tc>
          <w:tcPr>
            <w:tcW w:w="337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公务接待费，非财政供养人员经费等。</w:t>
            </w:r>
          </w:p>
        </w:tc>
      </w:tr>
      <w:tr>
        <w:tblPrEx>
          <w:tblCellMar>
            <w:top w:w="0" w:type="dxa"/>
            <w:left w:w="108" w:type="dxa"/>
            <w:bottom w:w="0" w:type="dxa"/>
            <w:right w:w="108" w:type="dxa"/>
          </w:tblCellMar>
        </w:tblPrEx>
        <w:trPr>
          <w:trHeight w:val="318"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467"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189"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836"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791"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1056"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c>
          <w:tcPr>
            <w:tcW w:w="81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cs="宋体"/>
                <w:color w:val="000000"/>
                <w:sz w:val="24"/>
              </w:rPr>
            </w:pPr>
          </w:p>
        </w:tc>
        <w:tc>
          <w:tcPr>
            <w:tcW w:w="298"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278"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349"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467"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469" w:type="dxa"/>
            <w:tcBorders>
              <w:top w:val="single" w:color="000000" w:sz="4" w:space="0"/>
              <w:left w:val="nil"/>
              <w:bottom w:val="single" w:color="000000" w:sz="4" w:space="0"/>
              <w:right w:val="nil"/>
            </w:tcBorders>
            <w:noWrap w:val="0"/>
            <w:vAlign w:val="top"/>
          </w:tcPr>
          <w:p>
            <w:pPr>
              <w:jc w:val="left"/>
              <w:rPr>
                <w:rFonts w:hint="eastAsia" w:ascii="宋体" w:hAnsi="宋体" w:cs="宋体"/>
                <w:color w:val="000000"/>
                <w:sz w:val="24"/>
              </w:rPr>
            </w:pPr>
          </w:p>
        </w:tc>
        <w:tc>
          <w:tcPr>
            <w:tcW w:w="696"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4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381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三级指标</w:t>
            </w:r>
          </w:p>
        </w:tc>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年度指标值</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w:t>
            </w:r>
          </w:p>
        </w:tc>
        <w:tc>
          <w:tcPr>
            <w:tcW w:w="8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得分</w:t>
            </w:r>
          </w:p>
        </w:tc>
        <w:tc>
          <w:tcPr>
            <w:tcW w:w="11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偏差原因分析及改进措施</w:t>
            </w:r>
          </w:p>
        </w:tc>
      </w:tr>
      <w:tr>
        <w:tblPrEx>
          <w:tblCellMar>
            <w:top w:w="0" w:type="dxa"/>
            <w:left w:w="108" w:type="dxa"/>
            <w:bottom w:w="0" w:type="dxa"/>
            <w:right w:w="108" w:type="dxa"/>
          </w:tblCellMar>
        </w:tblPrEx>
        <w:trPr>
          <w:trHeight w:val="640"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81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935" w:hRule="atLeast"/>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年度绩效指标完成情况</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产出指标</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购买教育教学用品类别</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&gt;=8类</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4类</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下半年防疫影响，支付未完成。</w:t>
            </w:r>
          </w:p>
        </w:tc>
      </w:tr>
      <w:tr>
        <w:tblPrEx>
          <w:tblCellMar>
            <w:top w:w="0" w:type="dxa"/>
            <w:left w:w="108" w:type="dxa"/>
            <w:bottom w:w="0" w:type="dxa"/>
            <w:right w:w="108" w:type="dxa"/>
          </w:tblCellMar>
        </w:tblPrEx>
        <w:trPr>
          <w:trHeight w:val="935"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维修校舍次数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&gt;=4次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2次</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下半年防疫影响，支付未完成。</w:t>
            </w:r>
          </w:p>
        </w:tc>
      </w:tr>
      <w:tr>
        <w:tblPrEx>
          <w:tblCellMar>
            <w:top w:w="0" w:type="dxa"/>
            <w:left w:w="108" w:type="dxa"/>
            <w:bottom w:w="0" w:type="dxa"/>
            <w:right w:w="108" w:type="dxa"/>
          </w:tblCellMar>
        </w:tblPrEx>
        <w:trPr>
          <w:trHeight w:val="626"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购买用品质量合格率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&gt;=95%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626"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学校校舍日常维修改造质量达标率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626"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626"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购买各类教育教学用品成本</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&lt;=80000元</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80000元</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626"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每次维修成本</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&lt;=20000元/次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20000元/次</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35"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效益指标</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35"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社会效益指标</w:t>
            </w:r>
          </w:p>
        </w:tc>
        <w:tc>
          <w:tcPr>
            <w:tcW w:w="38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提高学校教学水平，改善办学条件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有效提高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完全达到预期效果</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35"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生态效益指标</w:t>
            </w:r>
          </w:p>
        </w:tc>
        <w:tc>
          <w:tcPr>
            <w:tcW w:w="3816"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1243"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可持续影响指标</w:t>
            </w:r>
          </w:p>
        </w:tc>
        <w:tc>
          <w:tcPr>
            <w:tcW w:w="38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保障学校正常运转，完成教育教学活动和其他日常工作任务</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持续保障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完全达到预期效果</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935"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满意度指标</w:t>
            </w:r>
          </w:p>
        </w:tc>
        <w:tc>
          <w:tcPr>
            <w:tcW w:w="38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师生满意度</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&gt;=95%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318"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cs="宋体"/>
                <w:color w:val="000000"/>
                <w:sz w:val="24"/>
              </w:rPr>
            </w:pPr>
          </w:p>
        </w:tc>
        <w:tc>
          <w:tcPr>
            <w:tcW w:w="1836" w:type="dxa"/>
            <w:tcBorders>
              <w:top w:val="single" w:color="000000" w:sz="4" w:space="0"/>
              <w:left w:val="nil"/>
              <w:bottom w:val="single" w:color="000000" w:sz="4" w:space="0"/>
              <w:right w:val="nil"/>
            </w:tcBorders>
            <w:noWrap w:val="0"/>
            <w:vAlign w:val="center"/>
          </w:tcPr>
          <w:p>
            <w:pPr>
              <w:jc w:val="left"/>
              <w:rPr>
                <w:rFonts w:hint="eastAsia" w:ascii="宋体" w:hAnsi="宋体" w:cs="宋体"/>
                <w:color w:val="000000"/>
                <w:sz w:val="24"/>
              </w:rPr>
            </w:pPr>
          </w:p>
        </w:tc>
        <w:tc>
          <w:tcPr>
            <w:tcW w:w="791"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9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278"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49"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24"/>
              </w:rPr>
            </w:pPr>
          </w:p>
        </w:tc>
        <w:tc>
          <w:tcPr>
            <w:tcW w:w="46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328" w:hRule="atLeast"/>
        </w:trPr>
        <w:tc>
          <w:tcPr>
            <w:tcW w:w="706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总分</w:t>
            </w:r>
          </w:p>
        </w:tc>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90.15分</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bl>
    <w:p>
      <w:pPr>
        <w:jc w:val="center"/>
        <w:outlineLvl w:val="0"/>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第三部分 专业名词解释</w:t>
      </w:r>
      <w:bookmarkEnd w:id="34"/>
      <w:bookmarkEnd w:id="35"/>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hint="eastAsia"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hint="eastAsia" w:ascii="黑体" w:hAnsi="黑体" w:eastAsia="黑体"/>
          <w:sz w:val="32"/>
          <w:szCs w:val="32"/>
        </w:rPr>
      </w:pPr>
      <w:bookmarkStart w:id="36" w:name="_Toc22784"/>
      <w:bookmarkStart w:id="37" w:name="_Toc28903"/>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6"/>
      <w:bookmarkEnd w:id="37"/>
    </w:p>
    <w:p>
      <w:pPr>
        <w:ind w:firstLine="640" w:firstLineChars="200"/>
        <w:outlineLvl w:val="1"/>
        <w:rPr>
          <w:rFonts w:hint="eastAsia" w:ascii="黑体" w:hAnsi="黑体" w:eastAsia="黑体" w:cs="宋体"/>
          <w:bCs/>
          <w:kern w:val="0"/>
          <w:sz w:val="32"/>
          <w:szCs w:val="32"/>
        </w:rPr>
      </w:pPr>
      <w:bookmarkStart w:id="38" w:name="_Toc2183"/>
      <w:bookmarkStart w:id="39" w:name="_Toc6062"/>
      <w:r>
        <w:rPr>
          <w:rFonts w:hint="eastAsia" w:ascii="黑体" w:hAnsi="黑体" w:eastAsia="黑体" w:cs="宋体"/>
          <w:bCs/>
          <w:kern w:val="0"/>
          <w:sz w:val="32"/>
          <w:szCs w:val="32"/>
        </w:rPr>
        <w:t>一、《收入支出决算总表》</w:t>
      </w:r>
      <w:bookmarkEnd w:id="38"/>
      <w:bookmarkEnd w:id="39"/>
    </w:p>
    <w:p>
      <w:pPr>
        <w:ind w:firstLine="640" w:firstLineChars="200"/>
        <w:outlineLvl w:val="1"/>
        <w:rPr>
          <w:rFonts w:hint="eastAsia" w:ascii="黑体" w:hAnsi="黑体" w:eastAsia="黑体" w:cs="宋体"/>
          <w:bCs/>
          <w:kern w:val="0"/>
          <w:sz w:val="32"/>
          <w:szCs w:val="32"/>
        </w:rPr>
      </w:pPr>
      <w:bookmarkStart w:id="40" w:name="_Toc30364"/>
      <w:bookmarkStart w:id="41" w:name="_Toc24532"/>
      <w:r>
        <w:rPr>
          <w:rFonts w:hint="eastAsia" w:ascii="黑体" w:hAnsi="黑体" w:eastAsia="黑体" w:cs="宋体"/>
          <w:bCs/>
          <w:kern w:val="0"/>
          <w:sz w:val="32"/>
          <w:szCs w:val="32"/>
        </w:rPr>
        <w:t>二、《收入决算表》</w:t>
      </w:r>
      <w:bookmarkEnd w:id="40"/>
      <w:bookmarkEnd w:id="41"/>
    </w:p>
    <w:p>
      <w:pPr>
        <w:ind w:firstLine="640" w:firstLineChars="200"/>
        <w:outlineLvl w:val="1"/>
        <w:rPr>
          <w:rFonts w:hint="eastAsia" w:ascii="黑体" w:hAnsi="黑体" w:eastAsia="黑体" w:cs="宋体"/>
          <w:bCs/>
          <w:kern w:val="0"/>
          <w:sz w:val="32"/>
          <w:szCs w:val="32"/>
        </w:rPr>
      </w:pPr>
      <w:bookmarkStart w:id="42" w:name="_Toc21304"/>
      <w:bookmarkStart w:id="43" w:name="_Toc32434"/>
      <w:r>
        <w:rPr>
          <w:rFonts w:hint="eastAsia" w:ascii="黑体" w:hAnsi="黑体" w:eastAsia="黑体" w:cs="宋体"/>
          <w:bCs/>
          <w:kern w:val="0"/>
          <w:sz w:val="32"/>
          <w:szCs w:val="32"/>
        </w:rPr>
        <w:t>三、《支出决算表》</w:t>
      </w:r>
      <w:bookmarkEnd w:id="42"/>
      <w:bookmarkEnd w:id="43"/>
    </w:p>
    <w:p>
      <w:pPr>
        <w:ind w:firstLine="640" w:firstLineChars="200"/>
        <w:outlineLvl w:val="1"/>
        <w:rPr>
          <w:rFonts w:hint="eastAsia" w:ascii="黑体" w:hAnsi="黑体" w:eastAsia="黑体" w:cs="宋体"/>
          <w:bCs/>
          <w:kern w:val="0"/>
          <w:sz w:val="32"/>
          <w:szCs w:val="32"/>
        </w:rPr>
      </w:pPr>
      <w:bookmarkStart w:id="44" w:name="_Toc14238"/>
      <w:bookmarkStart w:id="45" w:name="_Toc28786"/>
      <w:r>
        <w:rPr>
          <w:rFonts w:hint="eastAsia" w:ascii="黑体" w:hAnsi="黑体" w:eastAsia="黑体" w:cs="宋体"/>
          <w:bCs/>
          <w:kern w:val="0"/>
          <w:sz w:val="32"/>
          <w:szCs w:val="32"/>
        </w:rPr>
        <w:t>四、《财政拨款收入支出决算总表》</w:t>
      </w:r>
      <w:bookmarkEnd w:id="44"/>
      <w:bookmarkEnd w:id="45"/>
    </w:p>
    <w:p>
      <w:pPr>
        <w:ind w:firstLine="640" w:firstLineChars="200"/>
        <w:outlineLvl w:val="1"/>
        <w:rPr>
          <w:rFonts w:hint="eastAsia" w:ascii="黑体" w:hAnsi="黑体" w:eastAsia="黑体" w:cs="宋体"/>
          <w:bCs/>
          <w:kern w:val="0"/>
          <w:sz w:val="32"/>
          <w:szCs w:val="32"/>
        </w:rPr>
      </w:pPr>
      <w:bookmarkStart w:id="46" w:name="_Toc10347"/>
      <w:bookmarkStart w:id="47" w:name="_Toc14869"/>
      <w:r>
        <w:rPr>
          <w:rFonts w:hint="eastAsia" w:ascii="黑体" w:hAnsi="黑体" w:eastAsia="黑体" w:cs="宋体"/>
          <w:bCs/>
          <w:kern w:val="0"/>
          <w:sz w:val="32"/>
          <w:szCs w:val="32"/>
        </w:rPr>
        <w:t>五、《一般公共预算财政拨款支出决算表》</w:t>
      </w:r>
      <w:bookmarkEnd w:id="46"/>
      <w:bookmarkEnd w:id="47"/>
    </w:p>
    <w:p>
      <w:pPr>
        <w:ind w:firstLine="640" w:firstLineChars="200"/>
        <w:outlineLvl w:val="1"/>
        <w:rPr>
          <w:rFonts w:hint="eastAsia" w:ascii="黑体" w:hAnsi="黑体" w:eastAsia="黑体" w:cs="宋体"/>
          <w:bCs/>
          <w:kern w:val="0"/>
          <w:sz w:val="32"/>
          <w:szCs w:val="32"/>
        </w:rPr>
      </w:pPr>
      <w:bookmarkStart w:id="48" w:name="_Toc5626"/>
      <w:bookmarkStart w:id="49" w:name="_Toc8884"/>
      <w:r>
        <w:rPr>
          <w:rFonts w:hint="eastAsia" w:ascii="黑体" w:hAnsi="黑体" w:eastAsia="黑体" w:cs="宋体"/>
          <w:bCs/>
          <w:kern w:val="0"/>
          <w:sz w:val="32"/>
          <w:szCs w:val="32"/>
        </w:rPr>
        <w:t>六、《一般公共预算财政拨款基本支出决算表》</w:t>
      </w:r>
      <w:bookmarkEnd w:id="48"/>
      <w:bookmarkEnd w:id="49"/>
    </w:p>
    <w:p>
      <w:pPr>
        <w:ind w:firstLine="640" w:firstLineChars="200"/>
        <w:outlineLvl w:val="1"/>
        <w:rPr>
          <w:rFonts w:hint="eastAsia" w:ascii="黑体" w:hAnsi="黑体" w:eastAsia="黑体" w:cs="宋体"/>
          <w:bCs/>
          <w:kern w:val="0"/>
          <w:sz w:val="32"/>
          <w:szCs w:val="32"/>
        </w:rPr>
      </w:pPr>
      <w:r>
        <w:rPr>
          <w:rFonts w:hint="eastAsia" w:ascii="黑体" w:hAnsi="黑体" w:eastAsia="黑体" w:cs="宋体"/>
          <w:bCs/>
          <w:kern w:val="0"/>
          <w:sz w:val="32"/>
          <w:szCs w:val="32"/>
        </w:rPr>
        <w:t>七、</w:t>
      </w:r>
      <w:bookmarkStart w:id="50" w:name="_Toc32663"/>
      <w:bookmarkStart w:id="51" w:name="_Toc29106"/>
      <w:r>
        <w:rPr>
          <w:rFonts w:hint="eastAsia" w:ascii="黑体" w:hAnsi="黑体" w:eastAsia="黑体" w:cs="宋体"/>
          <w:bCs/>
          <w:kern w:val="0"/>
          <w:sz w:val="32"/>
          <w:szCs w:val="32"/>
        </w:rPr>
        <w:t>《财政拨款“三公”经费支出决算表》</w:t>
      </w:r>
      <w:bookmarkEnd w:id="50"/>
      <w:bookmarkEnd w:id="51"/>
    </w:p>
    <w:p>
      <w:pPr>
        <w:ind w:firstLine="640" w:firstLineChars="200"/>
        <w:outlineLvl w:val="1"/>
        <w:rPr>
          <w:rFonts w:hint="eastAsia" w:ascii="黑体" w:hAnsi="黑体" w:eastAsia="黑体" w:cs="宋体"/>
          <w:bCs/>
          <w:kern w:val="0"/>
          <w:sz w:val="32"/>
          <w:szCs w:val="32"/>
        </w:rPr>
      </w:pPr>
      <w:bookmarkStart w:id="52" w:name="_Toc5453"/>
      <w:bookmarkStart w:id="53" w:name="_Toc7643"/>
      <w:r>
        <w:rPr>
          <w:rFonts w:hint="eastAsia" w:ascii="黑体" w:hAnsi="黑体" w:eastAsia="黑体" w:cs="宋体"/>
          <w:bCs/>
          <w:kern w:val="0"/>
          <w:sz w:val="32"/>
          <w:szCs w:val="32"/>
        </w:rPr>
        <w:t>八、《政府性基金预算财政拨款收入支出决算表》</w:t>
      </w:r>
      <w:bookmarkEnd w:id="52"/>
      <w:bookmarkEnd w:id="53"/>
    </w:p>
    <w:p>
      <w:pPr>
        <w:ind w:firstLine="640" w:firstLineChars="200"/>
        <w:outlineLvl w:val="1"/>
        <w:rPr>
          <w:rFonts w:hint="eastAsia"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hint="eastAsia"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jNjNTIzNzg1M2YxYjRkZjYxZTRkZTg2OTFlZGMifQ=="/>
  </w:docVars>
  <w:rsids>
    <w:rsidRoot w:val="00172A27"/>
    <w:rsid w:val="0017314B"/>
    <w:rsid w:val="00486477"/>
    <w:rsid w:val="005C2DD2"/>
    <w:rsid w:val="021D229B"/>
    <w:rsid w:val="02F73D26"/>
    <w:rsid w:val="034D4FEF"/>
    <w:rsid w:val="043E5B56"/>
    <w:rsid w:val="051075A3"/>
    <w:rsid w:val="05DC421B"/>
    <w:rsid w:val="06000B04"/>
    <w:rsid w:val="06792773"/>
    <w:rsid w:val="069F61B0"/>
    <w:rsid w:val="06A91D9D"/>
    <w:rsid w:val="06E721EC"/>
    <w:rsid w:val="070B300A"/>
    <w:rsid w:val="073360BD"/>
    <w:rsid w:val="07754928"/>
    <w:rsid w:val="07E358F5"/>
    <w:rsid w:val="0924686C"/>
    <w:rsid w:val="0A7B4867"/>
    <w:rsid w:val="0AA0673D"/>
    <w:rsid w:val="0B7406C7"/>
    <w:rsid w:val="0B8C3ECC"/>
    <w:rsid w:val="0BCC7EB7"/>
    <w:rsid w:val="0C7227A7"/>
    <w:rsid w:val="10ED6C66"/>
    <w:rsid w:val="13DD7ADC"/>
    <w:rsid w:val="155B33AF"/>
    <w:rsid w:val="15F555B1"/>
    <w:rsid w:val="16BA558A"/>
    <w:rsid w:val="17231DAF"/>
    <w:rsid w:val="17244973"/>
    <w:rsid w:val="1B4641B9"/>
    <w:rsid w:val="1BAD248A"/>
    <w:rsid w:val="1BC33A5C"/>
    <w:rsid w:val="1C731C79"/>
    <w:rsid w:val="1D0E70D7"/>
    <w:rsid w:val="1DAF458D"/>
    <w:rsid w:val="20812D18"/>
    <w:rsid w:val="20DD6197"/>
    <w:rsid w:val="20FB0974"/>
    <w:rsid w:val="220E76D8"/>
    <w:rsid w:val="23BC04D2"/>
    <w:rsid w:val="242D23BA"/>
    <w:rsid w:val="25021151"/>
    <w:rsid w:val="26CA3EF0"/>
    <w:rsid w:val="27AA6DAD"/>
    <w:rsid w:val="27CF2642"/>
    <w:rsid w:val="2A053397"/>
    <w:rsid w:val="2AC13069"/>
    <w:rsid w:val="2BD33535"/>
    <w:rsid w:val="2D1136DF"/>
    <w:rsid w:val="2DB94CBF"/>
    <w:rsid w:val="2FD27414"/>
    <w:rsid w:val="31C63837"/>
    <w:rsid w:val="324E1516"/>
    <w:rsid w:val="328716F8"/>
    <w:rsid w:val="3462281F"/>
    <w:rsid w:val="34BC201C"/>
    <w:rsid w:val="34D13C11"/>
    <w:rsid w:val="35B46497"/>
    <w:rsid w:val="37300F2A"/>
    <w:rsid w:val="387F3793"/>
    <w:rsid w:val="38EA0CC3"/>
    <w:rsid w:val="3914510A"/>
    <w:rsid w:val="399C7E17"/>
    <w:rsid w:val="3ACC492E"/>
    <w:rsid w:val="3B023801"/>
    <w:rsid w:val="3D5275AC"/>
    <w:rsid w:val="3F9609BC"/>
    <w:rsid w:val="40834692"/>
    <w:rsid w:val="4126044E"/>
    <w:rsid w:val="44916187"/>
    <w:rsid w:val="46901EEE"/>
    <w:rsid w:val="469C74D2"/>
    <w:rsid w:val="469D0718"/>
    <w:rsid w:val="4ABC3D95"/>
    <w:rsid w:val="4B4C0111"/>
    <w:rsid w:val="4BF54CBC"/>
    <w:rsid w:val="4BFA2159"/>
    <w:rsid w:val="4D021AC5"/>
    <w:rsid w:val="509D273F"/>
    <w:rsid w:val="50DB5F45"/>
    <w:rsid w:val="51BC685B"/>
    <w:rsid w:val="52F92565"/>
    <w:rsid w:val="53154898"/>
    <w:rsid w:val="54654377"/>
    <w:rsid w:val="550B6B5E"/>
    <w:rsid w:val="583059FA"/>
    <w:rsid w:val="58922210"/>
    <w:rsid w:val="58C44394"/>
    <w:rsid w:val="5BDF4EF0"/>
    <w:rsid w:val="5FA17648"/>
    <w:rsid w:val="611F236E"/>
    <w:rsid w:val="61A46A97"/>
    <w:rsid w:val="61BC6889"/>
    <w:rsid w:val="62DD7D21"/>
    <w:rsid w:val="64EA6F30"/>
    <w:rsid w:val="65D97752"/>
    <w:rsid w:val="67436E7B"/>
    <w:rsid w:val="677557EA"/>
    <w:rsid w:val="68DB0208"/>
    <w:rsid w:val="69846A0E"/>
    <w:rsid w:val="69AD798C"/>
    <w:rsid w:val="6B68175F"/>
    <w:rsid w:val="6D8F6F5F"/>
    <w:rsid w:val="6E0F7A08"/>
    <w:rsid w:val="6E5A4335"/>
    <w:rsid w:val="7060279C"/>
    <w:rsid w:val="71473612"/>
    <w:rsid w:val="718F7F65"/>
    <w:rsid w:val="71943E17"/>
    <w:rsid w:val="71CF5C3A"/>
    <w:rsid w:val="72B43E90"/>
    <w:rsid w:val="73FB6630"/>
    <w:rsid w:val="74E76DCD"/>
    <w:rsid w:val="7688222F"/>
    <w:rsid w:val="77ED6F44"/>
    <w:rsid w:val="7F7E59EA"/>
    <w:rsid w:val="7FE744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lang w:val="en-US" w:eastAsia="zh-CN" w:bidi="ar-SA"/>
    </w:rPr>
  </w:style>
  <w:style w:type="paragraph" w:customStyle="1" w:styleId="11">
    <w:name w:val="WPSOffice手动目录 2"/>
    <w:uiPriority w:val="0"/>
    <w:pPr>
      <w:ind w:leftChars="200"/>
    </w:pPr>
    <w:rPr>
      <w:lang w:val="en-US" w:eastAsia="zh-CN" w:bidi="ar-SA"/>
    </w:rPr>
  </w:style>
  <w:style w:type="paragraph" w:customStyle="1" w:styleId="12">
    <w:name w:val="WPSOffice手动目录 1"/>
    <w:uiPriority w:val="0"/>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8171</Words>
  <Characters>8993</Characters>
  <Lines>77</Lines>
  <Paragraphs>21</Paragraphs>
  <TotalTime>0</TotalTime>
  <ScaleCrop>false</ScaleCrop>
  <LinksUpToDate>false</LinksUpToDate>
  <CharactersWithSpaces>9039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2023-09-13T11:31:29Z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AE0CE8622EF142A4B0E73E51B834B886</vt:lpwstr>
  </property>
</Properties>
</file>