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乌财科教[2021]96号关于提前下达2022年城乡义务教育项目直达资金的通知（公用经费）-141小学</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乌鲁木齐市第四十一小学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乌鲁木齐市第四十一小学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李大勇</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2023年05月06日</w:t>
      </w:r>
    </w:p>
    <w:p>
      <w:pPr>
        <w:spacing w:line="540" w:lineRule="exact"/>
        <w:ind w:firstLine="640"/>
        <w:rPr>
          <w:rStyle w:val="18"/>
          <w:rFonts w:ascii="黑体" w:hAnsi="黑体" w:eastAsia="黑体"/>
          <w:b w:val="0"/>
          <w:spacing w:val="-4"/>
          <w:sz w:val="32"/>
          <w:szCs w:val="32"/>
          <w:highlight w:val="none"/>
        </w:rPr>
      </w:pPr>
      <w:r>
        <w:rPr>
          <w:rStyle w:val="18"/>
          <w:rFonts w:hint="eastAsia" w:ascii="黑体" w:hAnsi="黑体" w:eastAsia="黑体"/>
          <w:b w:val="0"/>
          <w:spacing w:val="-4"/>
          <w:sz w:val="32"/>
          <w:szCs w:val="32"/>
          <w:highlight w:val="none"/>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根据《财政部 教育部关于印发&lt;城乡义务教育补助经费管理办法&gt;的通知》（财教[2021]56号），适应新冠疫情的防控要求，有效保障学校日常教学活动的有效开展，提高学校办学条件，改善校园环境，更新教学设备。根据乌财科教[2021]96号关于提前下达2022年城乡义务教育项目直达资金的通知（公用经费），该项目用以发展优质、均衡、合理的教育，提高教育质量；保障学校各项教学工作顺利进行，让辖区内人民群众享受优质的教育服务，为社会主义事业培养合格的接班人；创建优质教育发展，保证教育利用的最大化，使教育工作环节进行良性循环。该项目主要是弥补我校的公用经费资金不足，具体用于我校办公费、水电费、学校教学与管理、教师培训、文体活动、水电、取暖、交通差旅、购置仪器设备及图书资料等、日常维修房屋建筑物和仪器设备等相关支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关于提前下达2022年城乡义务教育项目直达资金》的通知（公用经费）（小学）（乌财科教[2021]96号）文件，该项目系2022年中央资金，共安排预算136.73万元，于2022年年中追加，资金到位79.59万元，全年资金支付79.59万元，年底对未支付的资金进行结余57.14万。</w:t>
      </w:r>
    </w:p>
    <w:p>
      <w:pPr>
        <w:spacing w:line="540" w:lineRule="exact"/>
        <w:ind w:firstLine="567"/>
        <w:rPr>
          <w:rStyle w:val="18"/>
          <w:rFonts w:hint="eastAsia" w:ascii="楷体" w:hAnsi="楷体" w:eastAsia="楷体" w:cs="楷体"/>
          <w:b/>
          <w:bCs/>
          <w:spacing w:val="-4"/>
          <w:sz w:val="32"/>
          <w:szCs w:val="32"/>
        </w:rPr>
      </w:pPr>
      <w:r>
        <w:rPr>
          <w:rStyle w:val="18"/>
          <w:rFonts w:hint="eastAsia" w:ascii="楷体" w:hAnsi="楷体" w:eastAsia="楷体" w:cs="楷体"/>
          <w:b/>
          <w:bCs/>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2450人，主要用于办公费、水电费、学校教学业务管理、教师培训、文体活动、房屋仪器设备的日常维修维护、校园绿化、学校学生校方责任险等支出，完成了教育教学和其他工作任务，提高了教学质量，改善了办学条件。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二、绩效评价工作开展情况</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（1）绩效评价的对象：乌财科教[2021]96号关于提前下达2022年城乡义务教育项目直达资金的通知（公用经费）</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1.项目范围：乌财科教[2021]96号关于提前下达2022年城乡义务教育项目直达资金的通知（公用经费）的完成情况、资金投入的运行情况、项目实施后产生的绩效及影响效果。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hint="eastAsia" w:ascii="楷体" w:hAnsi="楷体" w:eastAsia="楷体" w:cs="楷体"/>
          <w:b w:val="0"/>
          <w:bCs w:val="0"/>
          <w:spacing w:val="-4"/>
          <w:sz w:val="32"/>
          <w:szCs w:val="32"/>
        </w:rPr>
      </w:pPr>
      <w:r>
        <w:rPr>
          <w:rStyle w:val="18"/>
          <w:rFonts w:hint="eastAsia" w:ascii="黑体" w:hAnsi="黑体" w:eastAsia="黑体" w:cs="黑体"/>
          <w:b/>
          <w:bCs/>
          <w:spacing w:val="-4"/>
          <w:sz w:val="32"/>
          <w:szCs w:val="32"/>
        </w:rPr>
        <w:t>（</w:t>
      </w:r>
      <w:r>
        <w:rPr>
          <w:rStyle w:val="18"/>
          <w:rFonts w:hint="eastAsia" w:ascii="楷体" w:hAnsi="楷体" w:eastAsia="楷体" w:cs="楷体"/>
          <w:b/>
          <w:bCs/>
          <w:spacing w:val="-4"/>
          <w:sz w:val="32"/>
          <w:szCs w:val="32"/>
        </w:rPr>
        <w:t>二）绩效评价原则、评价指标体系、评价方法、评价标准</w:t>
      </w:r>
    </w:p>
    <w:p>
      <w:pPr>
        <w:spacing w:line="540" w:lineRule="exact"/>
        <w:ind w:firstLine="567"/>
        <w:rPr>
          <w:rStyle w:val="18"/>
          <w:rFonts w:hint="eastAsia" w:ascii="楷体" w:hAnsi="楷体" w:eastAsia="楷体" w:cs="楷体"/>
          <w:b w:val="0"/>
          <w:bCs w:val="0"/>
          <w:spacing w:val="-4"/>
          <w:sz w:val="32"/>
          <w:szCs w:val="32"/>
        </w:rPr>
      </w:pPr>
      <w:r>
        <w:rPr>
          <w:rStyle w:val="18"/>
          <w:rFonts w:hint="eastAsia" w:ascii="楷体" w:hAnsi="楷体" w:eastAsia="楷体" w:cs="楷体"/>
          <w:b w:val="0"/>
          <w:bCs w:val="0"/>
          <w:spacing w:val="-4"/>
          <w:sz w:val="32"/>
          <w:szCs w:val="32"/>
        </w:rPr>
        <w:t>（二）绩效评价原则、指标体系、方法及标准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val="en-US" w:eastAsia="zh-CN"/>
        </w:rPr>
        <w:t>3</w:t>
      </w:r>
      <w:r>
        <w:rPr>
          <w:rStyle w:val="18"/>
          <w:rFonts w:hint="eastAsia" w:ascii="楷体" w:hAnsi="楷体" w:eastAsia="楷体"/>
          <w:b w:val="0"/>
          <w:bCs w:val="0"/>
          <w:spacing w:val="-4"/>
          <w:sz w:val="32"/>
          <w:szCs w:val="32"/>
        </w:rPr>
        <w:t>）公众评判法。是指通过专家评估、公众问卷及抽样调查等方式进行评判的方法。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（4）其他评价方法。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84.91分，绩效评级为“良”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乌财科教[2021]96号关于提前下达2022年城乡义务教育项目直达资金的通知（公用经费）各部分权重和绩效分值如附表所示：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t>二）主要绩效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主要按照政府采购机制、领导负责制、财务人员监督制，进行相应采购支出、大型建设维修、零星维修、学校日常活动开展。2022年该项目实际服务学生人数2450人，主要用于办公费、水电费、学校教学管理、教师培训、文体活动、房屋仪器设备的日常维修维护、校园绿化、学校学生校方责任险等支出，维修校舍12次、购置办公用品10类、学校校舍日常维修质量达标率与购置各类物品质量合格率达到100%。保障了学校日常的教育教学活动正常运行，提高教育教学条件，改善校园环境，改进教学设备，对于日常公用经费的不足进行弥补。</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 xml:space="preserve">四、绩效评价指标分析 </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（一）项目决策情况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项目决算指标由3个二级指标和6个三级指标构成，权重为20分，实际得分16分。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项目由财政依据相关政策文件直接下拨，无需申请立项，赋分4分，实际得1分。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故预算编制科学性指标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资金分配合理性：《财政部 教育部关于印发&lt;城乡义务教育补助经费管理办法&gt;的通知》财教[2021]56号,乌财科教[2021]96号关于提前下达2022年城乡义务教育项目直达资金的通知（公用经费）适应新冠疫情的防控要求，项目资金用于我校公用经费不足，校舍零星维修、购置各类教育教学用品、水电费缴纳等支出，评价期间内有效保障学校工作正常运转，故资金分配合理性指标赋分3分，实际得3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（二）项目过程情况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项目过程指标由2个二级指标和5个三级指标构成，权重为20分，实际得分17.91分。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 该项目资金经（乌财科教[2021]96号）文件批复，于2022年5月27日到位136.73万元，评价期间根据项目实际执行，支出79.59万元，剩余57.14万元于年底结转。因此，资金到位率为58.21%。该指标赋分为5分，扣减指标分值的57.21%，实际得分2.91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该项目评价期间内，实际支付办公费19.61万元，水费4.88万元，电费10.84万元、邮电费1.79万元、维修费23.67万元、祖灵费2.67万元、专用材料1.19万元、其他商品和服务支出10.52万元、办公设备购置2.07万元、专用设备2.35万元，共计支出79.59万元，预算拨付到位79.59万元，预算执行率为100%，故预算执行率赋分5分，实际得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为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综上，该指标满分13分，得分10.91分。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管理制度健全性：乌鲁木齐市第四十一小学已制定相应的财务和业务管理制度，且制度合法、合规、完整，为项目顺利实施提供重要保障。故管理制度健全性得分为3分。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乌鲁木齐市第四十一小学严格遵守相关法律法规和相关管理规定，项目调整及支出调整手续完备，整体管理合理有序，项目完成后，及时将会计凭证、固定资产入库单等相关资料分类归档，制度执行有效。故制度执行有效性指标得分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rPr>
          <w:rStyle w:val="18"/>
          <w:rFonts w:hint="eastAsia" w:ascii="楷体" w:hAnsi="楷体" w:eastAsia="楷体" w:cs="楷体"/>
          <w:b/>
          <w:bCs/>
          <w:spacing w:val="-4"/>
          <w:sz w:val="32"/>
          <w:szCs w:val="32"/>
        </w:rPr>
      </w:pPr>
      <w:r>
        <w:rPr>
          <w:rStyle w:val="18"/>
          <w:rFonts w:hint="eastAsia" w:ascii="楷体" w:hAnsi="楷体" w:eastAsia="楷体" w:cs="楷体"/>
          <w:b/>
          <w:bCs/>
          <w:spacing w:val="-4"/>
          <w:sz w:val="32"/>
          <w:szCs w:val="32"/>
        </w:rPr>
        <w:t>（三）项目产出情况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项目产出指标由4个二级指标和11个三级指标构成，权重为40分，实际得分31分。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维修校舍次数”的目标值是≥10次，2022年度我单位实际完成12次，原因为我校本年度进行消防设施维修保养、水管维修、空调维修、学校安全设施维护、学校土地深挖改造、141小办公室隔断维修改造等支出。该指标赋分为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购置各类教育教学用品”的目标值是≥8类，2022年度我单位实际完成10次，原因为我单位本年度购买计算机硬盘及相关配件、教师用书、推雪板等劳动工具、打印机耗材、订购党报党刊杂志等支出。该指标赋分为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“水电费缴纳次数”的目标值是≤12次，2022年度我单位实际完成9次，主要原因为水电费先行使用往年结余进行支付，本项目支出次数较少。该指标赋分2分,实际得分2分。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“教师培训数量”的目标值是≥10人，2022年度我单位实际完成培训0人，主要原因为因疫情原因我单位本年度未及时开展教师培训活动。该指标赋分2分,实际得分0分。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该项指标下设4个三级指标，指标分值10分，评价得分8分，得分率75%。</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“学校校舍日常维修改造质量达标率”的目标值是≥95%，2022年度我单位对学校校舍维修成果进行验收，验收合格后开据入库单据，实际完成100%。该项指标赋分3分，实际得3分。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“购置教育教学用品质量合格率”的目标值是≥95%，2022年度我单位对采购教育教学用品质量进行验收，验收合格后开据入库单据，实际完成100%。该项指标赋分5分，实际得5分。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“培训结业率”的目标值是100%，我单位实际完成0%。2022年度我单位因疫情原因该项目尚未开展培训活动。该项指标赋分2分，实际得0分。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该项指标下设3个三级指标，指标分值10分，评价得分8分，得分率66.67%。</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3.产出成本</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每次维修成本”的目标值是≤50000元，2022年度我单位实际完成每次维修成本平均19721.97元，原因是我单位维修次数较多且每次维修量级无法确定，因此取平均值，指标设置时未考虑充分。本年度我校维修校舍支出总成本为236663.6元，维修校舍12次，平均维修成本为19721.97元。该项指标赋分5分，实际得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购置各类教育教学用品成本”的目标值是≤20000元，2022年度我单位实际购置各类教育教学用品成本平均19605.44元，原因是我单位购置各类教育教学办公用品较多且办公用品种类金额无法确定，因此取平均值，指标设置时未考虑充分。本年度我校购置教育教学办公用品支出总成本为196054.44元，购置办公用品10类，平均购置各类教育教学用品成本19605.44元。该项指标赋分5分，实际得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每月水电费缴纳金额”的目标值是≤30000元，2022年度我单位实际每月水电费缴纳金额17474.11元，原因是我单位学校水电费包含供热站、食堂用水用电，因供热站冬季供热电力资源耗费较大，食堂寒暑假水电消耗较低，因此取平均值，指标设置时未考虑充分。该项指标赋分5分，实际得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“教师培训成本”的目标值是≥700元/人/次，2022年度我单位实际完成0元/次，主要原因为本年度因疫情该项目培训活动尚未开展。该项指标赋分5分，实际得0分。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该项指标下设4个三级指标，指标分值20分，评价得分15分，得分率75%。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综上，该指标满分40分，得分31分。</w:t>
      </w:r>
    </w:p>
    <w:p>
      <w:pPr>
        <w:spacing w:line="540" w:lineRule="exact"/>
        <w:ind w:firstLine="567"/>
        <w:rPr>
          <w:rStyle w:val="18"/>
          <w:rFonts w:hint="eastAsia" w:ascii="楷体" w:hAnsi="楷体" w:eastAsia="楷体" w:cs="楷体"/>
          <w:b/>
          <w:bCs/>
          <w:spacing w:val="-4"/>
          <w:sz w:val="32"/>
          <w:szCs w:val="32"/>
        </w:rPr>
      </w:pPr>
      <w:r>
        <w:rPr>
          <w:rStyle w:val="18"/>
          <w:rFonts w:hint="eastAsia" w:ascii="楷体" w:hAnsi="楷体" w:eastAsia="楷体" w:cs="楷体"/>
          <w:b/>
          <w:bCs/>
          <w:spacing w:val="-4"/>
          <w:sz w:val="32"/>
          <w:szCs w:val="32"/>
        </w:rPr>
        <w:t>（四）项目效益情况</w:t>
      </w:r>
    </w:p>
    <w:p>
      <w:pPr>
        <w:spacing w:line="540" w:lineRule="exact"/>
        <w:ind w:firstLine="567"/>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 xml:space="preserve">项目效益指标由1个二级指标和2个三级指标构成，权重为10分，实际得分10分。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有效改善教育教学质量”，指标值：有效改善，实际完成值：达成年度指标。通过设置问卷调查的方式进行考评评价，共计调查样本总量为40个样本，有效调查问卷40份。其中，统计“有效改善教育教学质量”的平均值为100%。该项指标赋分5分，得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评价指标“保障学校正常运转，改善办学条件”，指标值：持续保障，实际完成值：达成年度指标。通过设置问卷调查的方式进行考评评价，共计调查样本总量为40个样本，有效调查问卷40份。其中，统计“保障学校正常运转，改善办学条件”的平均值为100%。该指标赋分为5分，实际得分为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教师满意度”，指标值：≥90%，实际完成值：100%。通过设置问卷调查的方式进行考评评价，共计调查样本总量为40个样本，有效调查问卷40份。其中，统计“教师满意度”的平均值为100%。故满意度指标得分为10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五、预算执行进度与绩效指标偏差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预算执行率为100%，指标总体完成率为82.33%，二者之间的偏差值为17.67%，小于20%，原因为该项目是财政依据文件直接下拨，缺少相关立项申请等手续，故立项依据充分性、立项程序规范性失分多，所以总体完成率偏低。因疫情原因本年度该项目培训活动未开展。财力紧张，资金未完全支付，未能及时支付的剩余经费财政收回，所以执行率100%偏高。总体而言，该项目未完全达到年度总体目标，财政资金的使用效益和效率还需加强和提高。</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四十一小学严格按照使用范围使用资金，专款专用，该项目严格按照财务规定进行支付，手续齐全，审批流程完整有效，做到专款专用，完成该项工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566D5"/>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21C256F"/>
    <w:rsid w:val="13BE561A"/>
    <w:rsid w:val="15392994"/>
    <w:rsid w:val="15B036FB"/>
    <w:rsid w:val="18FE139B"/>
    <w:rsid w:val="1F240CB5"/>
    <w:rsid w:val="240510B5"/>
    <w:rsid w:val="25A20B86"/>
    <w:rsid w:val="2A891760"/>
    <w:rsid w:val="3029612C"/>
    <w:rsid w:val="32A221C5"/>
    <w:rsid w:val="33F20F2A"/>
    <w:rsid w:val="34565997"/>
    <w:rsid w:val="34C44675"/>
    <w:rsid w:val="3B5B5607"/>
    <w:rsid w:val="3B651FAA"/>
    <w:rsid w:val="3CE21B3C"/>
    <w:rsid w:val="3E5500EC"/>
    <w:rsid w:val="4D2606A1"/>
    <w:rsid w:val="4F2C1643"/>
    <w:rsid w:val="51830480"/>
    <w:rsid w:val="53A616BE"/>
    <w:rsid w:val="544842AC"/>
    <w:rsid w:val="54662BFB"/>
    <w:rsid w:val="611D6D37"/>
    <w:rsid w:val="62051CA5"/>
    <w:rsid w:val="6C3A69EF"/>
    <w:rsid w:val="6D65450D"/>
    <w:rsid w:val="722300A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8243</Words>
  <Characters>8787</Characters>
  <Lines>4</Lines>
  <Paragraphs>1</Paragraphs>
  <TotalTime>32</TotalTime>
  <ScaleCrop>false</ScaleCrop>
  <LinksUpToDate>false</LinksUpToDate>
  <CharactersWithSpaces>8824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2023-09-05T08:59:14Z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AB06E617EAA84694AF4AB88D918C3EF5</vt:lpwstr>
  </property>
</Properties>
</file>