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乌财科教[2021]96号关于提前下达2022年城乡义务教育项目直达资金的通知（公用经费）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乌鲁木齐市第三十二中学</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乌鲁木齐市第三十二中学</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陶豫林</w:t>
      </w:r>
    </w:p>
    <w:p>
      <w:pPr>
        <w:spacing w:line="540" w:lineRule="exact"/>
        <w:ind w:firstLine="1080" w:firstLineChars="300"/>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2023年05月08日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（一）项目概况：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目主要是弥补我校的公用经费资金不足，用于我校办公费、水电费、学校教学业务与管理、教师培训、文体活动、水电、取暖、交通差旅、购置仪器设备及图书资料等、日常维修房屋建筑物和仪器设备等相关开支。根据《财政部 教育部关于印发&lt;城乡义务教育补助经费管理办法&gt;的通知》财教【2021】56号、《关于提前下达2022年城乡义务教育项目直达资金》的通知（公用经费）（乌财科教[2021]96号）文件等，该项目可以用以发展优质、均衡、合理的教育，提高教育质量；保障学校各项教学工作顺利进行，让辖区内人民群众享受优质的教育服务，为社会事业培养合格的接班人；创建优质教育发展，保证教育利用的最大化，使教育工作环节进行良性循环。我校在评价期间，该项目合理合规完成当年资金的全额支出，有效保障学校正常运转，完成教育教学活动和其他日常工作任务。一定程度上实现该项目的社会效益，提高了学校的教学水平、改善了办学条件。</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经乌财科教【2021】96号文件批准，乌财科教【2021】96号关于提前下达2022年城乡义务教育项目直达资金的通知（公用经费）项目系2022年中央资金，共安排预算50.05万元，于2022年年中追加预算批复项目，资金到位50.05万元，全年资金支付17.43万元，年底对资金调减32.62万元。</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目为当年项目，计划服务学生人数达到1238人，资金使用100%合规合法。拟用于零星维修校舍10次，培训教师5次，购置各类教学用品10次，培训结业率100%，购置用品质量合格率95%，校舍日常维修合格率100%,有效提高学校教育教学水平，改善学校办学条件，保障学校的正常运转，完成教育教学活动和其他日常工作等。</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具体开支范围涉及办公费、水电费、学校教学业务与管理、教师培训、文体活动、水电、取暖、交通差旅、仪器设备及图书资料等购置、房屋建筑物仪器设备的日常维修等相关开支。合理合规完成当年资金的全额支出，有效保障学校正常运转，完成教育教学活动和其他日常工作任务等。从而实现该项目的社会效益，提高学校教学水平、改善办学条件。</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4" w:firstLineChars="181"/>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1.评价目的</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2.评价对象和范围</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（1）绩效评价的对象：乌财科教【2021】96号关于提前下达2022年城乡义务教育项目直达资金的通知（公用经费）项目 </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（2）绩效评价范围：</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1.项目范围：乌财科教【2021】96号关于提前下达2022年城乡义务教育项目直达资金的通知（公用经费）的完成情况、资金投入的运行情况、项目实施后产生的绩效及影响效果。</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1.评价原则</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（2）公正公开原则：绩效评价应当符合真实、客观、公正的要求，依法公开并接受监督。</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（3）分级分类原则：根据评价对象特点分类组织实施。</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根据以上原则，绩效评价应遵循如下要求：</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（1）在数据收集时，采取客观数据，并结合问卷调查结果，以保证各项指标的真实性。</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（2）保证评价结果的真实性、公正性，提高评价报告的公信力。</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2.评价指标体系</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绩效评价指标体系作为衡量绩效目标实现程度的考核工具，一般遵循以下原则：</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（1）相关性原则：绩效评价指标应当与绩效目标有直接的联系，能够恰当反映目标的实现程度。</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（2）重要性原则：应当优先使用最具评价对象代表性、最能反映评价要求的核心指标。</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本项目的评价指标体系建立如附件所示。</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3.评价方法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（1）成本效益分析法。是指将投入与产出、效益进行关联性分析的方法。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（3）公众评判法。是指通过专家评估、公众问卷及抽样调查等方式进行评判的方法。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本项目乌财科教【2021】96号关于提前下达2022年城乡义务教育项目直达资金的通知（公用经费）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绩效评价标准主要包括计划标准、行业标准、历史标准等，用于对绩效指标完成情况进行比较。</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（1）计划标准。指以预先制定的目标、计划、预算、定额等作为评价标准。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（2）行业标准。指参照国家公布的行业指标数据制定的评价标准。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在上述评价标准的基础上，本次评价依据以下文件为重要指导和准绳：</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·《中共中央国务院关于全面实施预算绩效管理的意见》（中发〔2018〕34号）</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·《项目支出绩效评价管理办法》（财预〔2020〕10号）</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（一）评价结论</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乌财科教【2021】96号关于提前下达2022年城乡义务教育项目直达资金的通知（公用经费）进行客观评价，最终评分结果为：总分为82.15分，绩效评级为“良”[ 参考《关于印发&lt;项目支出绩效评价管理办法&gt;的通知》（财预〔2020〕10号）中的规定，本次绩效评价结果实施百分制和四级分类，其中90（含）-100分为优、80（含）-90分为良、60（含）-80分为中、60分以下为差。]。</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项目各部分权重和绩效分值如附表所示：</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（三）主要绩效</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资金区财政及时拨付，单位在此次评价期间内，有序完成设定目标的部分工作任务，服务学生人数达到1238人，资金使用完全合规合法，资金有结余，该项目用于办公费、水电费、邮电费、物业管理费、其他商品和服务支出等相关开支。化粪池清洁达标率很高，各类办公业务均能正常开展完成。合理合规的完成当年资金的支出，有效保障了学校正常运转，完成了教育教学活动和其他日常工作任务等。实现了该项目的社会效益，提高了学校教学水平、改善了办学条件。</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（一）项目决策情况</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项目决策指标由3个二级指标和6个三级指标构成，权重为20分，实际得分13分。</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1.项目立项</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立项依据充分性：项目立项符合《财政部 教育部关于印发&lt;城乡义务教育补助经费管理办法&gt;的通知》财教【2021】56号政策要求。同时，项目与部门职责范围相符，属于部门履职所需。此外，本项目属于公共财政支持范围，比较符合中央、地方事权支出责任划分原则。因此，立项依据比较充分，没缺少市级相关文件，扣1分，赋分4分，实际得3分。</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立项程序规范性:项目由财政依据相关政策文件直接下拨，无需申请立项，赋分4分，实际得1分。</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综上，该指标满分8分，得分4分，得分率50%。</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2.绩效目标</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绩效目标合理性：因财政资金紧张，只能支付日常水电费及一些特定业务导致原定绩效目标均为完成，故绩效目标合理性指标赋分3分，得0分，得分率0%。</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目标明确性：本项目设置产出、效益及满意度指标，清理化粪池，清洁达标率很高，开展各类教育教学工作业务，完成率高，有效提高了学校教育教学水平，改善了学校办学条件，保障了学校的正常运转，顺利完成了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综上，该指标满分6分，得分3分。</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3.资金投入</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预算编制科学性：依据《关于修订&lt;新疆维吾尔自治区城乡义务教育“两免一补”资金管理办法&gt;的通知》（新财规{2020}10号）文件标准编制预算，普通小学每生每年650元，初中生每生每年850元取暖费生均180元，公用经费总额按照：中央80%，自治区6%，市级14%的比例共同承担。故预算编制科学性指标赋分3分，得3分，得分率100%。</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分配合理性：依据乌财科教【2021】96号关于提前下达2022年城乡义务教育项目直达资金的通知（公用经费）文件精神，项目资金用于弥补我校公用经费不足，缴纳水电费、办公用房取暖费以及清理学校化粪池等，评价期间内有效保障学校工作正常运转，故资金分配合理性指标赋分3分，实际得3分。得分率100%。</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项目过程指标由2个二级指标和5个三级指标构成，权重为20分，实际得分16.75分。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资金到位率：</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 该项目资金经（乌财科教[2021]96号）文件批复，于2022年5月27日到位50.05万元，评价期间根据项目实际执行，支出17.43万元，剩余32.36万元于年底收回。因此，资金到位率为34.83%.该指标赋分5，扣减指标分值的65.18%，实际得分1.75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预算执行率：</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该项目支付：</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一、办公费2.9万元，其中：2022年5月23日支付28000元给乌鲁木齐美高地注册安全工程师事务所（有限公司）；2022年8月12日支付1000元给新疆天华有限责任会计师事务所。</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二、校园保洁费3.4万元，其中：2022年6月27日支付17000元给水磨沟区红山路明德管道疏通服务部；2022年7月7日支17000元给水磨沟区红山路明德管道疏通服务部。</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三、印刷费0.64万元，其中：2022年7月8日支付4540元给水磨沟区成功街大成功数码图文制作中心；2022年7月21日支1840元给水磨沟区成功街大成功数码图文制作中心</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四、手续费0.01万元，2022年7月21日报销142元手续费给财务人员谭丽萍。</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五、商品服务支出其1万元，其中：2022年8月12日支付10000元给新疆广烨律师事务所。</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六、电费：8.11万元，其中：2022年11月17日支付42936.09元给国网新疆电力有限公司、2022年12月15日支付38206.72元给国网新疆电力有限公司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七、电话费：0.19万元，其中：2022年12月15日支付1861.8元给中国电信股份有限公司乌鲁木齐分公司</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八、水费：1.18万元，其中：2022年11月17日支付9052.5元给乌鲁木齐水业集团有限公司、2022年12月15日支付2725元给乌鲁木齐水业集团有限公司</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预算拨50.05万元，共计支出17.43万元，年底收回32.62万元，预算执行率为100%，故预算执行率赋分5分，得5分，得分率100%。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资金使用合规性：</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目资金的使用符合国家财经法规和财务管理制度以及有关专项资金管理办法的规定。同时，资金符合合同规定的用途，不存在截留、挤占、挪用、虚列支出等情况。5000元以上经费支出经教育局审批后，方可支付。故资金使用合规性赋分3分，实际得3分，得分率100%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综上，该指标满分13分，得分9.75分，得分率75%</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2.组织实施</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管理制度健全性：乌鲁木齐市第三十二中学已制定相应的财务和业务管理制度，且制度合法、合规、完整，为项目顺利实施提供重要保障。故管理制度健全性赋分3分，得3分，得分率100%。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制度执行有效性：根据现场调研和资料抽查情况，乌鲁木齐市第三十二中学严格遵守相关法律法规和相关管理规定，项目调整及支出调整手续完备，整体管理合理有序，项目完成后，及时将会计凭证、固定资产入库单等相关资料分类归档，制度执行有效。故制度执行有效性指标赋分4分，得4分，得分率100%。</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综上，该指标满分7分，得分7分，得分率100%</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hint="eastAsia" w:ascii="楷体" w:hAnsi="楷体" w:eastAsia="楷体"/>
          <w:b w:val="0"/>
          <w:bCs w:val="0"/>
          <w:spacing w:val="-4"/>
          <w:sz w:val="32"/>
          <w:szCs w:val="32"/>
          <w:lang w:eastAsia="zh-CN"/>
        </w:rPr>
      </w:pPr>
      <w:bookmarkStart w:id="0" w:name="_GoBack"/>
      <w:bookmarkEnd w:id="0"/>
      <w:r>
        <w:rPr>
          <w:rStyle w:val="18"/>
          <w:rFonts w:hint="eastAsia" w:ascii="楷体" w:hAnsi="楷体" w:eastAsia="楷体"/>
          <w:b w:val="0"/>
          <w:bCs w:val="0"/>
          <w:spacing w:val="-4"/>
          <w:sz w:val="32"/>
          <w:szCs w:val="32"/>
        </w:rPr>
        <w:t>项目产出指标由3个二级指标和10个三级指标构成，权重为40分，实际得分34.4分。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1.产出数量</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“清理化粪池次数”的目标值是10次，2022年度我单位实际完成2次，原因是疫情原因，8-12月未清理。指标赋分3分，实际得分1分，得分率33%。</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“开展各类办公业务次数”的目标值是10次，2022年度我单位实际完成6次，原因是疫情原因，隔离在家四个月，很多业务无法如期开展。该项指标赋分3分，实际得1.8分，得分率60%。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“支付水电费次数”的目标值是10次，2022年度我单位2022年度我单位实际完成4次，原因是使用其他同类资金进行支付。该项指标赋分2分，实际得0.8分，得分率40%。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“支付采暖费次数”的目标值是5次，2022年度我单位实际完成2次，原因是使用其他同类资金进行支付。该项指标赋分2分，实际得0.8分，得分率40%。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该项指标下设4个三级指标，指标分值10分，评价得分4.4分，得分率44%。</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2.产出质量</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“化粪池清洁达标率”的目标值是100%，2022年度我单位实际完成100%，该项指标赋分5分，实际得5分，得分率100%。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“各类办公业务完成率”的目标值是100%，2022年度我单位实际完成100%，该项指标赋分5分，实际得5分，得分率100%。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“正常用水用电率”的目标值是&gt;=95%，2022年度我单位实际完成100%，该项指标赋分5分，实际得5分，得分率100%。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该项指标下设3个三级指标，指标分值15分，评价得分15分，得分率100%。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3.产出成本</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“清理化粪池成本”的目标值是&lt;=40000元，2022年度我单位实际完成34000元，该项指标赋分5分，实际得5分，得分率100%。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“开展各类办公业务成本”的目标值是&lt;=50000元，2022年度我单位实际完成45522元。该项指标赋分5分，实际得5分，得分率100%。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“水电费成本”的目标值是&lt;=40000元，2022年度我单位实际完成30365.51元。该项指标赋分5分，实际得5分，得分率100%。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该项指标下设3个三级指标，指标分值15分，评价得分15分，得分率100%。</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综上，该指标满分40分，得分34.4分。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（四）项目效益情况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项目效益指标由1个二级指标和2个三级指标构成，权重为10分，实际得分8分。 </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1.项目效益</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（1）实施效益</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经济效益指标：项目属于确定不产生该项效益的，因此未设置。</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社会效益指标：评价指标“提高学校教学水平、改善办学条件”，指标值：有效提高，实际完成值：完全达到预期效果。本项目的实施基本保障了学校教育教学工作顺利进行，让辖区内人民群众享受优质的教育服务，为社会事业培养合格的接班人。该项指标赋分5分，实际得4分，得分率80%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生态效益指标：项目属于确定不产生该项效益的，因此未设置。</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可持续影响指标：评价指标“保障学校正常运转，完成教育教学活动和其他日常”，指标值：持续保障，实际完成值：基本达到预期效果。创建了优质教育发展可保证教育教育利用的最大化，使教育工作环节进行良性循环。该项指标赋分5分，实际得4分，得分率80%。</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综上，该指标满分10分，得分8分，得分率80%。</w:t>
      </w:r>
    </w:p>
    <w:p>
      <w:pPr>
        <w:spacing w:line="540" w:lineRule="exact"/>
        <w:ind w:firstLine="567" w:firstLineChars="181"/>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 满意度指标完成情况分析</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（1）满意度指标</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群众满意度：评价指标“师生满意度”，指标值：≥95%，实际完成值：95%。通过设置问卷调查的方式进行考评评价，共计调查样本总量40个样本，有效调查问卷40份。其中，统计“师生满意度”的平均值为95%。故满意度指标得分为10分。</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综上，该指标满分10分，得分10分。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34.83%，指标总体完成率为77.83%，二者之间的偏差值为43%，大于20%，原因是：原因为疫情原因，隔离在家，无法对校园进行维修，清理化粪池以及开展教育教学相关业务次数也减少，所以产出指标失分较多，该项目是财政依据文件直接下拨，缺少相关立项申请等手续，故立项依据充分性、立项程序规范性失分多，所以总体完成率偏低。财力紧张，资金未完全支付，未能及时支付的剩余经费财政收回，所以执行率100%偏高。总体而言，该项目未完全达到年度总体目标，财政资金的使用效益和效率还需加强和提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（一）主要经验及做法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该项目用以保障义务教育阶段学校正常运转、教育教学活动和其他日常工作正常开展的相关支出，主要包含有相关教学设备设施的购置，零星日常维修等。采取项目工作领导小组负责制，全体成员积极配合、通力合作。</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项目工作领导小组负责协调相关工作，项目实施及资金管理。建立联动机制，各部门密切配合，分工责任，各司其职，密切跟进项目落实情况，确保了项目有组织、有计划、有步骤地推进。进一步提升了校园硬件设施力度，补齐了学校环境硬件短板，大大提高了学生学习的积极性，提高了老师的教学水平，优化了课堂互动环境，形成了师生有效互动，为学生打造了良好教学环境，提升了师生的幸福感。</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该项目有结余，疫情原因，财力紧张，经费支付比较困难。预算要更加切合单位实际需要，追加预算要细化，加大对项目绩效支出的绩效考核。项目执行方面，加大对各业务口相关负责人的政策制度培训，在财力允许的情况下，按要求准备好相关材料，保障项目顺利执行，不拖后腿，影响进度。</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严格按照项目资金管理办法对资金进行计划申请、划拨、使用，及时、规范对收支进行账务处理和会计核算。专项资金专项使用，严格执行项目资金批准的使用计划和项目批复内容，不准擅自调项、扩项、缩项、挪用、挤占和随意扣压，资金拨付动向按不同专项资金的要求执行，不准任意改变。专项资金报账拨付要附真实、有效、合法的凭证。加强审计监督，对专项资金要定期或不定期进行督查，确保项目资金转款专用，要全程参与项目验收和采购项目接交。严格按照相关规定执行，确保项目顺利展开。</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加强预算严格的监督控制制度，逐步完善了单位预算管理保障制度，确保财务编制及财务预算的执行可以得到有效保障。建立了联动机制，各部门密切配合，分工责任，各司其职，树立正确的预算执行意识，加强了单位领导者与管理者的预算执行意识，以身作则的带动了下属工作人员及组织、部门严肃对待预算执行这一问题，同时加强了预算执行过程中的方法学习和技巧掌握，学习了如何实现经费的合理化分配与实用。</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1.项目支出政策和路径设计科学，符合实际需要；</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2.项目安排准确，未发现背离项目立项初衷的情况；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3.项目的申报、审核机制完善；</w:t>
      </w:r>
    </w:p>
    <w:p>
      <w:pPr>
        <w:spacing w:line="540" w:lineRule="exact"/>
        <w:ind w:firstLine="567"/>
        <w:rPr>
          <w:rStyle w:val="18"/>
          <w:rFonts w:ascii="仿宋" w:hAnsi="仿宋" w:eastAsia="仿宋"/>
          <w:b w:val="0"/>
          <w:spacing w:val="-4"/>
          <w:sz w:val="32"/>
          <w:szCs w:val="32"/>
        </w:rPr>
      </w:pP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1B141E55"/>
    <w:rsid w:val="2A891760"/>
    <w:rsid w:val="3029612C"/>
    <w:rsid w:val="32A221C5"/>
    <w:rsid w:val="33F20F2A"/>
    <w:rsid w:val="34C44675"/>
    <w:rsid w:val="3A1852F2"/>
    <w:rsid w:val="3B5B5607"/>
    <w:rsid w:val="3CE21B3C"/>
    <w:rsid w:val="4D2606A1"/>
    <w:rsid w:val="51830480"/>
    <w:rsid w:val="53A616BE"/>
    <w:rsid w:val="54662BFB"/>
    <w:rsid w:val="62051CA5"/>
    <w:rsid w:val="6C3A69EF"/>
    <w:rsid w:val="74BA0364"/>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8384</Words>
  <Characters>9029</Characters>
  <Lines>4</Lines>
  <Paragraphs>1</Paragraphs>
  <TotalTime>24</TotalTime>
  <ScaleCrop>false</ScaleCrop>
  <LinksUpToDate>false</LinksUpToDate>
  <CharactersWithSpaces>9053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2023-09-05T08:25:52Z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77AF96A1C69D41F099D24840C6A32240</vt:lpwstr>
  </property>
</Properties>
</file>