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乌财科教[2021]96号关于提前下达2022年城乡义务教育项目直达资金的通知（公用经费）初中教育</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乌鲁木齐市第三十二中学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乌鲁木齐市第三十二中学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陶豫林</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2023年03月20日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目主要是弥补我校的公用经费资金不足，用于我校办公费、水电费、学校教学业务与管理、教师培训、文体活动、水电、取暖、交通差旅、购置仪器设备及图书资料等、日常维修房屋建筑物和仪器设备等相关开支。根据《财政部 教育部关于印发&lt;城乡义务教育补助经费管理办法&gt;的通知》财教【2021】56号、《关于提前下达2022年城乡义务教育项目直达资金》的通知（公用经费）（乌财科教[2021]96号）文件等，该项目可以用以发展优质、均衡、合理的教育，提高教育质量；保障学校各项教学工作顺利进行，让辖区内人民群众享受优质的教育服务，为社会事业培养合格的接班人；创建优质教育发展，保证教育利用的最大化，使教育工作环节进行良性循环。我校在评价期间，该项目合理合规完成当年资金的全额支出，有效保障学校正常运转，完成教育教学活动和其他日常工作任务。一定程度上实现该项目的社会效益，提高了学校的教学水平、改善了办学条件。</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乌财科教【2021】96号文件批准，乌财科教【2021】96号关于提前下达2022年城乡义务教育项目直达资金的通知（公用经费）初中款项目系2022年中央资金，共安排预算34.18万元，于2022年年中追加预算批复项目，资金到位34.18万元，全年资金支付24.01万元，年底对资金调减10.17万元。</w:t>
      </w:r>
    </w:p>
    <w:p>
      <w:pPr>
        <w:numPr>
          <w:ilvl w:val="0"/>
          <w:numId w:val="1"/>
        </w:numPr>
        <w:spacing w:line="540" w:lineRule="exact"/>
        <w:ind w:firstLine="567"/>
        <w:rPr>
          <w:rStyle w:val="18"/>
          <w:rFonts w:hint="eastAsia" w:ascii="楷体" w:hAnsi="楷体" w:eastAsia="楷体"/>
          <w:spacing w:val="-4"/>
          <w:sz w:val="32"/>
          <w:szCs w:val="32"/>
        </w:rPr>
      </w:pPr>
      <w:r>
        <w:rPr>
          <w:rStyle w:val="18"/>
          <w:rFonts w:hint="eastAsia" w:ascii="楷体" w:hAnsi="楷体" w:eastAsia="楷体"/>
          <w:spacing w:val="-4"/>
          <w:sz w:val="32"/>
          <w:szCs w:val="32"/>
        </w:rPr>
        <w:t>项目绩效目标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目为当年项目，计划服务学生人数达到1238人，资金使用100%合规合法。拟用于零星维修校舍5次，培训教师4次，购置各类教学用品6类，培训结业率100%，购置用品质量合格率95%，校舍日常维修合格率100%,有效提高学校教育教学水平，改善学校办学条件，保障学校的正常运转，完成教育教学活动和其他日常工作等。</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具体开支范围涉及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2.评价对象和范围</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（1）绩效评价的对象：乌财科教【2021】96号关于提前下达2022年城乡义务教育项目直达资金的通知（公用经费）初中款项目 </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（2）绩效评价范围：</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1.项目范围：乌财科教【2021】96号关于提前下达2022年城乡义务教育项目直达资金的通知（公用经费）初中款的完成情况、资金投入的运行情况、项目实施后产生的绩效及影响效果。</w:t>
      </w:r>
      <w:r>
        <w:rPr>
          <w:rStyle w:val="18"/>
          <w:rFonts w:hint="eastAsia" w:ascii="楷体" w:hAnsi="楷体" w:eastAsia="楷体"/>
          <w:b w:val="0"/>
          <w:bCs w:val="0"/>
          <w:spacing w:val="-4"/>
          <w:sz w:val="32"/>
          <w:szCs w:val="32"/>
        </w:rPr>
        <w:cr/>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1.评价原则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（2）公正公开原则：绩效评价应当符合真实、客观、公正的要求，依法公开并接受监督。</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（3）分级分类原则：根据评价对象特点分类组织实施。</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根据以上原则，绩效评价应遵循如下要求：</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（1）在数据收集时，采取客观数据，并结合问卷调查结果，以保证各项指标的真实性。</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（2）保证评价结果的真实性、公正性，提高评价报告的公信力。</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2.评价指标体系</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绩效评价指标体系作为衡量绩效目标实现程度的考核工具，一般遵循以下原则：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（2）重要性原则：应当优先使用最具评价对象代表性、最能反映评价要求的核心指标。</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（3）可比性原则：对同类评价对象要设定共性的绩效评价指标，以便于评价结果可以相互比较。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本项目的评价指标体系建立如附件所示。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3.评价方法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（1）成本效益分析法。是指将投入与产出、效益进行关联性分析的方法。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（3）公众评判法。是指通过专家评估、公众问卷及抽样调查等方式进行评判的方法。</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本项目乌财科教【2021】96号关于提前下达2022年城乡义务教育项目直达资金的通知（公用经费）初中款的特点，本次评价主要采用比较法和公众评判法，对项目总预算和明细预算的内容、标准、计划是否经济合理进行深入分析，以考察实际产出和效益是否达到预期。</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4.评价标准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（1）计划标准。指以预先制定的目标、计划、预算、定额等作为评价标准。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（2）行业标准。指参照国家公布的行业指标数据制定的评价标准。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（一）评价结论</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乌财科教【2021】96号关于提前下达2022年城乡义务教育项目直达资金的通知（公用经费）初中款进行客观评价，最终评分结果为：总分为81.65分，绩效评级为“良”[ 参考《关于印发&lt;项目支出绩效评价管理办法&gt;的通知》（财预〔2020〕10号）中的规定，本次绩效评价结果实施百分制和四级分类，其中90（含）-100分为优、80（含）-90分为良、60（含）-80分为中、60分以下为差。]。</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项目各部分权重和绩效分值如附表所示：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567" w:firstLineChars="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主要绩效</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部分工作任务，该项目服务人数达到学生1238人，资金使用完全合规合法，资金有结余，该项目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bookmarkStart w:id="0" w:name="_GoBack"/>
      <w:bookmarkEnd w:id="0"/>
      <w:r>
        <w:rPr>
          <w:rStyle w:val="18"/>
          <w:rFonts w:hint="eastAsia" w:ascii="楷体" w:hAnsi="楷体" w:eastAsia="楷体"/>
          <w:b w:val="0"/>
          <w:bCs w:val="0"/>
          <w:spacing w:val="-4"/>
          <w:sz w:val="32"/>
          <w:szCs w:val="32"/>
        </w:rPr>
        <w:t>项目决策指标由3个二级指标和6个三级指标构成，权重为20分，实际得分16分。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1.项目立项</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因此，立项依据比较充分，没缺少市级相关文件，扣1分，赋分4分，实际得3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立项程序规范性:项目由财政依据相关政策文件直接下拨，无需申请立项，赋分4分，实际得1分。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综上，该指标满分8分，得分4分，得分率50%。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2.绩效目标</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得3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目标明确性：本项目设置产出、效益及满意度指标，组织培训教师进行培训，培训均能结业，购置各类教学用品，质量合格，有效提高了学校教育教学水平，改善了学校办学条件，保障了学校的正常运转，顺利完成了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赋分3分，得3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综上，该指标满分6分，得分6分。</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3.资金投入</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编制科学性：依据《关于修订&lt;新疆维吾尔自治区城乡义务教育“两免一补”资金管理办法&gt;的通知》（新财规{2020}10号）文件标准编制预算，普通小学每生每年650元，初中生每生每年850元取暖费生均180元，公用经费总额按照：中央80%，自治区6%，市级14%的比例共同承担。故预算编制科学性指标赋分3分，得3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分配合理性：依据乌财科教【2021】96号关于提前下达2022年城乡义务教育项目直达资金的通知（公用经费）文件精神，资金用于弥补公用经费不足，保障学校工作正常运转，故资金分配合理性指标赋分3分，得3分，得分率100%。</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项目过程指标由2个二级指标和5个三级指标构成，权重为20分，实际得分18.51分。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1.资金管理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资金到位率：  该项目资金经（乌财科教[2021]96号）文件批复，于2022年5月27日到位34.18万元，评价期间根据项目实际执行，支出24.01万元，剩余10.17万元于年底收回。因此，资金到位率为70.25%.该指标赋分5，扣减指标分值的29.75%，实际得分3.51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预算执行率：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该项目支付：</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一、办公费0.41万元，其中：2022年6月27日支付3337.37800元给天山区红旗路鑫蓝萍电子产品经销部。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二、校园绿化费：1.89万元，其中：2022年6月24日支付18965.5元给水磨沟区八道湾村砺磨花卉店。</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三、印刷费0.06万元，其中：2022年6月27日支付584元给水磨沟区成功街大成功数码图文制作中心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四、其他交通费：0.23万元，2022年6月22日支付230元给水磨沟区龙瑞街陈佰锁汽车维修部、2022年6月22日支付2059元给德力西新疆交通运输集团股份有限公司维修中心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五、维修费：5.42万元，其中：2022年6月22日支付4420元给水磨沟区温泉东路金新源安防器材经销部、2022年6月30日支付18914元给新疆正元鑫龙消防技术有限公司、2022年7月8日支付9457元给新疆正元鑫龙消防技术有限公司、支付40000元给新疆昱臻鑫科技有限公司、2022年7月21日支付350元给新疆博远宏星电子科技有限公司。</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六、电费：7.79万元，其中：2022年3月22日支付8729.74元给国网新疆电力有限公司、2022年4月13日支付14667.65元给国网新疆电力有限公司、2022年5月18日支付9457.78元给国网新疆电力有限公司、2022年6月14日支付7944.3元给国网新疆电力有限公司、2022年7月8日支付6933.49元给国网新疆电力有限公司、2022年8月28日支付3454.62元给国网新疆电力有限公司、2022年9月21日支付3518.58元给国网新疆电力有限公司、2022年10月27日支付9520.68元给国网新疆电力有限公司、2022年12月25日支付13628.33元给国网新疆电力有限公司</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七、邮电费：1.25万元，其中：2022年3月22日支付1043.7元给中国电信股份有限公司乌鲁木齐分公司、2022年4月12日支付1046.7元给中国电信股份有限公司乌鲁木齐分公司、2022年5月11日支付1045.8元给中国电信股份有限公司乌鲁木齐分公司、2022年6月14日支付1055.8元给中国电信股份有限公司乌鲁木齐分公司、支付4200元给中国移动通信集团新疆有限公司乌鲁木齐市分公司、2022年7月8日支付1055.7元给中国移动通信集团新疆有限公司乌鲁木齐市分公司、2022年8月28日支付1049.2元给中国电信股份有限公司乌鲁木齐分公司、2022年9月22日支付1050.4元、10月27日支付994.8元给中国电信股份有限公司乌鲁木齐分公司。</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八、水费：1.79万元，其中：2022年3月22日支付2528.75元给乌鲁木齐水业集团有限公司、2022年5月10日支付2329元给乌鲁木齐水业集团有限公司、2022年6月14日支付2656.25元给乌鲁木齐水业集团有限公司、2022年7月8日支付4624元给乌鲁木齐水业集团有限公司、2022年8月11日支付3689元给乌鲁木齐水业集团有限公司、2022年12月15日支付2030.75元给乌鲁木齐水业集团有限公司。</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九、培训费：0.7万元，其中：2022年6月29日报销教师继续教育培训费2512元、2022年7月21日报销郝鑫培训费4468元。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十、专用材料费：2.58万元，其中：2022年6月22日支付9567元给沙依巴克区地王国际商城新瑞文体用品商行、支付1123元给乌鲁木齐市智渊兴业教学设备有限公司 、2022年6月30日支付15100元给天山区中山路东鹏旭昇电子产品经销部。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预算拨付34.18万元，共计支出24.01万元，年底收回10.17万元，预算执行率为100%，故预算执行率赋分5分，得5分，得分率100%。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赋分3分，得3分，得分率100%。</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综上，该指标满分13分，得分11.51分，得分率88.54%</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2.组织实施</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管理制度健全性：乌鲁木齐市第三十二中学已制定相应的财务和业务管理制度，且制度合法、合规、完整，为项目顺利实施提供重要保障。故管理制度健全性赋分3分，得3分，得分率100%。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制度执行有效性：根据现场调研和资料抽查情况，乌鲁木齐市第三十二中学严格遵守相关法律法规和相关管理规定，项目调整及支出调整手续完备，整体管理合理有序，项目完成后，及时将会计凭证、固定资产入库单等相关资料分类归档，制度执行有效。故制度执行有效性指标赋分4分，得4分，得分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综上，该指标满分7分，得分7分，得分率100%</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项目产出指标由3个二级指标和10个三级指标构成，权重为40分，实际得分27.14分。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1.产出数量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“维修校舍次数”的目标值是5次，2022年度我单位实际完成1次，原因是疫情原因，隔离在家四个月，2022年校舍维修次数比预期减少，很多维修工程无法开展。该项指标赋分3分，实际得0.6分，得分率20%。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“购置各类教育教学用品”的目标值是6类，2022年度我单位实际完5类，原因是疫情原因，隔离在家四个月，购置教育教学用品数量减少。该项指标赋分3分，实际得2.5分，得分率83%。</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“培训教师数量”的目标值是5人，2022年度我单位2022年度我单位实际完成5人。该项指标赋分2分，实际得2分，得分率100%。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“培训次数”的目标值是4次，2022年度我单位2022年度我单位实际完成2次，原因是疫情原因，隔离在家四个月，培训减少。该项指标赋分2分，实际得1分，得分率50%。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该项指标下设4个三级指标，指标分值10分，评价得分6.1分，得分率61%。</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2.产出质量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“学校校舍日常维修质量合格率”的目标值是100%，2022年度我单位实际完成100%。该项指标赋分5分，实际得5分，得分率100%。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“培训结业率”的目标值是100%，2022年度我单位实际完成100%。该项指标赋分5分，实际得5分，得分率100%。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“购置用品质量合格率”的目标值是&gt;=95%，2022年度我单位实际完成95%。该项指标赋分5分，实际得5分，得分率100%。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该项指标下设3个三级指标，指标分值15分，评价得分15分，得分率100%。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3.产出成本</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“每次维修成本”的目标值是&lt;=20000元/次，2022年度我单位实际完成40000元/次，设置目标时考虑不全面，未将电子围栏维修工程计划在内。该项指标赋分5分，实际得0分，得分率0%。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“购置各类教育教学用品的成本”的目标值是&lt;=20000元/次，2022年度我单位实际完成6709元/次。原因是疫情原因，减少教学用品购置，降低成本。该项指标赋分5分，实际得1.68分，得分率33.6%。</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“每次教师培训成本”的目标值是&lt;=4000元/次，2022年度我单位实际完成3490元/次。疫情原因，减少线下培训次数，改为线上培训，线上培训少，成本低。该项指标赋分5分，实际得4.36分，得分率87.2%。</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综上，该指标满分40分，得分27.14分。</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项目效益指标由1个二级指标和2个三级指标构成，权重为10分，实际得分10分。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1.项目效益</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（1）实施效益</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经济效益指标：项目属于确定不产生该项效益的，因此未设置。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社会效益指标：评价指标“提高学校教学水平、改善办学条件”，指标值：有效提高，实际完成值：基本达到预期效果。本项目的实施基本保障了学校教育教学工作顺利进行，让辖区内人民群众享受优质的教育服务，为社会事业培养合格的接班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生态效益指标：项目属于确定不产生该项效益的，因此未设置。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可持续影响指标：评价指标“保障学校正常运转，完成教育教学活动和其他日常”，指标值：持续保障，实际完成值：基本达到预期效果。创建了优质教育发展可保证教育教育利用的最大化，使教育工作环节进行良性循环。</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综上，该指标满分10分，得分10分。</w:t>
      </w:r>
    </w:p>
    <w:p>
      <w:pPr>
        <w:keepNext w:val="0"/>
        <w:keepLines w:val="0"/>
        <w:pageBreakBefore w:val="0"/>
        <w:widowControl w:val="0"/>
        <w:kinsoku/>
        <w:wordWrap/>
        <w:overflowPunct/>
        <w:topLinePunct w:val="0"/>
        <w:autoSpaceDE/>
        <w:autoSpaceDN/>
        <w:bidi w:val="0"/>
        <w:adjustRightInd/>
        <w:snapToGrid/>
        <w:spacing w:line="540" w:lineRule="exact"/>
        <w:ind w:firstLine="627" w:firstLineChars="200"/>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（1）满意度指标</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群众满意度：评价指标“师生满意度”，指标值：≥95%，实际完成值：95%。通过设置问卷调查的方式进行考评评价，共计调查样本总量40个样本，有效调查问卷40份。其中，统计“师生满意度”的平均值为95%。故满意度指标得分为10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综上，该指标满分10分，得分10分。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70.25%，指标总体完成率为81%，二者之间的偏差值为10.75%，小于20%，原因是：疫情原因居家四个月且国库资金紧张，导致很多业务无法开展，已开展的业务无法支付，故实际完成值未达到预期目标，该项目支出的24.01万元主要用于学校的水费、电费、电话费等日常基本支出，基本保障了教育教学工作的开展，但因不能如期购置教学用品、及时开展校舍维修导致教学水平无法提高并未得到有效保障。此项目经费还用于支付水、电、印刷、物业管理费、租赁费、其他商品服务支出等科目，这些科目没有设置绩效目标。总体而言，该项目未完全达到年度总体目标，财政资金的使用效益和效率还需加强和提高。</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（一）主要经验及做法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该项目用以保障义务教育阶段学校正常运转、教育教学活动和其他日常工作正常开展的相关支出，主要包含有相关教学设备设施的购置，零星日常维修等。采取项目工作领导小组负责制，全体成员积极配合、通力合作。</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项目工作领导小组负责协调相关工作，项目实施及资金管理。建立联动机制，各部门密切配合，分工责任，各司其职，密切跟进项目落实情况，确保了项目有组织、有计划、有步骤地推进。进一步提升了校园硬件设施力度，补齐了学校环境硬件短板，大大提高了学生学习的积极性，提高了老师的教学水平，优化了课堂互动环境，形成了师生有效互动，为学生打造了良好教学环境，提升了师生的幸福感。</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（二）存在的问题及原因分析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eastAsia="仿宋_GB2312"/>
          <w:spacing w:val="-4"/>
          <w:sz w:val="32"/>
          <w:szCs w:val="32"/>
        </w:rPr>
      </w:pPr>
      <w:r>
        <w:rPr>
          <w:rStyle w:val="18"/>
          <w:rFonts w:hint="eastAsia" w:ascii="楷体" w:hAnsi="楷体" w:eastAsia="楷体"/>
          <w:b w:val="0"/>
          <w:bCs w:val="0"/>
          <w:spacing w:val="-4"/>
          <w:sz w:val="32"/>
          <w:szCs w:val="32"/>
        </w:rPr>
        <w:t>该项目有结余，疫情原因，财力紧张，经费支付比较困难。预算要更加切合单位实际需要，追加预算要细化，加大对项目绩效支出的绩效考核。项目执行方面，加大对各业务口相关负责人的政策制度培训，在财力允许的情况下，按要求准备好相关材料，保障项目顺利执行，不拖后腿，影响进度。</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1.项目支出政策和路径设计科学，符合实际需要；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2.项目安排准确，未发现背离项目立项初衷的情况；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3.项目的申报、审核机制完善；</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2C82E6"/>
    <w:multiLevelType w:val="singleLevel"/>
    <w:tmpl w:val="E72C82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26EED"/>
    <w:rsid w:val="2A891760"/>
    <w:rsid w:val="3029612C"/>
    <w:rsid w:val="32A221C5"/>
    <w:rsid w:val="33F20F2A"/>
    <w:rsid w:val="34C44675"/>
    <w:rsid w:val="38383D26"/>
    <w:rsid w:val="3B5B5607"/>
    <w:rsid w:val="3CE21B3C"/>
    <w:rsid w:val="4D2606A1"/>
    <w:rsid w:val="51830480"/>
    <w:rsid w:val="521F76E1"/>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9216</Words>
  <Characters>10077</Characters>
  <Lines>4</Lines>
  <Paragraphs>1</Paragraphs>
  <TotalTime>3</TotalTime>
  <ScaleCrop>false</ScaleCrop>
  <LinksUpToDate>false</LinksUpToDate>
  <CharactersWithSpaces>10103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2023-09-05T08:33:16Z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FC765D774F404D6CACE558F4E5B8E425</vt:lpwstr>
  </property>
</Properties>
</file>