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附件2：</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480" w:lineRule="auto"/>
        <w:ind w:firstLine="1041" w:firstLineChars="20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480" w:lineRule="auto"/>
        <w:ind w:firstLine="964" w:firstLineChars="200"/>
        <w:jc w:val="center"/>
        <w:textAlignment w:val="auto"/>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keepNext w:val="0"/>
        <w:keepLines w:val="0"/>
        <w:pageBreakBefore w:val="0"/>
        <w:widowControl w:val="0"/>
        <w:kinsoku/>
        <w:wordWrap/>
        <w:overflowPunct/>
        <w:topLinePunct w:val="0"/>
        <w:autoSpaceDE/>
        <w:autoSpaceDN/>
        <w:bidi w:val="0"/>
        <w:adjustRightInd/>
        <w:snapToGrid/>
        <w:spacing w:line="480" w:lineRule="auto"/>
        <w:ind w:firstLine="1041" w:firstLineChars="20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480" w:lineRule="auto"/>
        <w:ind w:firstLine="720" w:firstLineChars="200"/>
        <w:jc w:val="center"/>
        <w:textAlignment w:val="auto"/>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firstLine="720" w:firstLineChars="200"/>
        <w:jc w:val="left"/>
        <w:textAlignment w:val="auto"/>
        <w:rPr>
          <w:rFonts w:hAnsi="宋体" w:eastAsia="仿宋_GB2312" w:cs="宋体"/>
          <w:kern w:val="0"/>
          <w:sz w:val="36"/>
          <w:szCs w:val="36"/>
        </w:rPr>
      </w:pPr>
      <w:r>
        <w:rPr>
          <w:rFonts w:hint="eastAsia" w:hAnsi="宋体" w:eastAsia="仿宋_GB2312" w:cs="宋体"/>
          <w:kern w:val="0"/>
          <w:sz w:val="36"/>
          <w:szCs w:val="36"/>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720" w:firstLineChars="200"/>
        <w:jc w:val="left"/>
        <w:textAlignment w:val="auto"/>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乌财科教[2021]96号关于提前下达2022年城乡义务教育项目直达资金的通知（公用经费）初中</w:t>
      </w:r>
    </w:p>
    <w:p>
      <w:pPr>
        <w:keepNext w:val="0"/>
        <w:keepLines w:val="0"/>
        <w:pageBreakBefore w:val="0"/>
        <w:widowControl w:val="0"/>
        <w:kinsoku/>
        <w:wordWrap/>
        <w:overflowPunct/>
        <w:topLinePunct w:val="0"/>
        <w:autoSpaceDE/>
        <w:autoSpaceDN/>
        <w:bidi w:val="0"/>
        <w:adjustRightInd/>
        <w:snapToGrid/>
        <w:spacing w:line="480" w:lineRule="auto"/>
        <w:ind w:left="0" w:leftChars="0" w:firstLine="720" w:firstLineChars="200"/>
        <w:jc w:val="left"/>
        <w:textAlignment w:val="auto"/>
        <w:rPr>
          <w:rFonts w:ascii="楷体" w:hAnsi="楷体" w:eastAsia="楷体"/>
          <w:b/>
          <w:bCs/>
          <w:spacing w:val="-4"/>
          <w:sz w:val="32"/>
          <w:szCs w:val="32"/>
        </w:rPr>
      </w:pPr>
      <w:r>
        <w:rPr>
          <w:rFonts w:hint="eastAsia" w:hAnsi="宋体" w:eastAsia="仿宋_GB2312" w:cs="宋体"/>
          <w:kern w:val="0"/>
          <w:sz w:val="36"/>
          <w:szCs w:val="36"/>
        </w:rPr>
        <w:t>实施单位（公章）：</w:t>
      </w:r>
      <w:r>
        <w:rPr>
          <w:rStyle w:val="18"/>
          <w:rFonts w:hint="eastAsia" w:ascii="楷体" w:hAnsi="楷体" w:eastAsia="楷体"/>
          <w:spacing w:val="-4"/>
          <w:sz w:val="28"/>
          <w:szCs w:val="28"/>
        </w:rPr>
        <w:t>乌鲁木齐市第六十中学</w:t>
      </w:r>
    </w:p>
    <w:p>
      <w:pPr>
        <w:keepNext w:val="0"/>
        <w:keepLines w:val="0"/>
        <w:pageBreakBefore w:val="0"/>
        <w:widowControl w:val="0"/>
        <w:kinsoku/>
        <w:wordWrap/>
        <w:overflowPunct/>
        <w:topLinePunct w:val="0"/>
        <w:autoSpaceDE/>
        <w:autoSpaceDN/>
        <w:bidi w:val="0"/>
        <w:adjustRightInd/>
        <w:snapToGrid/>
        <w:spacing w:line="480" w:lineRule="auto"/>
        <w:ind w:left="0" w:leftChars="0" w:firstLine="720" w:firstLineChars="200"/>
        <w:jc w:val="left"/>
        <w:textAlignment w:val="auto"/>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乌鲁木齐市第六十中学</w:t>
      </w:r>
    </w:p>
    <w:p>
      <w:pPr>
        <w:keepNext w:val="0"/>
        <w:keepLines w:val="0"/>
        <w:pageBreakBefore w:val="0"/>
        <w:widowControl w:val="0"/>
        <w:kinsoku/>
        <w:wordWrap/>
        <w:overflowPunct/>
        <w:topLinePunct w:val="0"/>
        <w:autoSpaceDE/>
        <w:autoSpaceDN/>
        <w:bidi w:val="0"/>
        <w:adjustRightInd/>
        <w:snapToGrid/>
        <w:spacing w:line="480" w:lineRule="auto"/>
        <w:ind w:left="0" w:leftChars="0" w:firstLine="720" w:firstLineChars="200"/>
        <w:jc w:val="left"/>
        <w:textAlignment w:val="auto"/>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游承坤</w:t>
      </w:r>
    </w:p>
    <w:p>
      <w:pPr>
        <w:keepNext w:val="0"/>
        <w:keepLines w:val="0"/>
        <w:pageBreakBefore w:val="0"/>
        <w:widowControl w:val="0"/>
        <w:kinsoku/>
        <w:wordWrap/>
        <w:overflowPunct/>
        <w:topLinePunct w:val="0"/>
        <w:autoSpaceDE/>
        <w:autoSpaceDN/>
        <w:bidi w:val="0"/>
        <w:adjustRightInd/>
        <w:snapToGrid/>
        <w:spacing w:line="480" w:lineRule="auto"/>
        <w:ind w:left="273" w:leftChars="0" w:firstLine="720" w:firstLineChars="200"/>
        <w:jc w:val="left"/>
        <w:textAlignment w:val="auto"/>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2023年03月21日</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00" w:firstLineChars="200"/>
        <w:jc w:val="left"/>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关于提前下达2022年城乡义务教育项目直达资金》的通知（公用经费）（乌财科教[2021]96号）文件，该项目系2022年中央资金，共安排预算58.50万元，于2022年年中追加，资金到位42.63万元，全年资金支付42.63万元，年底对未支付的资金进行调减15.87万。</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w:t>
      </w:r>
      <w:r>
        <w:rPr>
          <w:rStyle w:val="18"/>
          <w:rFonts w:hint="eastAsia" w:ascii="楷体" w:hAnsi="楷体" w:eastAsia="楷体"/>
          <w:b w:val="0"/>
          <w:bCs w:val="0"/>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480" w:lineRule="auto"/>
        <w:ind w:left="319" w:leftChars="152"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Next w:val="0"/>
        <w:keepLines w:val="0"/>
        <w:pageBreakBefore w:val="0"/>
        <w:widowControl w:val="0"/>
        <w:kinsoku/>
        <w:wordWrap/>
        <w:overflowPunct/>
        <w:topLinePunct w:val="0"/>
        <w:autoSpaceDE/>
        <w:autoSpaceDN/>
        <w:bidi w:val="0"/>
        <w:adjustRightInd/>
        <w:snapToGrid/>
        <w:spacing w:line="480" w:lineRule="auto"/>
        <w:ind w:left="319" w:leftChars="152"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是当年项目，根据《关于提前下达2022年城乡义务教育项目直达资金》的通知（公用经费）（乌财科教[2021]96号），计划服务我校初中677名学生，拟用于购买办公用品种类6类，零星维修校舍6次，购置用品质量合格率95%，校舍日常维修合格率100%,保障受益人数，有效提高学校教育教学水平，改善学校办学条件，保障学校的正常运转，完成教育教学活动和其他日常工作等。</w:t>
      </w:r>
    </w:p>
    <w:p>
      <w:pPr>
        <w:keepNext w:val="0"/>
        <w:keepLines w:val="0"/>
        <w:pageBreakBefore w:val="0"/>
        <w:widowControl w:val="0"/>
        <w:kinsoku/>
        <w:wordWrap/>
        <w:overflowPunct/>
        <w:topLinePunct w:val="0"/>
        <w:autoSpaceDE/>
        <w:autoSpaceDN/>
        <w:bidi w:val="0"/>
        <w:adjustRightInd/>
        <w:snapToGrid/>
        <w:spacing w:line="480" w:lineRule="auto"/>
        <w:ind w:left="319" w:leftChars="152"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具体开支范围涉及办公费、水电费、学校教学业务与管理、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2.评价对象和范围</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（1）绩效评价的对象：《关于提前下达2022年城乡义务教育项目直达资金》的通知（公用经费）（乌财科教[2021]96号）</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1.项目范围：《关于提前下达2022年城乡义务教育项目直达资金》的通知（公用经费）（乌财科教[2021]96号）的完成情况、资金投入的运行情况、项目实施后产生的绩效及影响效果。</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（二）绩效评价原则、指标体系、方法及标准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（3）分级分类原则：根据评价对象特点分类组织实施。</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（1）在数据收集时，采取客观数据，并结合问卷调查结果，以保证各项指标的真实性。</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（2）保证评价结果的真实性、公正性，提高评价报告的公信力。</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2.评价指标体系</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本项目的评价指标体系建立如附件所示。</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3.评价方法</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（3）公众评判法。是指通过专家评估、公众问卷及抽样调查等方式进行评判的方法。</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关于提前下达2022年城乡义务教育项目直达资金》的通知（公用经费）（乌财科教[2021]96号）的特点，本次评价主要采用成本效益分析法、比较法和公众评判法，对项目总预算和明细预算的内容、标准、计划是否经济合理进行深入分析，以考察实际产出和效益是否达到预期。</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4.评价标准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《中共中央国务院关于全面实施预算绩效管理的意见》（中发〔2018〕34号）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 xml:space="preserve">《项目支出绩效评价管理办法》（财预〔2020〕10号） </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480" w:lineRule="auto"/>
        <w:ind w:firstLine="312" w:firstLine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关于提前下达2022年城乡义务教育项目直达资金》的通知（公用经费）（乌财科教[2021]96号）进行客观评价，最终评分结果为：总分为87.47分，绩效评级为“良”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项目各部分权重和绩效分值如附表所示：</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（二）主要绩效</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黑体" w:hAnsi="黑体" w:eastAsia="黑体"/>
        </w:rPr>
      </w:pPr>
      <w:r>
        <w:rPr>
          <w:rStyle w:val="18"/>
          <w:rFonts w:hint="eastAsia" w:ascii="楷体" w:hAnsi="楷体" w:eastAsia="楷体"/>
          <w:b w:val="0"/>
          <w:bCs w:val="0"/>
          <w:spacing w:val="-4"/>
          <w:sz w:val="32"/>
          <w:szCs w:val="32"/>
        </w:rPr>
        <w:t>该项目资金区财政及时拨付，单位在此次评价期间内，有序完成设定目标的部分工作任务，服务人数达到义务段学生2211人，资金使用完全合规合法，资金有结余，该项目用于办公费、水电费、邮电费、物业管理费、租赁费、专用材料费、劳务费、其他商品和服务支出等相关开支。购置办公用品合格率很高。合理合规的完成当年资金的支出，有效保障了学校正常运转，完成了教育教学活动和其他日常工作任务等。实现了该项目的社会效益，提高了学校教学水平、改善了办学条件。</w:t>
      </w:r>
      <w:r>
        <w:rPr>
          <w:rStyle w:val="18"/>
          <w:rFonts w:hint="eastAsia" w:ascii="楷体" w:hAnsi="楷体" w:eastAsia="楷体"/>
          <w:b w:val="0"/>
          <w:bCs w:val="0"/>
          <w:spacing w:val="-4"/>
          <w:sz w:val="32"/>
          <w:szCs w:val="32"/>
        </w:rPr>
        <w:cr/>
      </w: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项目决策指标由3个二级指标和6个三级指标构成，权重为20分，实际得分16分。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1.项目立项</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缺少市级相关文件，扣1分，赋分4分，实际得3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立项程序规范性: 项目由财政依据相关政策文件直接下拨，无需申请立项，赋分4分，实际得1分。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综上，该指标满分8分，得分4分。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2.绩效目标</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3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综上，该指标满分6分，得分6分。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3.资金投入</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普通中学每生每年850元，取暖费生均180元，公用经费总额按照：中央80%，自治区6%，市级14%的比例共同承担。故预算编制科学性指标赋分3分，实际得3分。</w:t>
      </w:r>
    </w:p>
    <w:p>
      <w:pPr>
        <w:keepNext w:val="0"/>
        <w:keepLines w:val="0"/>
        <w:pageBreakBefore w:val="0"/>
        <w:widowControl w:val="0"/>
        <w:tabs>
          <w:tab w:val="center" w:pos="4295"/>
        </w:tabs>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 依据《关于提前下达2022年城乡义务教育项目直达资金》的通知（公用经费）（乌财科教[2021]96号）文件精神，项目资金用于弥补我校公用经费不足，教师培训、校舍零星维修、购置各类教育教学用品等，评价期间内有效保障学校工作正常运转，故资金分配合理性指标赋分3分，实际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1.资金管理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到位率：该项目资金经（乌财科教[2021]96号）文件批复，项目预算安排数58.50万元，评价期间根据项目实际执行，到位42.63万元，剩余15.87万元于年底收回。因此，资金到位率为72.87%该指标赋分5，扣减指标分值的27.13%，实际得分3.64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执行率：该项目评价期间内，实际支付办公费7.15万元、印刷费0.19万元、邮电费1.87万元、物业管理费6.04万元、维修维护费11.64万元、租赁费1.88万元、专用材料费8.33万元、劳务费0.10万元、购置办公设备5.44万元，共计支出42.63万元，预算拨付到位42.63万元，预算执行率为100%，故预算执行率赋分5分，实际得5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综上，该指标满分13分，得分11.64分。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2.组织实施</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管理制度健全性：乌鲁木齐市第六十中学已制定相应的财务和业务管理制度，且制度合法、合规、完整，为项目顺利实施提供重要保障。故管理制度健全性赋分3分，实际得3分。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制度执行有效性：根据现场调研和资料抽查情况，乌鲁木齐市第六十中学严格遵守相关法律法规和相关管理规定，项目调整及支出调整手续完备，整体管理合理有序，项目完成后，及时将会计凭证、资产出入库单、会议记录等相关资料分类归档，制度执行有效。故制度执行有效性指标赋分4分，实际得4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项目产出指标由3个二级指标和6个三级指标构成，权重为40分，实际得分32.83分。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1.产出数量</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“购买办公用品种类”的目标值是&gt;=6类，2022年度我单位实际完成6类。购买无纸化考试用品、保密柜等，该项指标赋分7分，实际得7分，得分率100%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“学校设备维修次数”的目标值是&gt;=6次，2022年度我单位实际完成6次，主要是校园监控维修、校园大门维修费等部分零星支出。该项指标赋分7分，实际得7分。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该项指标下设2个三级指标，指标分值14分，评价得分14分，得分率100%。</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2.产出质量</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“购置物品质量合格率”的目标值是100%，2022年度我单位对采购物品进行验收，验收合格后开据入库单据，实际完成100%。该项指标赋分6分，实际得6分。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“学校设备维修合格率”的目标值是100%，2022年度我单位对维修的设备进行验收，实际完成100%。该项指标赋分6分，实际得6分。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该项指标下设2个三级指标，指标分值12分，评价得分12分，得分率100%。</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w:t>
      </w:r>
      <w:r>
        <w:rPr>
          <w:rStyle w:val="18"/>
          <w:rFonts w:hint="eastAsia" w:ascii="楷体" w:hAnsi="楷体" w:eastAsia="楷体"/>
          <w:b w:val="0"/>
          <w:bCs w:val="0"/>
          <w:spacing w:val="-4"/>
          <w:sz w:val="32"/>
          <w:szCs w:val="32"/>
        </w:rPr>
        <w:tab/>
      </w:r>
      <w:r>
        <w:rPr>
          <w:rStyle w:val="18"/>
          <w:rFonts w:hint="eastAsia" w:ascii="楷体" w:hAnsi="楷体" w:eastAsia="楷体"/>
          <w:b w:val="0"/>
          <w:bCs w:val="0"/>
          <w:spacing w:val="-4"/>
          <w:sz w:val="32"/>
          <w:szCs w:val="32"/>
        </w:rPr>
        <w:t>产出成本</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“设备预计平均维修成本”的目标值是&lt;=3万元/次，2022年度我单位实际完成0.8万元/次，2022年我单位维修费小型设备，维修成本较低。该项指标赋分7分，实际得1.87分。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“购买物品成本”的目标值是&lt;=40万元，2022年度我单位总计购买办公用品28.33万元，因下半年全校居家上网课，未在校办公，办公用品使用量减少。该项指标赋分7分，实际得4.96分。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该项指标下设2个三级指标，指标分值14分，评价得分6.83分，得分率48.78%。</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综上，该指标满分40分，得分32.83分。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项目效益指标由1个二级指标和3个三级指标构成，权重为10分，实际得分10分。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1.项目效益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实施效益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经济效益指标：项目属于确定不产生该项效益的，因此未设置。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社会效益指标：评价指标“提高学校教学水平、改善办学条件”，指标值：有效提高，实际完成值：达成年度指标。本项目的实施有效提高学校教育教学水平，让学生接受更加优质的教育教学。 该项指标赋分3分，得3分。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“受益学生人数”的目标值是≥667人，2022年度我单位学生总计2211人。该项指标赋分3分，实际得3分。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生态效益指标：项目属于确定不产生该项效益的，因此未设置。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bookmarkStart w:id="0" w:name="_GoBack"/>
      <w:bookmarkEnd w:id="0"/>
      <w:r>
        <w:rPr>
          <w:rStyle w:val="18"/>
          <w:rFonts w:hint="eastAsia" w:ascii="楷体" w:hAnsi="楷体" w:eastAsia="楷体"/>
          <w:b w:val="0"/>
          <w:bCs w:val="0"/>
          <w:spacing w:val="-4"/>
          <w:sz w:val="32"/>
          <w:szCs w:val="32"/>
        </w:rPr>
        <w:t>可持续影响指标：评价指标“保障学校正常运转，完成教育教学活动和其他日常”，指标值：有效提高，实际完成值：达成年度指标。本项目的实施保障了学校各项教学工作顺利进行，让辖区内人民群众享受优质的教育服务，为社会事业培养合格的接班人。 该项指标赋分4分，得4分。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项目效益指标由1个二级指标和2个三级指标构成，权重为10分，实际得分10分。 </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（1）满意度指标</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群众满意度：评价指标“教师满意度”，指标值：≥95%，实际完成值：95%。通过设置问卷调查的方式进行考评评价，共计调查样本总量为20个样本，有效调查问卷20份。其中，统计“师生满意度”的平均值为95%。故满意度指标标赋分5分，得5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评价指标“学生满意度”，指标值：≥95%，实际完成值：95%。通过设置问卷调查的方式进行考评评价，共计调查样本总量为20个样本，有效调查问卷20份。其中，统计“师生满意度”的平均值为95%。故满意度指标标赋分5分，得5分。</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89.56%，二者之间的偏差值为10.44%，小于20%，原因为疫情原因，隔离在家，无法对校园进行大型维修，所以产出指标失分较多，该项目是财政依据文件直接下拨，缺少相关立项申请等手续，故立项依据充分性、立项程序规范性失分多，所以总体完成率偏低。财力紧张，资金未完全支付，未能及时支付的剩余经费财政收回，所以执行率100%偏高。总体而言，该项目未完全达到年度总体目标，财政资金的使用效益和效率还需加强和提高。</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p>
    <w:p>
      <w:pPr>
        <w:keepNext w:val="0"/>
        <w:keepLines w:val="0"/>
        <w:pageBreakBefore w:val="0"/>
        <w:widowControl w:val="0"/>
        <w:kinsoku/>
        <w:wordWrap/>
        <w:overflowPunct/>
        <w:topLinePunct w:val="0"/>
        <w:autoSpaceDE/>
        <w:autoSpaceDN/>
        <w:bidi w:val="0"/>
        <w:adjustRightInd/>
        <w:snapToGrid/>
        <w:spacing w:line="480" w:lineRule="auto"/>
        <w:ind w:left="312" w:hanging="312" w:hanging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keepNext w:val="0"/>
        <w:keepLines w:val="0"/>
        <w:pageBreakBefore w:val="0"/>
        <w:widowControl w:val="0"/>
        <w:kinsoku/>
        <w:wordWrap/>
        <w:overflowPunct/>
        <w:topLinePunct w:val="0"/>
        <w:autoSpaceDE/>
        <w:autoSpaceDN/>
        <w:bidi w:val="0"/>
        <w:adjustRightInd/>
        <w:snapToGrid/>
        <w:spacing w:line="480" w:lineRule="auto"/>
        <w:ind w:left="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480" w:lineRule="auto"/>
        <w:ind w:left="638" w:leftChars="304" w:firstLine="0" w:firstLineChars="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1.项目支出政策和路径设计科学，符合实际需要；</w:t>
      </w:r>
    </w:p>
    <w:p>
      <w:pPr>
        <w:keepNext w:val="0"/>
        <w:keepLines w:val="0"/>
        <w:pageBreakBefore w:val="0"/>
        <w:widowControl w:val="0"/>
        <w:kinsoku/>
        <w:wordWrap/>
        <w:overflowPunct/>
        <w:topLinePunct w:val="0"/>
        <w:autoSpaceDE/>
        <w:autoSpaceDN/>
        <w:bidi w:val="0"/>
        <w:adjustRightInd/>
        <w:snapToGrid/>
        <w:spacing w:line="480" w:lineRule="auto"/>
        <w:ind w:left="638" w:leftChars="304" w:firstLine="0" w:firstLineChars="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2.项目安排准确，未发现背离项目立项初衷的情况；</w:t>
      </w:r>
    </w:p>
    <w:p>
      <w:pPr>
        <w:keepNext w:val="0"/>
        <w:keepLines w:val="0"/>
        <w:pageBreakBefore w:val="0"/>
        <w:widowControl w:val="0"/>
        <w:kinsoku/>
        <w:wordWrap/>
        <w:overflowPunct/>
        <w:topLinePunct w:val="0"/>
        <w:autoSpaceDE/>
        <w:autoSpaceDN/>
        <w:bidi w:val="0"/>
        <w:adjustRightInd/>
        <w:snapToGrid/>
        <w:spacing w:line="480" w:lineRule="auto"/>
        <w:ind w:left="638" w:leftChars="304" w:firstLine="0" w:firstLineChars="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3.项目的申报、审核机制完善；</w:t>
      </w:r>
    </w:p>
    <w:p>
      <w:pPr>
        <w:keepNext w:val="0"/>
        <w:keepLines w:val="0"/>
        <w:pageBreakBefore w:val="0"/>
        <w:widowControl w:val="0"/>
        <w:kinsoku/>
        <w:wordWrap/>
        <w:overflowPunct/>
        <w:topLinePunct w:val="0"/>
        <w:autoSpaceDE/>
        <w:autoSpaceDN/>
        <w:bidi w:val="0"/>
        <w:adjustRightInd/>
        <w:snapToGrid/>
        <w:spacing w:line="480" w:lineRule="auto"/>
        <w:ind w:left="638" w:leftChars="304" w:firstLine="0" w:firstLineChars="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24" w:firstLineChars="200"/>
        <w:textAlignment w:val="auto"/>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431E"/>
    <w:multiLevelType w:val="singleLevel"/>
    <w:tmpl w:val="AD3343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1B01D7F"/>
    <w:rsid w:val="32A221C5"/>
    <w:rsid w:val="33F20F2A"/>
    <w:rsid w:val="34C44675"/>
    <w:rsid w:val="3B5B5607"/>
    <w:rsid w:val="3CE21B3C"/>
    <w:rsid w:val="4D2606A1"/>
    <w:rsid w:val="51830480"/>
    <w:rsid w:val="53A616BE"/>
    <w:rsid w:val="54662BFB"/>
    <w:rsid w:val="55D24364"/>
    <w:rsid w:val="59966B6B"/>
    <w:rsid w:val="5BD23465"/>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7727</Words>
  <Characters>8182</Characters>
  <Lines>4</Lines>
  <Paragraphs>1</Paragraphs>
  <TotalTime>12</TotalTime>
  <ScaleCrop>false</ScaleCrop>
  <LinksUpToDate>false</LinksUpToDate>
  <CharactersWithSpaces>8382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2023-09-06T03:30:37Z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852312A1B48342F1B5650665D130EE2D</vt:lpwstr>
  </property>
</Properties>
</file>