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jc w:val="center"/>
        <w:rPr>
          <w:rFonts w:hint="default" w:eastAsia="Times New Roman"/>
          <w:kern w:val="36"/>
          <w:sz w:val="40"/>
          <w:szCs w:val="24"/>
          <w:lang w:val="zh-CN"/>
        </w:rPr>
      </w:pPr>
      <w:r>
        <w:rPr>
          <w:rFonts w:hint="eastAsia" w:ascii="方正小标宋_GBK" w:hAnsi="方正小标宋_GBK" w:eastAsia="方正小标宋_GBK"/>
          <w:sz w:val="44"/>
          <w:szCs w:val="24"/>
          <w:lang w:val="en-US"/>
        </w:rPr>
        <w:t>乌鲁木齐市水磨沟区教育研究室202</w:t>
      </w:r>
      <w:r>
        <w:rPr>
          <w:rFonts w:hint="eastAsia" w:ascii="方正小标宋_GBK" w:hAnsi="方正小标宋_GBK" w:eastAsia="方正小标宋_GBK"/>
          <w:sz w:val="44"/>
          <w:szCs w:val="24"/>
          <w:lang w:val="en-US" w:eastAsia="zh-CN"/>
        </w:rPr>
        <w:t>2</w:t>
      </w:r>
      <w:r>
        <w:rPr>
          <w:rFonts w:hint="eastAsia" w:ascii="方正小标宋_GBK" w:hAnsi="方正小标宋_GBK" w:eastAsia="方正小标宋_GBK"/>
          <w:sz w:val="44"/>
          <w:szCs w:val="24"/>
          <w:lang w:val="en-US"/>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567"/>
      <w:bookmarkStart w:id="3" w:name="_Toc30738"/>
      <w:r>
        <w:rPr>
          <w:rFonts w:hint="eastAsia" w:ascii="黑体" w:hAnsi="黑体" w:eastAsia="黑体" w:cs="宋体"/>
          <w:bCs/>
          <w:kern w:val="0"/>
          <w:sz w:val="32"/>
          <w:szCs w:val="32"/>
          <w:highlight w:val="none"/>
        </w:rPr>
        <w:t>一、主要职能</w:t>
      </w:r>
      <w:bookmarkEnd w:id="2"/>
      <w:bookmarkEnd w:id="3"/>
    </w:p>
    <w:p>
      <w:pPr>
        <w:shd w:val="clear" w:color="auto" w:fill="FFFFFF"/>
        <w:spacing w:line="360" w:lineRule="auto"/>
        <w:ind w:firstLine="640"/>
        <w:rPr>
          <w:rFonts w:hint="eastAsia" w:ascii="仿宋_GB2312" w:hAnsi="仿宋_GB2312" w:eastAsia="仿宋_GB2312"/>
          <w:kern w:val="0"/>
          <w:sz w:val="32"/>
          <w:szCs w:val="24"/>
          <w:lang w:val="en-US"/>
        </w:rPr>
      </w:pPr>
      <w:bookmarkStart w:id="4" w:name="_Toc31238"/>
      <w:bookmarkStart w:id="5" w:name="_Toc2151"/>
      <w:r>
        <w:rPr>
          <w:rFonts w:hint="eastAsia" w:ascii="仿宋_GB2312" w:hAnsi="仿宋_GB2312" w:eastAsia="仿宋_GB2312"/>
          <w:kern w:val="0"/>
          <w:sz w:val="32"/>
          <w:szCs w:val="24"/>
          <w:lang w:val="en-US"/>
        </w:rPr>
        <w:t>乌鲁木齐市水磨沟区教育研究室为隶属于区教育局管理的公益一类事业单位。</w:t>
      </w:r>
    </w:p>
    <w:p>
      <w:pPr>
        <w:shd w:val="clear" w:color="auto" w:fill="FFFFFF"/>
        <w:spacing w:line="360" w:lineRule="auto"/>
        <w:ind w:firstLine="640"/>
        <w:rPr>
          <w:rFonts w:hint="default" w:ascii="仿宋_GB2312" w:hAnsi="仿宋_GB2312" w:eastAsia="仿宋_GB2312"/>
          <w:kern w:val="0"/>
          <w:sz w:val="32"/>
          <w:szCs w:val="24"/>
          <w:lang w:val="en-US" w:eastAsia="zh-CN"/>
        </w:rPr>
      </w:pPr>
      <w:r>
        <w:rPr>
          <w:rFonts w:hint="eastAsia" w:ascii="仿宋_GB2312" w:hAnsi="仿宋_GB2312" w:eastAsia="仿宋_GB2312"/>
          <w:kern w:val="0"/>
          <w:sz w:val="32"/>
          <w:szCs w:val="24"/>
          <w:lang w:val="en-US" w:eastAsia="zh-CN"/>
        </w:rPr>
        <w:t>坚持以习近平新时代中国特色社会主义思想为指导，深入学习贯彻落实习近平总书记关于教育的重要论述，完整准确贯彻党的教育方针。为区域教育的内涵发展提供业务支撑和智力支持。</w:t>
      </w:r>
    </w:p>
    <w:p>
      <w:pPr>
        <w:shd w:val="clear" w:color="auto" w:fill="FFFFFF"/>
        <w:spacing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rPr>
        <w:t xml:space="preserve">主要职责 (一)贯彻党和国家教育方针,依据《中华人民共和国教育法》、《中华人民共和国义务教育法》开展教育思想、教学理论、课程设置、教学内容、教学方法的研究和学科教学评价等工作。 </w:t>
      </w:r>
    </w:p>
    <w:p>
      <w:pPr>
        <w:shd w:val="clear" w:color="auto" w:fill="FFFFFF"/>
        <w:spacing w:line="360" w:lineRule="auto"/>
        <w:ind w:firstLine="640"/>
        <w:rPr>
          <w:rFonts w:hint="eastAsia" w:ascii="仿宋_GB2312" w:hAnsi="仿宋_GB2312" w:eastAsia="仿宋_GB2312"/>
          <w:kern w:val="0"/>
          <w:sz w:val="32"/>
          <w:szCs w:val="24"/>
          <w:lang w:val="en-US"/>
        </w:rPr>
      </w:pPr>
      <w:r>
        <w:rPr>
          <w:rFonts w:hint="eastAsia" w:ascii="仿宋_GB2312" w:hAnsi="仿宋_GB2312" w:eastAsia="仿宋_GB2312"/>
          <w:kern w:val="0"/>
          <w:sz w:val="32"/>
          <w:szCs w:val="24"/>
          <w:lang w:val="en-US" w:eastAsia="zh-CN"/>
        </w:rPr>
        <w:t>（二）</w:t>
      </w:r>
      <w:r>
        <w:rPr>
          <w:rFonts w:hint="eastAsia" w:ascii="仿宋_GB2312" w:hAnsi="仿宋_GB2312" w:eastAsia="仿宋_GB2312"/>
          <w:kern w:val="0"/>
          <w:sz w:val="32"/>
          <w:szCs w:val="24"/>
          <w:lang w:val="en-US"/>
        </w:rPr>
        <w:t xml:space="preserve">探索教学研究和学科教学业务管理的规律,总结推广教学、教改经验,提出执行课程计划、教学大纲和使用教材的意见,为教育行政部门决策提供依据。 </w:t>
      </w:r>
    </w:p>
    <w:p>
      <w:pPr>
        <w:shd w:val="clear" w:color="auto" w:fill="FFFFFF"/>
        <w:spacing w:line="360" w:lineRule="auto"/>
        <w:ind w:firstLine="640"/>
        <w:rPr>
          <w:rFonts w:hint="eastAsia" w:ascii="仿宋_GB2312" w:eastAsia="仿宋_GB2312" w:cs="仿宋_GB2312"/>
          <w:kern w:val="0"/>
          <w:sz w:val="32"/>
          <w:szCs w:val="32"/>
          <w:highlight w:val="yellow"/>
        </w:rPr>
      </w:pPr>
      <w:r>
        <w:rPr>
          <w:rFonts w:hint="eastAsia" w:ascii="仿宋_GB2312" w:hAnsi="仿宋_GB2312" w:eastAsia="仿宋_GB2312"/>
          <w:kern w:val="0"/>
          <w:sz w:val="32"/>
          <w:szCs w:val="24"/>
          <w:lang w:val="en-US"/>
        </w:rPr>
        <w:t>(三)指导、协调各学校(幼儿园)的教学工作。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shd w:val="clear" w:color="auto" w:fill="FFFFFF"/>
        <w:spacing w:line="360" w:lineRule="auto"/>
        <w:ind w:firstLine="640"/>
        <w:rPr>
          <w:rFonts w:hint="default" w:eastAsia="Times New Roman"/>
          <w:kern w:val="0"/>
          <w:sz w:val="32"/>
          <w:szCs w:val="24"/>
          <w:lang w:val="en-US"/>
        </w:rPr>
      </w:pPr>
      <w:r>
        <w:rPr>
          <w:rFonts w:hint="eastAsia" w:ascii="仿宋_GB2312" w:hAnsi="仿宋_GB2312" w:eastAsia="仿宋_GB2312"/>
          <w:kern w:val="0"/>
          <w:sz w:val="32"/>
          <w:szCs w:val="24"/>
          <w:lang w:val="en-US"/>
        </w:rPr>
        <w:t>乌鲁木齐市水磨沟区教育研究室202</w:t>
      </w:r>
      <w:r>
        <w:rPr>
          <w:rFonts w:hint="eastAsia" w:ascii="仿宋_GB2312" w:hAnsi="仿宋_GB2312" w:eastAsia="仿宋_GB2312"/>
          <w:kern w:val="0"/>
          <w:sz w:val="32"/>
          <w:szCs w:val="24"/>
          <w:lang w:val="en-US" w:eastAsia="zh-CN"/>
        </w:rPr>
        <w:t>2</w:t>
      </w:r>
      <w:r>
        <w:rPr>
          <w:rFonts w:hint="eastAsia" w:ascii="仿宋_GB2312" w:hAnsi="仿宋_GB2312" w:eastAsia="仿宋_GB2312"/>
          <w:kern w:val="0"/>
          <w:sz w:val="32"/>
          <w:szCs w:val="24"/>
          <w:lang w:val="en-US"/>
        </w:rPr>
        <w:t>年度，实有人数4</w:t>
      </w:r>
      <w:r>
        <w:rPr>
          <w:rFonts w:hint="eastAsia" w:ascii="仿宋_GB2312" w:hAnsi="仿宋_GB2312" w:eastAsia="仿宋_GB2312"/>
          <w:kern w:val="0"/>
          <w:sz w:val="32"/>
          <w:szCs w:val="24"/>
          <w:lang w:val="en-US" w:eastAsia="zh-CN"/>
        </w:rPr>
        <w:t>4</w:t>
      </w:r>
      <w:r>
        <w:rPr>
          <w:rFonts w:hint="eastAsia" w:ascii="仿宋_GB2312" w:hAnsi="仿宋_GB2312" w:eastAsia="仿宋_GB2312"/>
          <w:kern w:val="0"/>
          <w:sz w:val="32"/>
          <w:szCs w:val="24"/>
          <w:lang w:val="en-US"/>
        </w:rPr>
        <w:t>人，其中：在职人员2</w:t>
      </w:r>
      <w:r>
        <w:rPr>
          <w:rFonts w:hint="eastAsia" w:ascii="仿宋_GB2312" w:hAnsi="仿宋_GB2312" w:eastAsia="仿宋_GB2312"/>
          <w:kern w:val="0"/>
          <w:sz w:val="32"/>
          <w:szCs w:val="24"/>
          <w:lang w:val="en-US" w:eastAsia="zh-CN"/>
        </w:rPr>
        <w:t>0</w:t>
      </w:r>
      <w:r>
        <w:rPr>
          <w:rFonts w:hint="eastAsia" w:ascii="仿宋_GB2312" w:hAnsi="仿宋_GB2312" w:eastAsia="仿宋_GB2312"/>
          <w:kern w:val="0"/>
          <w:sz w:val="32"/>
          <w:szCs w:val="24"/>
          <w:lang w:val="en-US"/>
        </w:rPr>
        <w:t>人，离休人员0人，退休人员2</w:t>
      </w:r>
      <w:r>
        <w:rPr>
          <w:rFonts w:hint="eastAsia" w:ascii="仿宋_GB2312" w:hAnsi="仿宋_GB2312" w:eastAsia="仿宋_GB2312"/>
          <w:kern w:val="0"/>
          <w:sz w:val="32"/>
          <w:szCs w:val="24"/>
          <w:lang w:val="en-US" w:eastAsia="zh-CN"/>
        </w:rPr>
        <w:t>4</w:t>
      </w:r>
      <w:r>
        <w:rPr>
          <w:rFonts w:hint="eastAsia" w:ascii="仿宋_GB2312" w:hAnsi="仿宋_GB2312" w:eastAsia="仿宋_GB2312"/>
          <w:kern w:val="0"/>
          <w:sz w:val="32"/>
          <w:szCs w:val="24"/>
          <w:lang w:val="en-US"/>
        </w:rPr>
        <w:t>人。</w:t>
      </w:r>
    </w:p>
    <w:p>
      <w:pPr>
        <w:shd w:val="clear" w:color="auto" w:fill="FFFFFF"/>
        <w:autoSpaceDE w:val="0"/>
        <w:autoSpaceDN w:val="0"/>
        <w:adjustRightInd w:val="0"/>
        <w:spacing w:before="100" w:beforeLines="0" w:afterLines="0" w:line="360" w:lineRule="auto"/>
        <w:ind w:firstLine="482"/>
        <w:rPr>
          <w:rFonts w:hint="default" w:ascii="仿宋_GB2312" w:hAnsi="仿宋_GB2312" w:eastAsia="仿宋_GB2312"/>
          <w:kern w:val="0"/>
          <w:sz w:val="32"/>
          <w:szCs w:val="24"/>
          <w:lang w:val="zh-CN"/>
        </w:rPr>
      </w:pPr>
      <w:r>
        <w:rPr>
          <w:rFonts w:hint="eastAsia" w:ascii="仿宋_GB2312" w:hAnsi="仿宋_GB2312" w:eastAsia="仿宋_GB2312"/>
          <w:kern w:val="0"/>
          <w:sz w:val="32"/>
          <w:szCs w:val="24"/>
          <w:lang w:val="en-US"/>
        </w:rPr>
        <w:t>从部门决算单位构成看，乌鲁木齐市水磨沟区教育研究室部门决算包括：乌鲁木齐市水磨沟区教育研究室</w:t>
      </w:r>
      <w:r>
        <w:rPr>
          <w:rFonts w:hint="eastAsia" w:ascii="仿宋_GB2312" w:hAnsi="仿宋_GB2312" w:eastAsia="仿宋_GB2312"/>
          <w:kern w:val="0"/>
          <w:sz w:val="32"/>
          <w:szCs w:val="24"/>
          <w:lang w:val="zh-CN"/>
        </w:rPr>
        <w:t>决算。单位无下属预算单位，下设</w:t>
      </w:r>
      <w:r>
        <w:rPr>
          <w:rFonts w:hint="eastAsia" w:ascii="仿宋_GB2312" w:hAnsi="仿宋_GB2312" w:eastAsia="仿宋_GB2312"/>
          <w:kern w:val="0"/>
          <w:sz w:val="32"/>
          <w:szCs w:val="24"/>
          <w:lang w:val="en-US" w:eastAsia="zh-CN"/>
        </w:rPr>
        <w:t>5</w:t>
      </w:r>
      <w:r>
        <w:rPr>
          <w:rFonts w:hint="eastAsia" w:ascii="仿宋_GB2312" w:hAnsi="仿宋_GB2312" w:eastAsia="仿宋_GB2312"/>
          <w:kern w:val="0"/>
          <w:sz w:val="32"/>
          <w:szCs w:val="24"/>
          <w:lang w:val="zh-CN"/>
        </w:rPr>
        <w:t>个科室，分别是：办公室、中学教研室、小学教研室、财务室、工会。</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29374"/>
      <w:bookmarkStart w:id="7" w:name="_Toc309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lang w:val="en-US" w:eastAsia="zh-CN"/>
        </w:rPr>
        <w:t>收入总计526.96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eastAsia" w:ascii="仿宋_GB2312" w:eastAsia="仿宋_GB2312"/>
          <w:sz w:val="32"/>
          <w:szCs w:val="32"/>
          <w:highlight w:val="none"/>
        </w:rPr>
        <w:t>490.69万元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36.27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56.01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9.61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lang w:eastAsia="zh-CN"/>
        </w:rPr>
        <w:t>去年相比退休</w:t>
      </w:r>
      <w:r>
        <w:rPr>
          <w:rFonts w:hint="eastAsia" w:ascii="仿宋_GB2312" w:eastAsia="仿宋_GB2312"/>
          <w:sz w:val="32"/>
          <w:szCs w:val="32"/>
          <w:highlight w:val="none"/>
          <w:lang w:val="en-US" w:eastAsia="zh-CN"/>
        </w:rPr>
        <w:t>4人，减少在职工资、津贴、社保、公积金等的拨入，</w:t>
      </w:r>
      <w:r>
        <w:rPr>
          <w:rFonts w:hint="eastAsia" w:ascii="仿宋_GB2312" w:eastAsia="仿宋_GB2312"/>
          <w:sz w:val="32"/>
          <w:szCs w:val="32"/>
          <w:highlight w:val="none"/>
          <w:lang w:eastAsia="zh-CN"/>
        </w:rPr>
        <w:t>无访惠聚工作经费。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总计526.96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其中：本年支出合计500.57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26.39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56.01</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9.61</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与</w:t>
      </w:r>
      <w:r>
        <w:rPr>
          <w:rFonts w:hint="eastAsia" w:ascii="仿宋_GB2312" w:eastAsia="仿宋_GB2312"/>
          <w:sz w:val="32"/>
          <w:szCs w:val="32"/>
          <w:highlight w:val="none"/>
          <w:lang w:eastAsia="zh-CN"/>
        </w:rPr>
        <w:t>去年相比退休</w:t>
      </w:r>
      <w:r>
        <w:rPr>
          <w:rFonts w:hint="eastAsia" w:ascii="仿宋_GB2312" w:eastAsia="仿宋_GB2312"/>
          <w:sz w:val="32"/>
          <w:szCs w:val="32"/>
          <w:highlight w:val="none"/>
          <w:lang w:val="en-US" w:eastAsia="zh-CN"/>
        </w:rPr>
        <w:t>4人，减少在职工资、津贴、社保、公积金等的支出，</w:t>
      </w:r>
      <w:r>
        <w:rPr>
          <w:rFonts w:hint="eastAsia" w:ascii="仿宋_GB2312" w:eastAsia="仿宋_GB2312"/>
          <w:sz w:val="32"/>
          <w:szCs w:val="32"/>
          <w:highlight w:val="none"/>
          <w:lang w:eastAsia="zh-CN"/>
        </w:rPr>
        <w:t>无访惠聚工作经费支出。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2142"/>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本年收入490.69万元，其中：财政拨款收入490.56万元，占99.97%；上级补助收入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%；其他收入0.12万元，占</w:t>
      </w:r>
      <w:r>
        <w:rPr>
          <w:rFonts w:hint="eastAsia" w:ascii="仿宋_GB2312" w:eastAsia="仿宋_GB2312"/>
          <w:sz w:val="32"/>
          <w:szCs w:val="32"/>
          <w:highlight w:val="none"/>
          <w:lang w:val="en-US" w:eastAsia="zh-CN"/>
        </w:rPr>
        <w:t>0.03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本年支出500.57万元，其中：基本支出474.99万元，占</w:t>
      </w:r>
      <w:r>
        <w:rPr>
          <w:rFonts w:hint="eastAsia" w:ascii="仿宋_GB2312" w:eastAsia="仿宋_GB2312"/>
          <w:sz w:val="32"/>
          <w:szCs w:val="32"/>
          <w:highlight w:val="none"/>
          <w:lang w:val="en-US" w:eastAsia="zh-CN"/>
        </w:rPr>
        <w:t>94.89</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25.58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5.11</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四、财政拨款收入支出决算总体情况说明</w:t>
      </w:r>
      <w:bookmarkEnd w:id="14"/>
      <w:bookmarkEnd w:id="15"/>
    </w:p>
    <w:p>
      <w:pPr>
        <w:ind w:firstLine="640" w:firstLineChars="200"/>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总计501.25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其中：年初财政拨款结转和结余10.69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w:t>
      </w:r>
      <w:r>
        <w:rPr>
          <w:rFonts w:hint="eastAsia" w:ascii="仿宋_GB2312" w:eastAsia="仿宋_GB2312"/>
          <w:sz w:val="32"/>
          <w:szCs w:val="32"/>
          <w:highlight w:val="none"/>
        </w:rPr>
        <w:t>490.56万元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减少</w:t>
      </w:r>
      <w:r>
        <w:rPr>
          <w:rFonts w:hint="eastAsia" w:ascii="仿宋_GB2312" w:eastAsia="仿宋_GB2312"/>
          <w:sz w:val="32"/>
          <w:szCs w:val="32"/>
          <w:highlight w:val="none"/>
          <w:lang w:val="en-US" w:eastAsia="zh-CN"/>
        </w:rPr>
        <w:t>46.89</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8.55</w:t>
      </w:r>
      <w:r>
        <w:rPr>
          <w:rFonts w:hint="eastAsia" w:ascii="仿宋_GB2312" w:eastAsia="仿宋_GB2312"/>
          <w:sz w:val="32"/>
          <w:szCs w:val="32"/>
          <w:highlight w:val="none"/>
          <w:lang w:eastAsia="zh-CN"/>
        </w:rPr>
        <w:t>%，主要原因是：当年采用预拨经费，拨款减少，</w:t>
      </w:r>
      <w:r>
        <w:rPr>
          <w:rFonts w:hint="eastAsia" w:ascii="仿宋_GB2312" w:eastAsia="仿宋_GB2312"/>
          <w:sz w:val="32"/>
          <w:szCs w:val="32"/>
          <w:highlight w:val="none"/>
          <w:lang w:val="en-US" w:eastAsia="zh-CN"/>
        </w:rPr>
        <w:t>2022年退休4人人员经费减少</w:t>
      </w:r>
      <w:r>
        <w:rPr>
          <w:rFonts w:hint="eastAsia" w:ascii="仿宋_GB2312" w:eastAsia="仿宋_GB2312"/>
          <w:sz w:val="32"/>
          <w:szCs w:val="32"/>
          <w:highlight w:val="none"/>
          <w:lang w:eastAsia="zh-CN"/>
        </w:rPr>
        <w:t>。</w:t>
      </w:r>
    </w:p>
    <w:p>
      <w:pPr>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财政拨款支出</w:t>
      </w:r>
      <w:r>
        <w:rPr>
          <w:rFonts w:hint="eastAsia" w:ascii="仿宋_GB2312" w:eastAsia="仿宋_GB2312"/>
          <w:sz w:val="32"/>
          <w:szCs w:val="32"/>
          <w:highlight w:val="none"/>
          <w:lang w:val="en-US" w:eastAsia="zh-CN"/>
        </w:rPr>
        <w:t>总计501.25</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其中：年末财政拨款结转和结余26.39</w:t>
      </w:r>
      <w:r>
        <w:rPr>
          <w:rFonts w:hint="eastAsia" w:ascii="仿宋_GB2312" w:eastAsia="仿宋_GB2312"/>
          <w:sz w:val="32"/>
          <w:szCs w:val="32"/>
          <w:highlight w:val="none"/>
          <w:lang w:eastAsia="zh-CN"/>
        </w:rPr>
        <w:t>万元，</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lang w:eastAsia="zh-CN"/>
        </w:rPr>
        <w:t>474.86万元。财政拨款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lang w:eastAsia="zh-CN"/>
        </w:rPr>
        <w:t>与上年相比，减少</w:t>
      </w:r>
      <w:r>
        <w:rPr>
          <w:rFonts w:hint="eastAsia" w:ascii="仿宋_GB2312" w:eastAsia="仿宋_GB2312"/>
          <w:sz w:val="32"/>
          <w:szCs w:val="32"/>
          <w:highlight w:val="none"/>
          <w:lang w:val="en-US" w:eastAsia="zh-CN"/>
        </w:rPr>
        <w:t>46.89</w:t>
      </w:r>
      <w:r>
        <w:rPr>
          <w:rFonts w:hint="eastAsia" w:ascii="仿宋_GB2312" w:eastAsia="仿宋_GB2312"/>
          <w:sz w:val="32"/>
          <w:szCs w:val="32"/>
          <w:highlight w:val="none"/>
          <w:lang w:eastAsia="zh-CN"/>
        </w:rPr>
        <w:t>万元，下降</w:t>
      </w:r>
      <w:r>
        <w:rPr>
          <w:rFonts w:hint="eastAsia" w:ascii="仿宋_GB2312" w:eastAsia="仿宋_GB2312"/>
          <w:sz w:val="32"/>
          <w:szCs w:val="32"/>
          <w:highlight w:val="none"/>
          <w:lang w:val="en-US" w:eastAsia="zh-CN"/>
        </w:rPr>
        <w:t>8.55</w:t>
      </w:r>
      <w:r>
        <w:rPr>
          <w:rFonts w:hint="eastAsia" w:ascii="仿宋_GB2312" w:eastAsia="仿宋_GB2312"/>
          <w:sz w:val="32"/>
          <w:szCs w:val="32"/>
          <w:highlight w:val="none"/>
          <w:lang w:eastAsia="zh-CN"/>
        </w:rPr>
        <w:t>%，主要原因是：当年采用预拨经费，支出减少，</w:t>
      </w:r>
      <w:r>
        <w:rPr>
          <w:rFonts w:hint="eastAsia" w:ascii="仿宋_GB2312" w:eastAsia="仿宋_GB2312"/>
          <w:sz w:val="32"/>
          <w:szCs w:val="32"/>
          <w:highlight w:val="none"/>
          <w:lang w:val="en-US" w:eastAsia="zh-CN"/>
        </w:rPr>
        <w:t>2022年退休4人人员经费减少</w:t>
      </w:r>
      <w:r>
        <w:rPr>
          <w:rFonts w:hint="eastAsia" w:ascii="仿宋_GB2312" w:eastAsia="仿宋_GB2312"/>
          <w:sz w:val="32"/>
          <w:szCs w:val="32"/>
          <w:highlight w:val="none"/>
          <w:lang w:eastAsia="zh-CN"/>
        </w:rPr>
        <w:t>。</w:t>
      </w:r>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eastAsia="zh-CN"/>
        </w:rPr>
        <w:t>与年初预算数相比情况：财政拨款收入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510.15</w:t>
      </w:r>
      <w:r>
        <w:rPr>
          <w:rFonts w:hint="eastAsia" w:ascii="仿宋_GB2312" w:eastAsia="仿宋_GB2312"/>
          <w:sz w:val="32"/>
          <w:szCs w:val="32"/>
          <w:highlight w:val="none"/>
          <w:lang w:eastAsia="zh-CN"/>
        </w:rPr>
        <w:t>万元，决算数</w:t>
      </w:r>
      <w:r>
        <w:rPr>
          <w:rFonts w:hint="eastAsia" w:ascii="仿宋_GB2312" w:eastAsia="仿宋_GB2312"/>
          <w:sz w:val="32"/>
          <w:szCs w:val="32"/>
          <w:highlight w:val="none"/>
          <w:lang w:val="en-US" w:eastAsia="zh-CN"/>
        </w:rPr>
        <w:t>501.25</w:t>
      </w:r>
      <w:r>
        <w:rPr>
          <w:rFonts w:hint="eastAsia" w:ascii="仿宋_GB2312" w:eastAsia="仿宋_GB2312"/>
          <w:sz w:val="32"/>
          <w:szCs w:val="32"/>
          <w:highlight w:val="none"/>
          <w:lang w:eastAsia="zh-CN"/>
        </w:rPr>
        <w:t>万元，预决算差异率</w:t>
      </w:r>
      <w:r>
        <w:rPr>
          <w:rFonts w:hint="eastAsia" w:ascii="仿宋_GB2312" w:eastAsia="仿宋_GB2312"/>
          <w:sz w:val="32"/>
          <w:szCs w:val="32"/>
          <w:highlight w:val="none"/>
          <w:lang w:val="en-US" w:eastAsia="zh-CN"/>
        </w:rPr>
        <w:t>-1.74</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其差异原因为退休4人，人员经费减少及预拨经费使拨款减少</w:t>
      </w:r>
      <w:r>
        <w:rPr>
          <w:rFonts w:hint="eastAsia" w:ascii="仿宋_GB2312" w:eastAsia="仿宋_GB2312"/>
          <w:sz w:val="32"/>
          <w:szCs w:val="32"/>
          <w:highlight w:val="none"/>
          <w:lang w:eastAsia="zh-CN"/>
        </w:rPr>
        <w:t>。财政拨款</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510.15</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501.25</w:t>
      </w:r>
      <w:r>
        <w:rPr>
          <w:rFonts w:hint="eastAsia" w:ascii="仿宋_GB2312" w:eastAsia="仿宋_GB2312"/>
          <w:sz w:val="32"/>
          <w:szCs w:val="32"/>
          <w:highlight w:val="none"/>
        </w:rPr>
        <w:t>万元，预决算差异</w:t>
      </w:r>
      <w:r>
        <w:rPr>
          <w:rFonts w:hint="eastAsia" w:ascii="仿宋_GB2312" w:eastAsia="仿宋_GB2312"/>
          <w:sz w:val="32"/>
          <w:szCs w:val="32"/>
          <w:highlight w:val="none"/>
          <w:lang w:val="en-US" w:eastAsia="zh-CN"/>
        </w:rPr>
        <w:t>率-1.74%</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其差异原因为退休4人，人员经费支出减少及预拨经费使支出减少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bCs/>
          <w:sz w:val="30"/>
          <w:szCs w:val="30"/>
          <w:lang w:eastAsia="zh-CN"/>
        </w:rPr>
        <w:t>拨款474.86</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94.86</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62.59</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11.64</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pacing w:val="0"/>
          <w:sz w:val="32"/>
          <w:szCs w:val="32"/>
          <w:highlight w:val="none"/>
          <w:lang w:val="en-US" w:eastAsia="zh-CN"/>
        </w:rPr>
        <w:t>与</w:t>
      </w:r>
      <w:r>
        <w:rPr>
          <w:rFonts w:hint="eastAsia" w:ascii="仿宋_GB2312" w:eastAsia="仿宋_GB2312"/>
          <w:sz w:val="32"/>
          <w:szCs w:val="32"/>
          <w:highlight w:val="none"/>
          <w:lang w:eastAsia="zh-CN"/>
        </w:rPr>
        <w:t>去年相比退休</w:t>
      </w:r>
      <w:r>
        <w:rPr>
          <w:rFonts w:hint="eastAsia" w:ascii="仿宋_GB2312" w:eastAsia="仿宋_GB2312"/>
          <w:sz w:val="32"/>
          <w:szCs w:val="32"/>
          <w:highlight w:val="none"/>
          <w:lang w:val="en-US" w:eastAsia="zh-CN"/>
        </w:rPr>
        <w:t>4人，减少在职工资、津贴、社保、公积金等的支出.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autoSpaceDE w:val="0"/>
        <w:autoSpaceDN w:val="0"/>
        <w:adjustRightInd w:val="0"/>
        <w:spacing w:beforeLines="0" w:afterLines="0" w:line="360" w:lineRule="auto"/>
        <w:ind w:firstLine="64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教育支出类</w:t>
      </w:r>
      <w:r>
        <w:rPr>
          <w:rFonts w:hint="eastAsia" w:ascii="仿宋_GB2312" w:hAnsi="仿宋_GB2312" w:eastAsia="仿宋_GB2312" w:cs="仿宋_GB2312"/>
          <w:sz w:val="32"/>
          <w:szCs w:val="32"/>
          <w:highlight w:val="none"/>
        </w:rPr>
        <w:t>）</w:t>
      </w:r>
      <w:r>
        <w:rPr>
          <w:rFonts w:hint="eastAsia" w:ascii="仿宋_GB2312" w:eastAsia="仿宋_GB2312"/>
          <w:spacing w:val="0"/>
          <w:sz w:val="32"/>
          <w:szCs w:val="32"/>
          <w:highlight w:val="none"/>
          <w:lang w:val="en-US" w:eastAsia="zh-CN"/>
        </w:rPr>
        <w:t>474.86</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100</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eastAsia="zh-CN"/>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eastAsia="zh-CN"/>
        </w:rPr>
        <w:t>教育管理事务</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eastAsia="zh-CN"/>
        </w:rPr>
        <w:t>机关服务</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474.86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62.59</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11.64</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与</w:t>
      </w:r>
      <w:r>
        <w:rPr>
          <w:rFonts w:hint="eastAsia" w:ascii="仿宋_GB2312" w:eastAsia="仿宋_GB2312"/>
          <w:sz w:val="32"/>
          <w:szCs w:val="32"/>
          <w:highlight w:val="none"/>
          <w:lang w:eastAsia="zh-CN"/>
        </w:rPr>
        <w:t>去年相比退休</w:t>
      </w:r>
      <w:r>
        <w:rPr>
          <w:rFonts w:hint="eastAsia" w:ascii="仿宋_GB2312" w:eastAsia="仿宋_GB2312"/>
          <w:sz w:val="32"/>
          <w:szCs w:val="32"/>
          <w:highlight w:val="none"/>
          <w:lang w:val="en-US" w:eastAsia="zh-CN"/>
        </w:rPr>
        <w:t>4人，减少在职工资、津贴、社保、公积金等的支出</w:t>
      </w:r>
      <w:r>
        <w:rPr>
          <w:rFonts w:hint="eastAsia" w:ascii="仿宋_GB2312" w:eastAsia="仿宋_GB2312"/>
          <w:sz w:val="32"/>
          <w:szCs w:val="32"/>
          <w:highlight w:val="none"/>
          <w:lang w:eastAsia="zh-CN"/>
        </w:rPr>
        <w:t>。</w:t>
      </w:r>
    </w:p>
    <w:p>
      <w:pPr>
        <w:spacing w:line="600" w:lineRule="exact"/>
        <w:ind w:firstLine="640" w:firstLineChars="200"/>
        <w:rPr>
          <w:rFonts w:hint="eastAsia" w:ascii="仿宋_GB2312" w:eastAsia="仿宋_GB2312"/>
          <w:kern w:val="0"/>
          <w:sz w:val="32"/>
          <w:highlight w:val="none"/>
          <w:lang w:val="en-US" w:eastAsia="zh-CN"/>
        </w:rPr>
      </w:pPr>
      <w:r>
        <w:rPr>
          <w:rFonts w:hint="eastAsia" w:ascii="仿宋_GB2312" w:eastAsia="仿宋_GB2312"/>
          <w:kern w:val="0"/>
          <w:sz w:val="32"/>
          <w:highlight w:val="none"/>
          <w:lang w:val="en-US" w:eastAsia="zh-CN"/>
        </w:rPr>
        <w:t>2、社会保障和就业支出</w:t>
      </w:r>
      <w:r>
        <w:rPr>
          <w:rFonts w:hint="eastAsia" w:ascii="仿宋_GB2312" w:eastAsia="仿宋_GB2312"/>
          <w:kern w:val="0"/>
          <w:sz w:val="32"/>
          <w:highlight w:val="none"/>
          <w:lang w:eastAsia="zh-CN"/>
        </w:rPr>
        <w:t>（类）行政事业单位养老支出（款）机关事业单位基本养老保险缴费支出（项）</w:t>
      </w:r>
      <w:r>
        <w:rPr>
          <w:rFonts w:hint="eastAsia" w:ascii="仿宋_GB2312" w:eastAsia="仿宋_GB2312"/>
          <w:kern w:val="0"/>
          <w:sz w:val="32"/>
          <w:highlight w:val="none"/>
          <w:lang w:val="en-US" w:eastAsia="zh-CN"/>
        </w:rPr>
        <w:t>支出决算数0万元，比上年决算减少45.2万元，下降100%，主要原因是，本年财政将养老保险缴费支出安排在机关服务。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11146"/>
      <w:bookmarkStart w:id="19" w:name="_Toc30870"/>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474.86</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463.98</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职业年金缴费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、退休费、奖励金、其他对个人和家庭的补助。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10.89</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印刷费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其他商品和服务支出</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val="en-US" w:eastAsia="zh-CN"/>
        </w:rPr>
      </w:pPr>
      <w:bookmarkStart w:id="20" w:name="_Toc21518"/>
      <w:bookmarkStart w:id="21" w:name="_Toc71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“三公”经费支出。其中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因公出国（境）费支出；公务用车购置及运行维护费支出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公务用车购置及运行维护费支出；公务接待费支出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公务接待费支出。具体情况如下：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val="en-US"/>
        </w:rPr>
        <w:t>本年单位无因公出国（境）费支出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本单位无</w:t>
      </w:r>
      <w:r>
        <w:rPr>
          <w:rFonts w:hint="eastAsia" w:ascii="仿宋_GB2312" w:eastAsia="仿宋_GB2312"/>
          <w:sz w:val="32"/>
          <w:szCs w:val="32"/>
          <w:highlight w:val="none"/>
        </w:rPr>
        <w:t>公务用车运行维护费开支。公务用车购置数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eastAsia="zh-CN"/>
        </w:rPr>
        <w:t>本单位无</w:t>
      </w:r>
      <w:r>
        <w:rPr>
          <w:rFonts w:hint="eastAsia" w:ascii="仿宋_GB2312" w:eastAsia="仿宋_GB2312"/>
          <w:sz w:val="32"/>
          <w:szCs w:val="32"/>
          <w:highlight w:val="none"/>
        </w:rPr>
        <w:t>公务接待费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0.07</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无招待费支出。其中：因公出国（境）费</w:t>
      </w:r>
      <w:r>
        <w:rPr>
          <w:rFonts w:hint="eastAsia" w:ascii="仿宋_GB2312" w:eastAsia="仿宋_GB2312"/>
          <w:sz w:val="32"/>
          <w:szCs w:val="32"/>
          <w:highlight w:val="none"/>
          <w:lang w:val="en-US" w:eastAsia="zh-CN"/>
        </w:rPr>
        <w:t>全年预算数0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因公出国（境）费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eastAsia="zh-CN"/>
        </w:rPr>
        <w:t>支出</w:t>
      </w:r>
      <w:r>
        <w:rPr>
          <w:rFonts w:hint="eastAsia" w:ascii="仿宋_GB2312" w:eastAsia="仿宋_GB2312"/>
          <w:sz w:val="32"/>
          <w:szCs w:val="32"/>
          <w:highlight w:val="none"/>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主要原因是：无公务用车运行维护费支出</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无招待费支出。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7927"/>
      <w:bookmarkStart w:id="23" w:name="_Toc5810"/>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3105"/>
      <w:bookmarkStart w:id="27" w:name="_Toc14519"/>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rPr>
      </w:pPr>
      <w:r>
        <w:rPr>
          <w:rFonts w:hint="eastAsia" w:ascii="仿宋_GB2312" w:eastAsia="仿宋_GB2312"/>
          <w:sz w:val="32"/>
          <w:szCs w:val="32"/>
          <w:highlight w:val="none"/>
          <w:lang w:eastAsia="zh-CN"/>
        </w:rPr>
        <w:t>水磨沟区教育研究室（</w:t>
      </w:r>
      <w:r>
        <w:rPr>
          <w:rFonts w:hint="eastAsia" w:ascii="仿宋_GB2312" w:eastAsia="仿宋_GB2312"/>
          <w:sz w:val="32"/>
          <w:szCs w:val="32"/>
          <w:highlight w:val="none"/>
          <w:lang w:val="en-US" w:eastAsia="zh-CN"/>
        </w:rPr>
        <w:t>事业单位</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10.89</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0.52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4.56</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各项教研活动线上开展，支出减少</w:t>
      </w:r>
      <w:r>
        <w:rPr>
          <w:rFonts w:hint="eastAsia" w:ascii="仿宋_GB2312" w:eastAsia="仿宋_GB2312"/>
          <w:spacing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27"/>
      <w:bookmarkStart w:id="29" w:name="_Toc26704"/>
      <w:r>
        <w:rPr>
          <w:rFonts w:hint="eastAsia" w:ascii="黑体" w:hAnsi="黑体" w:eastAsia="黑体"/>
          <w:sz w:val="32"/>
          <w:szCs w:val="32"/>
          <w:highlight w:val="none"/>
          <w:lang w:eastAsia="zh-CN"/>
        </w:rPr>
        <w:t>（二）政府采购情</w:t>
      </w:r>
      <w:bookmarkStart w:id="54" w:name="_GoBack"/>
      <w:bookmarkEnd w:id="54"/>
      <w:r>
        <w:rPr>
          <w:rFonts w:hint="eastAsia" w:ascii="黑体" w:hAnsi="黑体" w:eastAsia="黑体"/>
          <w:sz w:val="32"/>
          <w:szCs w:val="32"/>
          <w:highlight w:val="none"/>
          <w:lang w:eastAsia="zh-CN"/>
        </w:rPr>
        <w:t>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8391"/>
      <w:bookmarkStart w:id="31" w:name="_Toc45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57.72万元，房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eastAsia="zh-CN"/>
        </w:rPr>
        <w:t>无其他用车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。预算绩效管理取得的成效：一是无；二是无。发现的问题及原因：一是无；二是无。下一步改进措施：一是无；二是无。具体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eastAsia="zh-CN"/>
        </w:rPr>
        <w:t>我单位</w:t>
      </w:r>
      <w:r>
        <w:rPr>
          <w:rFonts w:hint="eastAsia" w:ascii="仿宋_GB2312" w:eastAsia="仿宋_GB2312"/>
          <w:sz w:val="32"/>
          <w:szCs w:val="32"/>
          <w:highlight w:val="none"/>
          <w:lang w:val="en-US" w:eastAsia="zh-CN"/>
        </w:rPr>
        <w:t>2022年的未安排项目，无</w:t>
      </w:r>
      <w:r>
        <w:rPr>
          <w:rFonts w:hint="eastAsia" w:ascii="仿宋_GB2312" w:eastAsia="仿宋_GB2312"/>
          <w:sz w:val="32"/>
          <w:szCs w:val="32"/>
          <w:highlight w:val="none"/>
        </w:rPr>
        <w:t>项目支出绩效自评表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4" w:name="_Toc3250"/>
      <w:bookmarkStart w:id="35" w:name="_Toc24143"/>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2784"/>
      <w:bookmarkStart w:id="37" w:name="_Toc28903"/>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30364"/>
      <w:bookmarkStart w:id="41" w:name="_Toc24532"/>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786"/>
      <w:bookmarkStart w:id="45" w:name="_Toc14238"/>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8884"/>
      <w:bookmarkStart w:id="49" w:name="_Toc5626"/>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15A0B9F"/>
    <w:rsid w:val="02F73D26"/>
    <w:rsid w:val="034D4FEF"/>
    <w:rsid w:val="043E5B56"/>
    <w:rsid w:val="04F33787"/>
    <w:rsid w:val="05C10D50"/>
    <w:rsid w:val="06792773"/>
    <w:rsid w:val="0A7B4867"/>
    <w:rsid w:val="0B8C3ECC"/>
    <w:rsid w:val="0C7227A7"/>
    <w:rsid w:val="0D8C7E9D"/>
    <w:rsid w:val="114D517C"/>
    <w:rsid w:val="13385187"/>
    <w:rsid w:val="1DAF458D"/>
    <w:rsid w:val="20DD6197"/>
    <w:rsid w:val="2265761B"/>
    <w:rsid w:val="237F715C"/>
    <w:rsid w:val="23BC04D2"/>
    <w:rsid w:val="27CF2642"/>
    <w:rsid w:val="27FA0805"/>
    <w:rsid w:val="2A053397"/>
    <w:rsid w:val="2AAA6513"/>
    <w:rsid w:val="2CA86A82"/>
    <w:rsid w:val="2CD20138"/>
    <w:rsid w:val="2D1136DF"/>
    <w:rsid w:val="2FD27414"/>
    <w:rsid w:val="30BA12E5"/>
    <w:rsid w:val="31A548EB"/>
    <w:rsid w:val="31C63837"/>
    <w:rsid w:val="37B155F4"/>
    <w:rsid w:val="3914510A"/>
    <w:rsid w:val="3CD562F9"/>
    <w:rsid w:val="3D5275AC"/>
    <w:rsid w:val="3FF208B2"/>
    <w:rsid w:val="40834692"/>
    <w:rsid w:val="46901EEE"/>
    <w:rsid w:val="469C74D2"/>
    <w:rsid w:val="47255CBD"/>
    <w:rsid w:val="486F44A0"/>
    <w:rsid w:val="49BD38C1"/>
    <w:rsid w:val="4A177570"/>
    <w:rsid w:val="4B4C0111"/>
    <w:rsid w:val="4FEC428B"/>
    <w:rsid w:val="50DB5F45"/>
    <w:rsid w:val="52F92565"/>
    <w:rsid w:val="539D45B7"/>
    <w:rsid w:val="56EE4B99"/>
    <w:rsid w:val="583059FA"/>
    <w:rsid w:val="5DB06595"/>
    <w:rsid w:val="5FA17648"/>
    <w:rsid w:val="60141AF2"/>
    <w:rsid w:val="61A46A97"/>
    <w:rsid w:val="62C30318"/>
    <w:rsid w:val="62DD7D21"/>
    <w:rsid w:val="65D97752"/>
    <w:rsid w:val="6669040E"/>
    <w:rsid w:val="68DB0208"/>
    <w:rsid w:val="69AD798C"/>
    <w:rsid w:val="6A462E5B"/>
    <w:rsid w:val="6A6652AB"/>
    <w:rsid w:val="6B68175F"/>
    <w:rsid w:val="6BAE77BC"/>
    <w:rsid w:val="6E0F7A08"/>
    <w:rsid w:val="71473612"/>
    <w:rsid w:val="718F7F65"/>
    <w:rsid w:val="73FB6630"/>
    <w:rsid w:val="74DD2A37"/>
    <w:rsid w:val="74E76DCD"/>
    <w:rsid w:val="75F93F2D"/>
    <w:rsid w:val="776961BE"/>
    <w:rsid w:val="77ED6F44"/>
    <w:rsid w:val="7DD30240"/>
    <w:rsid w:val="7E282B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customStyle="1" w:styleId="10">
    <w:name w:val="WPSOffice手动目录 3"/>
    <w:autoRedefine/>
    <w:qFormat/>
    <w:uiPriority w:val="0"/>
    <w:pPr>
      <w:ind w:leftChars="400"/>
    </w:pPr>
    <w:rPr>
      <w:rFonts w:ascii="Times New Roman" w:hAnsi="Times New Roman" w:eastAsia="宋体" w:cs="Times New Roman"/>
      <w:sz w:val="20"/>
      <w:szCs w:val="20"/>
    </w:r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4429</Words>
  <Characters>4734</Characters>
  <Lines>0</Lines>
  <Paragraphs>0</Paragraphs>
  <TotalTime>0</TotalTime>
  <ScaleCrop>false</ScaleCrop>
  <LinksUpToDate>false</LinksUpToDate>
  <CharactersWithSpaces>4752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2024-02-08T11:42:59Z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CE3F454A1BC649A5B21B2F951ACA678D</vt:lpwstr>
  </property>
</Properties>
</file>