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_GBK" w:hAnsi="宋体" w:eastAsia="方正小标宋_GBK"/>
          <w:sz w:val="44"/>
          <w:szCs w:val="44"/>
          <w:highlight w:val="none"/>
          <w:lang w:val="en-US"/>
        </w:rPr>
      </w:pPr>
      <w:r>
        <w:rPr>
          <w:rFonts w:hint="eastAsia" w:ascii="方正小标宋_GBK" w:hAnsi="宋体" w:eastAsia="方正小标宋_GBK"/>
          <w:sz w:val="44"/>
          <w:szCs w:val="44"/>
          <w:highlight w:val="none"/>
          <w:lang w:val="en-US"/>
        </w:rPr>
        <w:t>乌鲁木齐市第五十九小学</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0"/>
        <w:rPr>
          <w:rFonts w:hint="eastAsia" w:ascii="黑体" w:hAnsi="黑体" w:eastAsia="黑体" w:cs="宋体"/>
          <w:bCs/>
          <w:kern w:val="0"/>
          <w:sz w:val="32"/>
          <w:szCs w:val="32"/>
          <w:highlight w:val="none"/>
        </w:rPr>
      </w:pPr>
      <w:bookmarkStart w:id="2" w:name="_Toc30567"/>
      <w:bookmarkStart w:id="3" w:name="_Toc30738"/>
      <w:bookmarkStart w:id="4" w:name="_Toc29374"/>
      <w:bookmarkStart w:id="5" w:name="_Toc3092"/>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pacing w:val="0"/>
          <w:sz w:val="32"/>
          <w:szCs w:val="32"/>
          <w:highlight w:val="none"/>
          <w:lang w:val="zh-CN" w:eastAsia="zh-CN"/>
        </w:rPr>
      </w:pPr>
      <w:bookmarkStart w:id="6" w:name="_Toc31238"/>
      <w:bookmarkStart w:id="7" w:name="_Toc2151"/>
      <w:r>
        <w:rPr>
          <w:rFonts w:hint="eastAsia" w:ascii="仿宋_GB2312" w:hAnsi="Times New Roman" w:eastAsia="仿宋_GB2312" w:cs="Times New Roman"/>
          <w:spacing w:val="0"/>
          <w:sz w:val="32"/>
          <w:szCs w:val="32"/>
          <w:highlight w:val="none"/>
          <w:lang w:val="zh-CN" w:eastAsia="zh-CN"/>
        </w:rPr>
        <w:t>乌鲁木齐市第五十九小学</w:t>
      </w:r>
      <w:r>
        <w:rPr>
          <w:rFonts w:hint="eastAsia" w:ascii="仿宋_GB2312" w:hAnsi="Times New Roman" w:eastAsia="仿宋_GB2312" w:cs="Times New Roman"/>
          <w:spacing w:val="0"/>
          <w:sz w:val="32"/>
          <w:szCs w:val="32"/>
          <w:highlight w:val="none"/>
          <w:lang w:val="en-US" w:eastAsia="zh-CN"/>
        </w:rPr>
        <w:t>系水磨沟区区属小学，属于全额拨款事业单位。主要职能是实施小学义务教育，促进基础教育发展,小学学历教育。</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pacing w:val="0"/>
          <w:sz w:val="32"/>
          <w:szCs w:val="32"/>
          <w:highlight w:val="none"/>
          <w:lang w:val="zh-CN" w:eastAsia="zh-CN"/>
        </w:rPr>
      </w:pPr>
      <w:r>
        <w:rPr>
          <w:rFonts w:hint="eastAsia" w:ascii="仿宋_GB2312" w:hAnsi="Times New Roman" w:eastAsia="仿宋_GB2312" w:cs="Times New Roman"/>
          <w:spacing w:val="0"/>
          <w:sz w:val="32"/>
          <w:szCs w:val="32"/>
          <w:highlight w:val="none"/>
          <w:lang w:val="en-US" w:eastAsia="zh-CN"/>
        </w:rPr>
        <w:t>本单位</w:t>
      </w:r>
      <w:r>
        <w:rPr>
          <w:rFonts w:hint="eastAsia" w:ascii="仿宋_GB2312" w:hAnsi="Times New Roman" w:eastAsia="仿宋_GB2312" w:cs="Times New Roman"/>
          <w:spacing w:val="0"/>
          <w:sz w:val="32"/>
          <w:szCs w:val="32"/>
          <w:highlight w:val="none"/>
          <w:lang w:val="zh-CN" w:eastAsia="zh-CN"/>
        </w:rPr>
        <w:t>由乌鲁木齐市水磨沟区人民政府举办，主管部门是乌鲁木齐市水磨沟区教育局。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pacing w:val="0"/>
          <w:sz w:val="32"/>
          <w:szCs w:val="32"/>
          <w:highlight w:val="none"/>
          <w:lang w:val="zh-CN" w:eastAsia="zh-CN"/>
        </w:rPr>
      </w:pPr>
      <w:r>
        <w:rPr>
          <w:rFonts w:hint="eastAsia" w:ascii="仿宋_GB2312" w:hAnsi="Times New Roman" w:eastAsia="仿宋_GB2312" w:cs="Times New Roman"/>
          <w:spacing w:val="0"/>
          <w:sz w:val="32"/>
          <w:szCs w:val="32"/>
          <w:highlight w:val="none"/>
          <w:lang w:val="zh-CN" w:eastAsia="zh-CN"/>
        </w:rPr>
        <w:t>学校是非营利性教育事业单位，具有独立法人资格。认真贯彻落实党和国家的方针、政策，加强学校的科学化管理，制定和健全各项规章制定，规范办学行为，培养良好校风，逐步实现管理决策的科学化，负责教师队伍的建设工作，领导和组织学校的思想政治工作，负责领导和组织学校的教学工作等。实施小学义务教育。开展小学学历教育，促进基础教育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pacing w:val="0"/>
          <w:sz w:val="32"/>
          <w:szCs w:val="32"/>
          <w:highlight w:val="none"/>
          <w:lang w:val="zh-CN" w:eastAsia="zh-CN"/>
        </w:rPr>
      </w:pPr>
      <w:r>
        <w:rPr>
          <w:rFonts w:hint="eastAsia" w:ascii="仿宋_GB2312" w:hAnsi="Times New Roman" w:eastAsia="仿宋_GB2312" w:cs="Times New Roman"/>
          <w:spacing w:val="0"/>
          <w:sz w:val="32"/>
          <w:szCs w:val="32"/>
          <w:highlight w:val="none"/>
          <w:lang w:val="zh-CN" w:eastAsia="zh-CN"/>
        </w:rPr>
        <w:t>下设</w:t>
      </w:r>
      <w:r>
        <w:rPr>
          <w:rFonts w:hint="eastAsia" w:ascii="仿宋_GB2312" w:hAnsi="Times New Roman" w:eastAsia="仿宋_GB2312" w:cs="Times New Roman"/>
          <w:spacing w:val="0"/>
          <w:sz w:val="32"/>
          <w:szCs w:val="32"/>
          <w:highlight w:val="none"/>
          <w:lang w:val="en-US" w:eastAsia="zh-CN"/>
        </w:rPr>
        <w:t>6</w:t>
      </w:r>
      <w:r>
        <w:rPr>
          <w:rFonts w:hint="eastAsia" w:ascii="仿宋_GB2312" w:hAnsi="Times New Roman" w:eastAsia="仿宋_GB2312" w:cs="Times New Roman"/>
          <w:spacing w:val="0"/>
          <w:sz w:val="32"/>
          <w:szCs w:val="32"/>
          <w:highlight w:val="none"/>
          <w:lang w:val="zh-CN" w:eastAsia="zh-CN"/>
        </w:rPr>
        <w:t>个科室，分别是：行政办公室、德育办公室、教研室、教务处、工会、总务办。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pacing w:val="0"/>
          <w:sz w:val="32"/>
          <w:szCs w:val="32"/>
          <w:highlight w:val="none"/>
          <w:lang w:val="en-US" w:eastAsia="zh-CN"/>
        </w:rPr>
      </w:pPr>
      <w:r>
        <w:rPr>
          <w:rFonts w:hint="eastAsia" w:ascii="仿宋_GB2312" w:hAnsi="Times New Roman" w:eastAsia="仿宋_GB2312" w:cs="Times New Roman"/>
          <w:spacing w:val="0"/>
          <w:sz w:val="32"/>
          <w:szCs w:val="32"/>
          <w:highlight w:val="none"/>
          <w:lang w:val="en-US" w:eastAsia="zh-CN"/>
        </w:rPr>
        <w:t>负责科学管理、合理使用学校的设施和经费。负责维护学校、师生的合法权益。依法接受各级教育行政部门的检查指导和人民群众的监督。负责贯彻党的教育方针，坚持社会主义办学方向，对学生进行德育、智育、体育、美育和劳动教育等方面的教育。负责配合各级人民政府依法动员适龄儿童、少年入学，依法保证适龄儿童、少年接受九年义务教育。负责制定学校教育发展规划，并抓好组织实施和落实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highlight w:val="none"/>
          <w:lang w:val="zh-CN" w:eastAsia="zh-CN"/>
        </w:rPr>
      </w:pPr>
      <w:r>
        <w:rPr>
          <w:rFonts w:hint="eastAsia" w:ascii="仿宋_GB2312" w:hAnsi="Times New Roman" w:eastAsia="仿宋_GB2312" w:cs="Times New Roman"/>
          <w:spacing w:val="0"/>
          <w:sz w:val="32"/>
          <w:szCs w:val="32"/>
          <w:highlight w:val="none"/>
          <w:lang w:val="en-US" w:eastAsia="zh-CN"/>
        </w:rPr>
        <w:t>负责按照教育主管部门发布的指导性教学计划、教学大纲，组织实施教育教学活动。负责依据国家主管部门有关教学计划、课程设置等方面的规定，决定和实施本校的教学计划，组织教学评比、集体备课，对学生进行统一考核、考试等。负责学籍管理。负责聘任、培训、考核教师，依法奖励或处分有关教师和职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6"/>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乌鲁木齐市第五十九小学2022年度，实有人数100人，其中：在职人员89人，离休人员0人，退休人员11人。</w:t>
      </w:r>
    </w:p>
    <w:p>
      <w:pPr>
        <w:keepNext w:val="0"/>
        <w:keepLines w:val="0"/>
        <w:pageBreakBefore w:val="0"/>
        <w:widowControl w:val="0"/>
        <w:tabs>
          <w:tab w:val="left" w:pos="1470"/>
        </w:tabs>
        <w:kinsoku/>
        <w:wordWrap/>
        <w:overflowPunct/>
        <w:topLinePunct w:val="0"/>
        <w:autoSpaceDE/>
        <w:autoSpaceDN/>
        <w:bidi w:val="0"/>
        <w:adjustRightInd/>
        <w:snapToGrid/>
        <w:spacing w:line="240" w:lineRule="auto"/>
        <w:ind w:firstLine="640" w:firstLineChars="200"/>
        <w:jc w:val="center"/>
        <w:textAlignment w:val="auto"/>
        <w:rPr>
          <w:rFonts w:hint="eastAsia" w:ascii="仿宋_GB2312" w:hAnsi="Times New Roman" w:eastAsia="仿宋_GB2312" w:cs="Times New Roman"/>
          <w:sz w:val="32"/>
          <w:szCs w:val="32"/>
          <w:highlight w:val="none"/>
          <w:lang w:val="zh-CN" w:eastAsia="zh-CN"/>
        </w:rPr>
      </w:pPr>
      <w:r>
        <w:rPr>
          <w:rFonts w:hint="eastAsia" w:ascii="仿宋_GB2312" w:hAnsi="Times New Roman" w:eastAsia="仿宋_GB2312" w:cs="Times New Roman"/>
          <w:sz w:val="32"/>
          <w:szCs w:val="32"/>
          <w:highlight w:val="none"/>
          <w:lang w:val="en-US" w:eastAsia="zh-CN"/>
        </w:rPr>
        <w:t>从部门决算单位构成看，乌鲁木齐市第五十九小学部门决算包括：乌鲁木齐市第五十九小学</w:t>
      </w:r>
      <w:r>
        <w:rPr>
          <w:rFonts w:hint="eastAsia" w:ascii="仿宋_GB2312" w:hAnsi="Times New Roman" w:eastAsia="仿宋_GB2312" w:cs="Times New Roman"/>
          <w:sz w:val="32"/>
          <w:szCs w:val="32"/>
          <w:highlight w:val="none"/>
          <w:lang w:val="zh-CN" w:eastAsia="zh-CN"/>
        </w:rPr>
        <w:t>决算。单位无下属预算单位，下设</w:t>
      </w:r>
      <w:r>
        <w:rPr>
          <w:rFonts w:hint="eastAsia" w:ascii="仿宋_GB2312" w:hAnsi="Times New Roman" w:eastAsia="仿宋_GB2312" w:cs="Times New Roman"/>
          <w:sz w:val="32"/>
          <w:szCs w:val="32"/>
          <w:highlight w:val="none"/>
          <w:lang w:val="en-US" w:eastAsia="zh-CN"/>
        </w:rPr>
        <w:t>6</w:t>
      </w:r>
      <w:r>
        <w:rPr>
          <w:rFonts w:hint="eastAsia" w:ascii="仿宋_GB2312" w:hAnsi="Times New Roman" w:eastAsia="仿宋_GB2312" w:cs="Times New Roman"/>
          <w:sz w:val="32"/>
          <w:szCs w:val="32"/>
          <w:highlight w:val="none"/>
          <w:lang w:val="zh-CN" w:eastAsia="zh-CN"/>
        </w:rPr>
        <w:t>个科室，分别是：行政办公室、德育办公室、</w:t>
      </w:r>
    </w:p>
    <w:p>
      <w:pPr>
        <w:keepNext w:val="0"/>
        <w:keepLines w:val="0"/>
        <w:pageBreakBefore w:val="0"/>
        <w:widowControl w:val="0"/>
        <w:tabs>
          <w:tab w:val="left" w:pos="1470"/>
        </w:tabs>
        <w:kinsoku/>
        <w:wordWrap/>
        <w:overflowPunct/>
        <w:topLinePunct w:val="0"/>
        <w:autoSpaceDE/>
        <w:autoSpaceDN/>
        <w:bidi w:val="0"/>
        <w:adjustRightInd/>
        <w:snapToGrid/>
        <w:spacing w:line="240" w:lineRule="auto"/>
        <w:jc w:val="center"/>
        <w:textAlignment w:val="auto"/>
        <w:rPr>
          <w:rFonts w:hint="eastAsia" w:ascii="黑体" w:hAnsi="黑体" w:eastAsia="黑体"/>
          <w:sz w:val="32"/>
          <w:szCs w:val="32"/>
          <w:highlight w:val="none"/>
        </w:rPr>
      </w:pPr>
      <w:r>
        <w:rPr>
          <w:rFonts w:hint="eastAsia" w:ascii="仿宋_GB2312" w:hAnsi="Times New Roman" w:eastAsia="仿宋_GB2312" w:cs="Times New Roman"/>
          <w:sz w:val="32"/>
          <w:szCs w:val="32"/>
          <w:highlight w:val="none"/>
          <w:lang w:val="zh-CN" w:eastAsia="zh-CN"/>
        </w:rPr>
        <w:t>教研室、教务处、工会、总务办。</w:t>
      </w:r>
      <w:r>
        <w:rPr>
          <w:rFonts w:hint="eastAsia" w:ascii="仿宋_GB2312" w:hAnsi="Times New Roman" w:eastAsia="仿宋_GB2312" w:cs="Times New Roman"/>
          <w:sz w:val="32"/>
          <w:szCs w:val="32"/>
          <w:highlight w:val="none"/>
          <w:lang w:val="en-US" w:eastAsia="zh-CN"/>
        </w:rPr>
        <w:br w:type="page"/>
      </w:r>
      <w:r>
        <w:rPr>
          <w:rFonts w:hint="eastAsia" w:ascii="黑体" w:hAnsi="黑体" w:eastAsia="黑体"/>
          <w:sz w:val="32"/>
          <w:szCs w:val="32"/>
          <w:highlight w:val="none"/>
        </w:rPr>
        <w:t>第二部分 部门决算情况说明</w:t>
      </w:r>
      <w:bookmarkEnd w:id="4"/>
      <w:bookmarkEnd w:id="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5314"/>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w:t>
      </w:r>
      <w:r>
        <w:rPr>
          <w:rFonts w:hint="eastAsia" w:ascii="仿宋_GB2312" w:hAnsi="Times New Roman" w:eastAsia="仿宋_GB2312" w:cs="Times New Roman"/>
          <w:sz w:val="32"/>
          <w:szCs w:val="32"/>
          <w:highlight w:val="none"/>
          <w:lang w:val="en-US" w:eastAsia="zh-CN"/>
        </w:rPr>
        <w:t>总计1937.95</w:t>
      </w:r>
      <w:r>
        <w:rPr>
          <w:rFonts w:hint="eastAsia" w:ascii="仿宋_GB2312" w:hAnsi="Times New Roman" w:eastAsia="仿宋_GB2312" w:cs="Times New Roman"/>
          <w:sz w:val="32"/>
          <w:szCs w:val="32"/>
          <w:highlight w:val="none"/>
          <w:lang w:eastAsia="zh-CN"/>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其中：本年收入合计1859.5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w:t>
      </w:r>
      <w:r>
        <w:rPr>
          <w:rFonts w:hint="eastAsia" w:ascii="仿宋_GB2312" w:hAnsi="Times New Roman" w:eastAsia="仿宋_GB2312" w:cs="Times New Roman"/>
          <w:sz w:val="32"/>
          <w:szCs w:val="32"/>
          <w:highlight w:val="none"/>
          <w:lang w:val="en-US" w:eastAsia="zh-CN"/>
        </w:rPr>
        <w:t>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78.45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w:t>
      </w:r>
      <w:r>
        <w:rPr>
          <w:rFonts w:hint="eastAsia" w:ascii="仿宋_GB2312" w:hAnsi="Times New Roman" w:eastAsia="仿宋_GB2312" w:cs="Times New Roman"/>
          <w:sz w:val="32"/>
          <w:szCs w:val="32"/>
          <w:highlight w:val="none"/>
        </w:rPr>
        <w:t>少</w:t>
      </w:r>
      <w:r>
        <w:rPr>
          <w:rFonts w:hint="eastAsia" w:ascii="仿宋_GB2312" w:hAnsi="Times New Roman" w:eastAsia="仿宋_GB2312" w:cs="Times New Roman"/>
          <w:sz w:val="32"/>
          <w:szCs w:val="32"/>
          <w:highlight w:val="none"/>
          <w:lang w:val="en-US" w:eastAsia="zh-CN"/>
        </w:rPr>
        <w:t>1783.56</w:t>
      </w:r>
      <w:r>
        <w:rPr>
          <w:rFonts w:hint="eastAsia" w:ascii="仿宋_GB2312" w:hAnsi="Times New Roman" w:eastAsia="仿宋_GB2312" w:cs="Times New Roman"/>
          <w:sz w:val="32"/>
          <w:szCs w:val="32"/>
          <w:highlight w:val="none"/>
        </w:rPr>
        <w:t>万元</w:t>
      </w:r>
      <w:r>
        <w:rPr>
          <w:rFonts w:hint="eastAsia" w:ascii="仿宋_GB2312" w:hAnsi="Times New Roman" w:eastAsia="仿宋_GB2312" w:cs="Times New Roman"/>
          <w:sz w:val="32"/>
          <w:szCs w:val="32"/>
          <w:highlight w:val="none"/>
          <w:lang w:eastAsia="zh-CN"/>
        </w:rPr>
        <w:t>，</w:t>
      </w:r>
      <w:r>
        <w:rPr>
          <w:rFonts w:hint="eastAsia" w:ascii="仿宋_GB2312" w:eastAsia="仿宋_GB2312"/>
          <w:sz w:val="32"/>
          <w:szCs w:val="32"/>
          <w:highlight w:val="none"/>
          <w:lang w:eastAsia="zh-CN"/>
        </w:rPr>
        <w:t>下</w:t>
      </w:r>
      <w:r>
        <w:rPr>
          <w:rFonts w:hint="eastAsia" w:ascii="仿宋_GB2312" w:hAnsi="Times New Roman" w:eastAsia="仿宋_GB2312" w:cs="Times New Roman"/>
          <w:sz w:val="32"/>
          <w:szCs w:val="32"/>
          <w:highlight w:val="none"/>
          <w:lang w:eastAsia="zh-CN"/>
        </w:rPr>
        <w:t>降</w:t>
      </w:r>
      <w:r>
        <w:rPr>
          <w:rFonts w:hint="eastAsia" w:ascii="仿宋_GB2312" w:hAnsi="Times New Roman" w:eastAsia="仿宋_GB2312" w:cs="Times New Roman"/>
          <w:sz w:val="32"/>
          <w:szCs w:val="32"/>
          <w:highlight w:val="none"/>
          <w:lang w:val="en-US" w:eastAsia="zh-CN"/>
        </w:rPr>
        <w:t>47.93</w:t>
      </w:r>
      <w:r>
        <w:rPr>
          <w:rFonts w:hint="eastAsia" w:ascii="仿宋_GB2312" w:hAnsi="Times New Roman" w:eastAsia="仿宋_GB2312" w:cs="Times New Roman"/>
          <w:sz w:val="32"/>
          <w:szCs w:val="32"/>
          <w:highlight w:val="none"/>
          <w:lang w:eastAsia="zh-CN"/>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rPr>
        <w:t>减少了会展中街</w:t>
      </w:r>
      <w:r>
        <w:rPr>
          <w:rFonts w:hint="eastAsia" w:ascii="仿宋_GB2312" w:eastAsia="仿宋_GB2312"/>
          <w:sz w:val="32"/>
          <w:szCs w:val="32"/>
          <w:highlight w:val="none"/>
          <w:lang w:val="en-US" w:eastAsia="zh-CN"/>
        </w:rPr>
        <w:t>南学校</w:t>
      </w:r>
      <w:r>
        <w:rPr>
          <w:rFonts w:hint="eastAsia" w:ascii="仿宋_GB2312" w:eastAsia="仿宋_GB2312"/>
          <w:sz w:val="32"/>
          <w:szCs w:val="32"/>
          <w:highlight w:val="none"/>
          <w:lang w:val="en-US"/>
        </w:rPr>
        <w:t>项目</w:t>
      </w:r>
      <w:r>
        <w:rPr>
          <w:rFonts w:hint="eastAsia" w:ascii="仿宋_GB2312" w:eastAsia="仿宋_GB2312"/>
          <w:sz w:val="32"/>
          <w:szCs w:val="32"/>
          <w:highlight w:val="none"/>
          <w:lang w:val="en-US" w:eastAsia="zh-CN"/>
        </w:rPr>
        <w:t>支付工程款及新开校区的大额款项支出。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总计1937.95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hAnsi="Times New Roman" w:eastAsia="仿宋_GB2312" w:cs="Times New Roman"/>
          <w:sz w:val="32"/>
          <w:szCs w:val="32"/>
          <w:highlight w:val="none"/>
          <w:lang w:val="en-US" w:eastAsia="zh-CN"/>
        </w:rPr>
        <w:t>1900.07万元，结余分配0万元</w:t>
      </w:r>
      <w:r>
        <w:rPr>
          <w:rFonts w:hint="eastAsia" w:ascii="仿宋_GB2312" w:eastAsia="仿宋_GB2312"/>
          <w:sz w:val="32"/>
          <w:szCs w:val="32"/>
          <w:highlight w:val="none"/>
          <w:lang w:eastAsia="zh-CN"/>
        </w:rPr>
        <w:t>，年末结转和结</w:t>
      </w:r>
      <w:r>
        <w:rPr>
          <w:rFonts w:hint="eastAsia" w:ascii="仿宋_GB2312" w:hAnsi="Times New Roman" w:eastAsia="仿宋_GB2312" w:cs="Times New Roman"/>
          <w:sz w:val="32"/>
          <w:szCs w:val="32"/>
          <w:highlight w:val="none"/>
          <w:lang w:val="en-US" w:eastAsia="zh-CN"/>
        </w:rPr>
        <w:t>余37.88万</w:t>
      </w:r>
      <w:r>
        <w:rPr>
          <w:rFonts w:hint="eastAsia" w:ascii="仿宋_GB2312" w:eastAsia="仿宋_GB2312"/>
          <w:sz w:val="32"/>
          <w:szCs w:val="32"/>
          <w:highlight w:val="none"/>
        </w:rPr>
        <w:t>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hAnsi="Times New Roman" w:eastAsia="仿宋_GB2312" w:cs="Times New Roman"/>
          <w:sz w:val="32"/>
          <w:szCs w:val="32"/>
          <w:highlight w:val="none"/>
          <w:lang w:val="en-US" w:eastAsia="zh-CN"/>
        </w:rPr>
        <w:t>1783.56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hAnsi="Times New Roman" w:eastAsia="仿宋_GB2312" w:cs="Times New Roman"/>
          <w:sz w:val="32"/>
          <w:szCs w:val="32"/>
          <w:highlight w:val="none"/>
          <w:lang w:val="en-US" w:eastAsia="zh-CN"/>
        </w:rPr>
        <w:t>47.93%</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rPr>
        <w:t>减少了会展中街</w:t>
      </w:r>
      <w:r>
        <w:rPr>
          <w:rFonts w:hint="eastAsia" w:ascii="仿宋_GB2312" w:eastAsia="仿宋_GB2312"/>
          <w:sz w:val="32"/>
          <w:szCs w:val="32"/>
          <w:highlight w:val="none"/>
          <w:lang w:val="en-US" w:eastAsia="zh-CN"/>
        </w:rPr>
        <w:t>南学校</w:t>
      </w:r>
      <w:r>
        <w:rPr>
          <w:rFonts w:hint="eastAsia" w:ascii="仿宋_GB2312" w:eastAsia="仿宋_GB2312"/>
          <w:sz w:val="32"/>
          <w:szCs w:val="32"/>
          <w:highlight w:val="none"/>
          <w:lang w:val="en-US"/>
        </w:rPr>
        <w:t>项目</w:t>
      </w:r>
      <w:r>
        <w:rPr>
          <w:rFonts w:hint="eastAsia" w:ascii="仿宋_GB2312" w:eastAsia="仿宋_GB2312"/>
          <w:sz w:val="32"/>
          <w:szCs w:val="32"/>
          <w:highlight w:val="none"/>
          <w:lang w:val="en-US" w:eastAsia="zh-CN"/>
        </w:rPr>
        <w:t>支付工程款及新开校区的大额款项支出。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w:t>
      </w:r>
      <w:r>
        <w:rPr>
          <w:rFonts w:hint="eastAsia" w:ascii="仿宋_GB2312" w:hAnsi="Times New Roman" w:eastAsia="仿宋_GB2312" w:cs="Times New Roman"/>
          <w:sz w:val="32"/>
          <w:szCs w:val="32"/>
          <w:highlight w:val="none"/>
        </w:rPr>
        <w:t>入</w:t>
      </w:r>
      <w:r>
        <w:rPr>
          <w:rFonts w:hint="eastAsia" w:ascii="仿宋_GB2312" w:hAnsi="Times New Roman" w:eastAsia="仿宋_GB2312" w:cs="Times New Roman"/>
          <w:sz w:val="32"/>
          <w:szCs w:val="32"/>
          <w:highlight w:val="none"/>
          <w:lang w:val="en-US" w:eastAsia="zh-CN"/>
        </w:rPr>
        <w:t>1859.5</w:t>
      </w:r>
      <w:r>
        <w:rPr>
          <w:rFonts w:hint="eastAsia" w:ascii="仿宋_GB2312" w:hAnsi="Times New Roman" w:eastAsia="仿宋_GB2312" w:cs="Times New Roman"/>
          <w:sz w:val="32"/>
          <w:szCs w:val="32"/>
          <w:highlight w:val="none"/>
        </w:rPr>
        <w:t>万元，其中：财政拨款收入</w:t>
      </w:r>
      <w:r>
        <w:rPr>
          <w:rFonts w:hint="eastAsia" w:ascii="仿宋_GB2312" w:hAnsi="Times New Roman" w:eastAsia="仿宋_GB2312" w:cs="Times New Roman"/>
          <w:sz w:val="32"/>
          <w:szCs w:val="32"/>
          <w:highlight w:val="none"/>
          <w:lang w:val="en-US" w:eastAsia="zh-CN"/>
        </w:rPr>
        <w:t>1494.38</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80.36</w:t>
      </w:r>
      <w:r>
        <w:rPr>
          <w:rFonts w:hint="eastAsia" w:ascii="仿宋_GB2312" w:hAnsi="Times New Roman" w:eastAsia="仿宋_GB2312" w:cs="Times New Roman"/>
          <w:sz w:val="32"/>
          <w:szCs w:val="32"/>
          <w:highlight w:val="none"/>
        </w:rPr>
        <w:t>%；上级补助收入</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%；事业收入</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%；经营收入</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w:t>
      </w:r>
      <w:r>
        <w:rPr>
          <w:rFonts w:hint="eastAsia" w:ascii="仿宋_GB2312" w:hAnsi="Times New Roman" w:eastAsia="仿宋_GB2312" w:cs="Times New Roman"/>
          <w:sz w:val="32"/>
          <w:szCs w:val="32"/>
          <w:highlight w:val="none"/>
          <w:lang w:eastAsia="zh-CN"/>
        </w:rPr>
        <w:t>附属单位上缴收入</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0</w:t>
      </w:r>
      <w:r>
        <w:rPr>
          <w:rFonts w:hint="eastAsia" w:ascii="仿宋_GB2312" w:hAnsi="Times New Roman" w:eastAsia="仿宋_GB2312" w:cs="Times New Roman"/>
          <w:sz w:val="32"/>
          <w:szCs w:val="32"/>
          <w:highlight w:val="none"/>
        </w:rPr>
        <w:t>%；其他收入</w:t>
      </w:r>
      <w:r>
        <w:rPr>
          <w:rFonts w:hint="eastAsia" w:ascii="仿宋_GB2312" w:hAnsi="Times New Roman" w:eastAsia="仿宋_GB2312" w:cs="Times New Roman"/>
          <w:sz w:val="32"/>
          <w:szCs w:val="32"/>
          <w:highlight w:val="none"/>
          <w:lang w:val="en-US" w:eastAsia="zh-CN"/>
        </w:rPr>
        <w:t>365.12</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19.64</w:t>
      </w:r>
      <w:r>
        <w:rPr>
          <w:rFonts w:hint="eastAsia" w:ascii="仿宋_GB2312"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hAnsi="Times New Roman" w:eastAsia="仿宋_GB2312" w:cs="Times New Roman"/>
          <w:sz w:val="32"/>
          <w:szCs w:val="32"/>
          <w:highlight w:val="none"/>
          <w:lang w:val="en-US" w:eastAsia="zh-CN"/>
        </w:rPr>
        <w:t>1900.07</w:t>
      </w:r>
      <w:r>
        <w:rPr>
          <w:rFonts w:hint="eastAsia" w:ascii="仿宋_GB2312" w:hAnsi="Times New Roman" w:eastAsia="仿宋_GB2312" w:cs="Times New Roman"/>
          <w:sz w:val="32"/>
          <w:szCs w:val="32"/>
          <w:highlight w:val="none"/>
        </w:rPr>
        <w:t>万元，其中：基本支出</w:t>
      </w:r>
      <w:r>
        <w:rPr>
          <w:rFonts w:hint="eastAsia" w:ascii="仿宋_GB2312" w:hAnsi="Times New Roman" w:eastAsia="仿宋_GB2312" w:cs="Times New Roman"/>
          <w:sz w:val="32"/>
          <w:szCs w:val="32"/>
          <w:highlight w:val="none"/>
          <w:lang w:val="en-US" w:eastAsia="zh-CN"/>
        </w:rPr>
        <w:t>1411.17</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74.27</w:t>
      </w:r>
      <w:r>
        <w:rPr>
          <w:rFonts w:hint="eastAsia" w:ascii="仿宋_GB2312" w:hAnsi="Times New Roman" w:eastAsia="仿宋_GB2312" w:cs="Times New Roman"/>
          <w:sz w:val="32"/>
          <w:szCs w:val="32"/>
          <w:highlight w:val="none"/>
        </w:rPr>
        <w:t>%；项目支出</w:t>
      </w:r>
      <w:r>
        <w:rPr>
          <w:rFonts w:hint="eastAsia" w:ascii="仿宋_GB2312" w:hAnsi="Times New Roman" w:eastAsia="仿宋_GB2312" w:cs="Times New Roman"/>
          <w:sz w:val="32"/>
          <w:szCs w:val="32"/>
          <w:highlight w:val="none"/>
          <w:lang w:val="en-US" w:eastAsia="zh-CN"/>
        </w:rPr>
        <w:t>488.90</w:t>
      </w:r>
      <w:r>
        <w:rPr>
          <w:rFonts w:hint="eastAsia" w:ascii="仿宋_GB2312" w:hAnsi="Times New Roman" w:eastAsia="仿宋_GB2312" w:cs="Times New Roman"/>
          <w:sz w:val="32"/>
          <w:szCs w:val="32"/>
          <w:highlight w:val="none"/>
        </w:rPr>
        <w:t>万元，占</w:t>
      </w:r>
      <w:r>
        <w:rPr>
          <w:rFonts w:hint="eastAsia" w:ascii="仿宋_GB2312" w:hAnsi="Times New Roman" w:eastAsia="仿宋_GB2312" w:cs="Times New Roman"/>
          <w:sz w:val="32"/>
          <w:szCs w:val="32"/>
          <w:highlight w:val="none"/>
          <w:lang w:val="en-US" w:eastAsia="zh-CN"/>
        </w:rPr>
        <w:t>25.73</w:t>
      </w:r>
      <w:r>
        <w:rPr>
          <w:rFonts w:hint="eastAsia" w:ascii="仿宋_GB2312" w:hAnsi="Times New Roman" w:eastAsia="仿宋_GB2312" w:cs="Times New Roman"/>
          <w:sz w:val="32"/>
          <w:szCs w:val="32"/>
          <w:highlight w:val="none"/>
        </w:rPr>
        <w:t>%；</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w:t>
      </w:r>
      <w:r>
        <w:rPr>
          <w:rFonts w:hint="eastAsia" w:ascii="仿宋_GB2312" w:hAnsi="Times New Roman" w:eastAsia="仿宋_GB2312" w:cs="Times New Roman"/>
          <w:sz w:val="32"/>
          <w:szCs w:val="32"/>
          <w:highlight w:val="none"/>
          <w:lang w:val="en-US" w:eastAsia="zh-CN"/>
        </w:rPr>
        <w:t>计1530.52万元，其中：年初财政拨款结转和结余36.14万元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财政拨款本年收入1494.38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w:t>
      </w:r>
      <w:r>
        <w:rPr>
          <w:rFonts w:hint="eastAsia" w:ascii="仿宋_GB2312" w:hAnsi="Times New Roman" w:eastAsia="仿宋_GB2312" w:cs="Times New Roman"/>
          <w:sz w:val="32"/>
          <w:szCs w:val="32"/>
          <w:highlight w:val="none"/>
          <w:lang w:val="en-US" w:eastAsia="zh-CN"/>
        </w:rPr>
        <w:t>少2012.47万元，下降56.80%，主要原因是：减少了会展中街南学校项目支付工程款及新开校区的大额款项支出。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总计1530.52</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财政拨款本年支出1530.52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w:t>
      </w:r>
      <w:r>
        <w:rPr>
          <w:rFonts w:hint="eastAsia" w:ascii="仿宋_GB2312" w:hAnsi="Times New Roman" w:eastAsia="仿宋_GB2312" w:cs="Times New Roman"/>
          <w:sz w:val="32"/>
          <w:szCs w:val="32"/>
          <w:highlight w:val="none"/>
          <w:lang w:val="en-US" w:eastAsia="zh-CN"/>
        </w:rPr>
        <w:t>减少2012.47万元，下降56.80%，主要原因是：减少了会展中街南学校项目支付工程款及新开校区的大额款项支出。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hAnsi="Times New Roman" w:eastAsia="仿宋_GB2312" w:cs="Times New Roman"/>
          <w:sz w:val="32"/>
          <w:szCs w:val="32"/>
          <w:highlight w:val="none"/>
          <w:lang w:val="en-US" w:eastAsia="zh-CN"/>
        </w:rPr>
        <w:t>与年初预算数相比情况：财政拨款收入总计年初预算数1654.89万元，决算数1530.52万元，预决算差异率-7.52%，主</w:t>
      </w:r>
      <w:r>
        <w:rPr>
          <w:rFonts w:hint="eastAsia" w:ascii="仿宋_GB2312" w:eastAsia="仿宋_GB2312"/>
          <w:sz w:val="32"/>
          <w:szCs w:val="32"/>
          <w:highlight w:val="none"/>
          <w:lang w:eastAsia="zh-CN"/>
        </w:rPr>
        <w:t>要原因是：</w:t>
      </w:r>
      <w:r>
        <w:rPr>
          <w:rFonts w:hint="eastAsia" w:ascii="仿宋_GB2312" w:hAnsi="Times New Roman" w:eastAsia="仿宋_GB2312" w:cs="Times New Roman"/>
          <w:sz w:val="32"/>
          <w:szCs w:val="32"/>
          <w:highlight w:val="none"/>
          <w:lang w:val="en-US" w:eastAsia="zh-CN"/>
        </w:rPr>
        <w:t>减少了会展中街南学校项目支付工程款及新开校区的</w:t>
      </w:r>
      <w:r>
        <w:rPr>
          <w:rFonts w:hint="eastAsia" w:ascii="仿宋_GB2312" w:hAnsi="Times New Roman" w:eastAsia="仿宋_GB2312" w:cs="Times New Roman"/>
          <w:sz w:val="32"/>
          <w:szCs w:val="32"/>
          <w:highlight w:val="none"/>
          <w:shd w:val="clear"/>
          <w:lang w:val="en-US" w:eastAsia="zh-CN"/>
        </w:rPr>
        <w:t>大额款项</w:t>
      </w:r>
      <w:r>
        <w:rPr>
          <w:rFonts w:hint="eastAsia" w:ascii="仿宋_GB2312" w:eastAsia="仿宋_GB2312" w:cs="Times New Roman"/>
          <w:sz w:val="32"/>
          <w:szCs w:val="32"/>
          <w:highlight w:val="none"/>
          <w:shd w:val="clear"/>
          <w:lang w:val="en-US" w:eastAsia="zh-CN"/>
        </w:rPr>
        <w:t>预算安排</w:t>
      </w:r>
      <w:r>
        <w:rPr>
          <w:rFonts w:hint="eastAsia" w:ascii="仿宋_GB2312" w:hAnsi="Times New Roman" w:eastAsia="仿宋_GB2312" w:cs="Times New Roman"/>
          <w:sz w:val="32"/>
          <w:szCs w:val="32"/>
          <w:highlight w:val="none"/>
          <w:shd w:val="clear"/>
          <w:lang w:val="en-US" w:eastAsia="zh-CN"/>
        </w:rPr>
        <w:t>。</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1654.89</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1530.52</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-7.52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Times New Roman" w:eastAsia="仿宋_GB2312" w:cs="Times New Roman"/>
          <w:sz w:val="32"/>
          <w:szCs w:val="32"/>
          <w:highlight w:val="none"/>
          <w:lang w:val="en-US" w:eastAsia="zh-CN"/>
        </w:rPr>
        <w:t>减少了会展中街南学校项目支付工程款及新开校区的大额款项支出。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1530.52</w:t>
      </w:r>
      <w:r>
        <w:rPr>
          <w:rFonts w:hint="eastAsia" w:ascii="仿宋_GB2312" w:eastAsia="仿宋_GB2312"/>
          <w:spacing w:val="0"/>
          <w:sz w:val="32"/>
          <w:szCs w:val="32"/>
          <w:highlight w:val="none"/>
          <w:lang w:eastAsia="zh-CN"/>
        </w:rPr>
        <w:t>万元，占本年支出合计的</w:t>
      </w:r>
      <w:r>
        <w:rPr>
          <w:rFonts w:hint="eastAsia" w:ascii="仿宋_GB2312" w:hAnsi="Times New Roman" w:eastAsia="仿宋_GB2312" w:cs="Times New Roman"/>
          <w:spacing w:val="0"/>
          <w:sz w:val="32"/>
          <w:szCs w:val="32"/>
          <w:highlight w:val="none"/>
          <w:lang w:val="en-US" w:eastAsia="zh-CN"/>
        </w:rPr>
        <w:t>80.55</w:t>
      </w:r>
      <w:r>
        <w:rPr>
          <w:rFonts w:hint="eastAsia" w:ascii="仿宋_GB2312" w:hAnsi="Times New Roman" w:eastAsia="仿宋_GB2312" w:cs="Times New Roman"/>
          <w:spacing w:val="0"/>
          <w:sz w:val="32"/>
          <w:szCs w:val="32"/>
          <w:highlight w:val="none"/>
          <w:lang w:eastAsia="zh-CN"/>
        </w:rPr>
        <w:t>%，与</w:t>
      </w:r>
      <w:r>
        <w:rPr>
          <w:rFonts w:hint="eastAsia" w:ascii="仿宋_GB2312" w:eastAsia="仿宋_GB2312"/>
          <w:spacing w:val="0"/>
          <w:sz w:val="32"/>
          <w:szCs w:val="32"/>
          <w:highlight w:val="none"/>
        </w:rPr>
        <w:t>上年相比，减少</w:t>
      </w:r>
      <w:r>
        <w:rPr>
          <w:rFonts w:hint="eastAsia" w:ascii="仿宋_GB2312" w:hAnsi="Times New Roman" w:eastAsia="仿宋_GB2312" w:cs="Times New Roman"/>
          <w:sz w:val="32"/>
          <w:szCs w:val="32"/>
          <w:highlight w:val="none"/>
          <w:lang w:val="en-US" w:eastAsia="zh-CN"/>
        </w:rPr>
        <w:t>1976.33万元，增下降56.36%，主要原因是：减少了会展中街南学校项目支付工程款及新开校区的大额款项支出。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eastAsia="zh-CN"/>
        </w:rPr>
        <w:t>（二）一般公共预算</w:t>
      </w:r>
      <w:r>
        <w:rPr>
          <w:rFonts w:hint="eastAsia" w:ascii="黑体" w:hAnsi="黑体" w:eastAsia="黑体" w:cs="Times New Roman"/>
          <w:sz w:val="32"/>
          <w:szCs w:val="32"/>
          <w:highlight w:val="none"/>
          <w:lang w:val="en-US" w:eastAsia="zh-CN"/>
        </w:rPr>
        <w:t>财政拨款支出决算</w:t>
      </w:r>
      <w:r>
        <w:rPr>
          <w:rFonts w:hint="eastAsia" w:ascii="黑体" w:hAnsi="黑体" w:eastAsia="黑体" w:cs="Times New Roman"/>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pacing w:val="0"/>
          <w:sz w:val="32"/>
          <w:szCs w:val="32"/>
          <w:highlight w:val="none"/>
        </w:rPr>
      </w:pPr>
      <w:r>
        <w:rPr>
          <w:rFonts w:hint="eastAsia" w:ascii="仿宋_GB2312" w:hAnsi="Times New Roman" w:eastAsia="仿宋_GB2312" w:cs="Times New Roman"/>
          <w:spacing w:val="0"/>
          <w:sz w:val="32"/>
          <w:szCs w:val="32"/>
          <w:highlight w:val="none"/>
        </w:rPr>
        <w:t>1.</w:t>
      </w:r>
      <w:r>
        <w:rPr>
          <w:rFonts w:hint="eastAsia" w:ascii="仿宋_GB2312" w:hAnsi="Times New Roman" w:eastAsia="仿宋_GB2312" w:cs="Times New Roman"/>
          <w:spacing w:val="0"/>
          <w:sz w:val="32"/>
          <w:szCs w:val="32"/>
          <w:highlight w:val="none"/>
          <w:lang w:val="en-US" w:eastAsia="zh-CN"/>
        </w:rPr>
        <w:t>教育支出</w:t>
      </w:r>
      <w:r>
        <w:rPr>
          <w:rFonts w:hint="eastAsia" w:ascii="仿宋_GB2312" w:eastAsia="仿宋_GB2312" w:cs="Times New Roman"/>
          <w:spacing w:val="0"/>
          <w:sz w:val="32"/>
          <w:szCs w:val="32"/>
          <w:highlight w:val="none"/>
          <w:lang w:val="en-US" w:eastAsia="zh-CN"/>
        </w:rPr>
        <w:t>（类）</w:t>
      </w:r>
      <w:r>
        <w:rPr>
          <w:rFonts w:hint="eastAsia" w:ascii="仿宋_GB2312" w:hAnsi="Times New Roman" w:eastAsia="仿宋_GB2312" w:cs="Times New Roman"/>
          <w:spacing w:val="0"/>
          <w:sz w:val="32"/>
          <w:szCs w:val="32"/>
          <w:highlight w:val="none"/>
          <w:lang w:val="en-US" w:eastAsia="zh-CN"/>
        </w:rPr>
        <w:t>1530.52</w:t>
      </w:r>
      <w:r>
        <w:rPr>
          <w:rFonts w:hint="eastAsia" w:ascii="仿宋_GB2312" w:hAnsi="Times New Roman" w:eastAsia="仿宋_GB2312" w:cs="Times New Roman"/>
          <w:spacing w:val="0"/>
          <w:sz w:val="32"/>
          <w:szCs w:val="32"/>
          <w:highlight w:val="none"/>
        </w:rPr>
        <w:t>万元，占</w:t>
      </w:r>
      <w:r>
        <w:rPr>
          <w:rFonts w:hint="eastAsia" w:ascii="仿宋_GB2312" w:hAnsi="Times New Roman" w:eastAsia="仿宋_GB2312" w:cs="Times New Roman"/>
          <w:spacing w:val="0"/>
          <w:sz w:val="32"/>
          <w:szCs w:val="32"/>
          <w:highlight w:val="none"/>
          <w:lang w:val="en-US" w:eastAsia="zh-CN"/>
        </w:rPr>
        <w:t>100</w:t>
      </w:r>
      <w:r>
        <w:rPr>
          <w:rFonts w:hint="eastAsia" w:ascii="仿宋_GB2312" w:hAnsi="Times New Roman" w:eastAsia="仿宋_GB2312" w:cs="Times New Roman"/>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s="Times New Roman"/>
          <w:sz w:val="32"/>
          <w:szCs w:val="32"/>
          <w:highlight w:val="none"/>
          <w:lang w:eastAsia="zh-CN"/>
        </w:rPr>
      </w:pPr>
      <w:r>
        <w:rPr>
          <w:rFonts w:hint="eastAsia" w:ascii="黑体" w:hAnsi="黑体" w:eastAsia="黑体" w:cs="Times New Roman"/>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pacing w:val="0"/>
          <w:sz w:val="32"/>
          <w:szCs w:val="32"/>
          <w:highlight w:val="none"/>
        </w:rPr>
        <w:t>1.</w:t>
      </w:r>
      <w:r>
        <w:rPr>
          <w:rFonts w:hint="eastAsia" w:ascii="仿宋_GB2312" w:hAnsi="Times New Roman" w:eastAsia="仿宋_GB2312" w:cs="Times New Roman"/>
          <w:spacing w:val="0"/>
          <w:sz w:val="32"/>
          <w:szCs w:val="32"/>
          <w:highlight w:val="none"/>
          <w:lang w:val="en-US" w:eastAsia="zh-CN"/>
        </w:rPr>
        <w:t>教育支出</w:t>
      </w:r>
      <w:r>
        <w:rPr>
          <w:rFonts w:hint="eastAsia" w:ascii="仿宋_GB2312" w:hAnsi="Times New Roman" w:eastAsia="仿宋_GB2312" w:cs="Times New Roman"/>
          <w:spacing w:val="0"/>
          <w:sz w:val="32"/>
          <w:szCs w:val="32"/>
          <w:highlight w:val="none"/>
        </w:rPr>
        <w:t>（类）</w:t>
      </w:r>
      <w:r>
        <w:rPr>
          <w:rFonts w:hint="eastAsia" w:ascii="仿宋_GB2312" w:hAnsi="Times New Roman" w:eastAsia="仿宋_GB2312" w:cs="Times New Roman"/>
          <w:spacing w:val="0"/>
          <w:sz w:val="32"/>
          <w:szCs w:val="32"/>
          <w:highlight w:val="none"/>
          <w:lang w:val="en-US" w:eastAsia="zh-CN"/>
        </w:rPr>
        <w:t>普通教育</w:t>
      </w:r>
      <w:r>
        <w:rPr>
          <w:rFonts w:hint="eastAsia" w:ascii="仿宋_GB2312" w:hAnsi="Times New Roman" w:eastAsia="仿宋_GB2312" w:cs="Times New Roman"/>
          <w:spacing w:val="0"/>
          <w:sz w:val="32"/>
          <w:szCs w:val="32"/>
          <w:highlight w:val="none"/>
        </w:rPr>
        <w:t>（款）</w:t>
      </w:r>
      <w:r>
        <w:rPr>
          <w:rFonts w:hint="eastAsia" w:ascii="仿宋_GB2312" w:hAnsi="Times New Roman" w:eastAsia="仿宋_GB2312" w:cs="Times New Roman"/>
          <w:spacing w:val="0"/>
          <w:sz w:val="32"/>
          <w:szCs w:val="32"/>
          <w:highlight w:val="none"/>
          <w:lang w:val="en-US" w:eastAsia="zh-CN"/>
        </w:rPr>
        <w:t>小学教育</w:t>
      </w:r>
      <w:r>
        <w:rPr>
          <w:rFonts w:hint="eastAsia" w:ascii="仿宋_GB2312" w:hAnsi="Times New Roman" w:eastAsia="仿宋_GB2312" w:cs="Times New Roman"/>
          <w:spacing w:val="0"/>
          <w:sz w:val="32"/>
          <w:szCs w:val="32"/>
          <w:highlight w:val="none"/>
        </w:rPr>
        <w:t>（项）:</w:t>
      </w:r>
      <w:r>
        <w:rPr>
          <w:rFonts w:hint="eastAsia" w:ascii="仿宋_GB2312" w:hAnsi="Times New Roman" w:eastAsia="仿宋_GB2312" w:cs="Times New Roman"/>
          <w:spacing w:val="0"/>
          <w:sz w:val="32"/>
          <w:szCs w:val="32"/>
          <w:highlight w:val="none"/>
          <w:lang w:val="en-US" w:eastAsia="zh-CN"/>
        </w:rPr>
        <w:t>支出决算数</w:t>
      </w:r>
      <w:r>
        <w:rPr>
          <w:rFonts w:hint="eastAsia" w:ascii="仿宋_GB2312" w:hAnsi="Times New Roman" w:eastAsia="仿宋_GB2312" w:cs="Times New Roman"/>
          <w:spacing w:val="0"/>
          <w:sz w:val="32"/>
          <w:szCs w:val="32"/>
          <w:highlight w:val="none"/>
        </w:rPr>
        <w:t>为</w:t>
      </w:r>
      <w:r>
        <w:rPr>
          <w:rFonts w:hint="eastAsia" w:ascii="仿宋_GB2312" w:hAnsi="Times New Roman" w:eastAsia="仿宋_GB2312" w:cs="Times New Roman"/>
          <w:spacing w:val="0"/>
          <w:sz w:val="32"/>
          <w:szCs w:val="32"/>
          <w:highlight w:val="none"/>
          <w:lang w:val="en-US" w:eastAsia="zh-CN"/>
        </w:rPr>
        <w:t>1530.52</w:t>
      </w:r>
      <w:r>
        <w:rPr>
          <w:rFonts w:hint="eastAsia" w:ascii="仿宋_GB2312" w:hAnsi="Times New Roman" w:eastAsia="仿宋_GB2312" w:cs="Times New Roman"/>
          <w:spacing w:val="0"/>
          <w:sz w:val="32"/>
          <w:szCs w:val="32"/>
          <w:highlight w:val="none"/>
        </w:rPr>
        <w:t>万元，比上年</w:t>
      </w:r>
      <w:r>
        <w:rPr>
          <w:rFonts w:hint="eastAsia" w:ascii="仿宋_GB2312" w:hAnsi="Times New Roman" w:eastAsia="仿宋_GB2312" w:cs="Times New Roman"/>
          <w:spacing w:val="0"/>
          <w:sz w:val="32"/>
          <w:szCs w:val="32"/>
          <w:highlight w:val="none"/>
          <w:lang w:val="en-US" w:eastAsia="zh-CN"/>
        </w:rPr>
        <w:t>决算</w:t>
      </w:r>
      <w:r>
        <w:rPr>
          <w:rFonts w:hint="eastAsia" w:ascii="仿宋_GB2312" w:hAnsi="Times New Roman" w:eastAsia="仿宋_GB2312" w:cs="Times New Roman"/>
          <w:spacing w:val="0"/>
          <w:sz w:val="32"/>
          <w:szCs w:val="32"/>
          <w:highlight w:val="none"/>
        </w:rPr>
        <w:t>减少</w:t>
      </w:r>
      <w:r>
        <w:rPr>
          <w:rFonts w:hint="eastAsia" w:ascii="仿宋_GB2312" w:hAnsi="Times New Roman" w:eastAsia="仿宋_GB2312" w:cs="Times New Roman"/>
          <w:spacing w:val="0"/>
          <w:sz w:val="32"/>
          <w:szCs w:val="32"/>
          <w:highlight w:val="none"/>
          <w:lang w:val="en-US" w:eastAsia="zh-CN"/>
        </w:rPr>
        <w:t>1887.58</w:t>
      </w:r>
      <w:r>
        <w:rPr>
          <w:rFonts w:hint="eastAsia" w:ascii="仿宋_GB2312" w:hAnsi="Times New Roman" w:eastAsia="仿宋_GB2312" w:cs="Times New Roman"/>
          <w:spacing w:val="0"/>
          <w:sz w:val="32"/>
          <w:szCs w:val="32"/>
          <w:highlight w:val="none"/>
        </w:rPr>
        <w:t>万元，下降</w:t>
      </w:r>
      <w:r>
        <w:rPr>
          <w:rFonts w:hint="eastAsia" w:ascii="仿宋_GB2312" w:hAnsi="Times New Roman" w:eastAsia="仿宋_GB2312" w:cs="Times New Roman"/>
          <w:spacing w:val="0"/>
          <w:sz w:val="32"/>
          <w:szCs w:val="32"/>
          <w:highlight w:val="none"/>
          <w:lang w:val="en-US" w:eastAsia="zh-CN"/>
        </w:rPr>
        <w:t>55.22</w:t>
      </w:r>
      <w:r>
        <w:rPr>
          <w:rFonts w:hint="eastAsia" w:ascii="仿宋_GB2312" w:hAnsi="Times New Roman" w:eastAsia="仿宋_GB2312" w:cs="Times New Roman"/>
          <w:spacing w:val="0"/>
          <w:sz w:val="32"/>
          <w:szCs w:val="32"/>
          <w:highlight w:val="none"/>
        </w:rPr>
        <w:t>%</w:t>
      </w:r>
      <w:r>
        <w:rPr>
          <w:rFonts w:hint="eastAsia" w:ascii="仿宋_GB2312" w:hAnsi="Times New Roman" w:eastAsia="仿宋_GB2312" w:cs="Times New Roman"/>
          <w:spacing w:val="0"/>
          <w:sz w:val="32"/>
          <w:szCs w:val="32"/>
          <w:highlight w:val="none"/>
          <w:lang w:eastAsia="zh-CN"/>
        </w:rPr>
        <w:t>，</w:t>
      </w:r>
      <w:r>
        <w:rPr>
          <w:rFonts w:hint="eastAsia" w:ascii="仿宋_GB2312" w:hAnsi="Times New Roman" w:eastAsia="仿宋_GB2312" w:cs="Times New Roman"/>
          <w:spacing w:val="0"/>
          <w:sz w:val="32"/>
          <w:szCs w:val="32"/>
          <w:highlight w:val="none"/>
        </w:rPr>
        <w:t>主要原因是：</w:t>
      </w:r>
      <w:r>
        <w:rPr>
          <w:rFonts w:hint="eastAsia" w:ascii="仿宋_GB2312" w:hAnsi="Times New Roman" w:eastAsia="仿宋_GB2312" w:cs="Times New Roman"/>
          <w:spacing w:val="0"/>
          <w:sz w:val="32"/>
          <w:szCs w:val="32"/>
          <w:highlight w:val="none"/>
          <w:lang w:val="en-US" w:eastAsia="zh-CN"/>
        </w:rPr>
        <w:t>减少了会展中街</w:t>
      </w:r>
      <w:r>
        <w:rPr>
          <w:rFonts w:hint="eastAsia" w:ascii="仿宋_GB2312" w:hAnsi="Times New Roman" w:eastAsia="仿宋_GB2312" w:cs="Times New Roman"/>
          <w:sz w:val="32"/>
          <w:szCs w:val="32"/>
          <w:highlight w:val="none"/>
          <w:lang w:val="en-US" w:eastAsia="zh-CN"/>
        </w:rPr>
        <w:t>南学校项目支付工程款及新开校区的大额款项支出。</w:t>
      </w:r>
    </w:p>
    <w:p>
      <w:pPr>
        <w:spacing w:line="600" w:lineRule="exact"/>
        <w:ind w:firstLine="640" w:firstLineChars="200"/>
        <w:rPr>
          <w:rFonts w:hint="eastAsia" w:ascii="仿宋_GB2312" w:eastAsia="仿宋_GB2312"/>
          <w:kern w:val="0"/>
          <w:sz w:val="32"/>
          <w:highlight w:val="none"/>
          <w:lang w:val="en-US" w:eastAsia="zh-CN"/>
        </w:rPr>
      </w:pPr>
      <w:r>
        <w:rPr>
          <w:rFonts w:hint="eastAsia" w:ascii="仿宋_GB2312" w:eastAsia="仿宋_GB2312"/>
          <w:kern w:val="0"/>
          <w:sz w:val="32"/>
          <w:highlight w:val="none"/>
          <w:lang w:val="en-US" w:eastAsia="zh-CN"/>
        </w:rPr>
        <w:t>2、社会保障和就业支出</w:t>
      </w:r>
      <w:r>
        <w:rPr>
          <w:rFonts w:hint="eastAsia" w:ascii="仿宋_GB2312" w:eastAsia="仿宋_GB2312"/>
          <w:kern w:val="0"/>
          <w:sz w:val="32"/>
          <w:highlight w:val="none"/>
          <w:lang w:eastAsia="zh-CN"/>
        </w:rPr>
        <w:t>（类）行政事业单位养老支出（款）机关事业单位基本养老保险缴费支出（项）</w:t>
      </w:r>
      <w:r>
        <w:rPr>
          <w:rFonts w:hint="eastAsia" w:ascii="仿宋_GB2312" w:eastAsia="仿宋_GB2312"/>
          <w:kern w:val="0"/>
          <w:sz w:val="32"/>
          <w:highlight w:val="none"/>
          <w:lang w:val="en-US" w:eastAsia="zh-CN"/>
        </w:rPr>
        <w:t>支出决算数0万元，比上年决算减少88.75万元，下降100%，主要原因是：本年财政将养老保险缴费支出安排在小学教育。</w:t>
      </w:r>
    </w:p>
    <w:p>
      <w:pPr>
        <w:spacing w:line="600" w:lineRule="exact"/>
        <w:ind w:firstLine="640" w:firstLineChars="200"/>
        <w:rPr>
          <w:rFonts w:hint="default" w:ascii="仿宋_GB2312" w:eastAsia="仿宋_GB2312"/>
          <w:kern w:val="0"/>
          <w:sz w:val="32"/>
          <w:highlight w:val="none"/>
          <w:lang w:val="en-US" w:eastAsia="zh-CN"/>
        </w:rPr>
      </w:pPr>
      <w:r>
        <w:rPr>
          <w:rFonts w:hint="eastAsia" w:ascii="仿宋_GB2312" w:eastAsia="仿宋_GB2312"/>
          <w:kern w:val="0"/>
          <w:sz w:val="32"/>
          <w:highlight w:val="none"/>
          <w:lang w:val="en-US" w:eastAsia="zh-CN"/>
        </w:rPr>
        <w:t>3、教育支出</w:t>
      </w:r>
      <w:r>
        <w:rPr>
          <w:rFonts w:hint="eastAsia" w:ascii="仿宋_GB2312" w:eastAsia="仿宋_GB2312"/>
          <w:kern w:val="0"/>
          <w:sz w:val="32"/>
          <w:highlight w:val="none"/>
          <w:lang w:eastAsia="zh-CN"/>
        </w:rPr>
        <w:t>（类）教育附加安排的支出（款）其他教育附加费安排的支出（项）</w:t>
      </w:r>
      <w:r>
        <w:rPr>
          <w:rFonts w:hint="eastAsia" w:ascii="仿宋_GB2312" w:eastAsia="仿宋_GB2312"/>
          <w:kern w:val="0"/>
          <w:sz w:val="32"/>
          <w:highlight w:val="none"/>
          <w:lang w:val="en-US" w:eastAsia="zh-CN"/>
        </w:rPr>
        <w:t>支出决算数0万元，比上年决算减少2.81万元，下降100%，主要原因是：本年我单位未安排此项支出。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hAnsi="Times New Roman" w:eastAsia="仿宋_GB2312" w:cs="Times New Roman"/>
          <w:sz w:val="32"/>
          <w:szCs w:val="32"/>
          <w:highlight w:val="none"/>
          <w:lang w:val="en-US" w:eastAsia="zh-CN"/>
        </w:rPr>
        <w:t>1411.03</w:t>
      </w:r>
      <w:r>
        <w:rPr>
          <w:rFonts w:hint="eastAsia" w:ascii="仿宋_GB2312" w:hAnsi="Times New Roman" w:eastAsia="仿宋_GB2312" w:cs="Times New Roman"/>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人员经费1386.63万元，包括：基本工资、津贴补贴、奖金、绩效工资、机关事业单位基本养老保险缴费</w:t>
      </w:r>
      <w:r>
        <w:rPr>
          <w:rFonts w:hint="default"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职工基本医疗保险缴费、公务员医疗补助缴费、其他社会保障缴费、住房公积金、退休费、奖励金、其他对个人和家庭的补助。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公用经费24.4万元，包括：水费、电费、取暖费、工会经费、其他商品和服务支出。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本年单位无</w:t>
      </w:r>
      <w:r>
        <w:rPr>
          <w:rFonts w:hint="eastAsia" w:ascii="仿宋_GB2312" w:eastAsia="仿宋_GB2312"/>
          <w:sz w:val="32"/>
          <w:szCs w:val="32"/>
          <w:highlight w:val="none"/>
        </w:rPr>
        <w:t>“三公”经费支出。其中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rPr>
        <w:t>本年单位无因公出国（境）费支出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本年单位无</w:t>
      </w:r>
      <w:r>
        <w:rPr>
          <w:rFonts w:hint="eastAsia" w:ascii="仿宋_GB2312" w:eastAsia="仿宋_GB2312"/>
          <w:sz w:val="32"/>
          <w:szCs w:val="32"/>
          <w:highlight w:val="none"/>
        </w:rPr>
        <w:t>公务用车购置及运行维护费支出</w:t>
      </w:r>
      <w:bookmarkStart w:id="54" w:name="_GoBack"/>
      <w:bookmarkEnd w:id="54"/>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本单位无</w:t>
      </w:r>
      <w:r>
        <w:rPr>
          <w:rFonts w:hint="eastAsia" w:ascii="仿宋_GB2312" w:eastAsia="仿宋_GB2312"/>
          <w:sz w:val="32"/>
          <w:szCs w:val="32"/>
          <w:highlight w:val="none"/>
        </w:rPr>
        <w:t>公务接待费支出。具体情况如下：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因公出国（境）费支出。单位全年安排的因公出国（境）团组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公务用车运行维护费开支。公务用车购置数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公务接待费。单位全年安排的国内公务接待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s="宋体"/>
          <w:kern w:val="0"/>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lang w:val="en-US" w:eastAsia="zh-CN"/>
        </w:rPr>
        <w:t>本年单位无</w:t>
      </w:r>
      <w:r>
        <w:rPr>
          <w:rFonts w:hint="eastAsia" w:ascii="仿宋_GB2312" w:hAnsi="宋体" w:eastAsia="仿宋_GB2312" w:cs="宋体"/>
          <w:kern w:val="0"/>
          <w:sz w:val="32"/>
          <w:szCs w:val="32"/>
          <w:highlight w:val="none"/>
        </w:rPr>
        <w:t>“三公”经费支出。其中：因公出国（境）费</w:t>
      </w:r>
      <w:r>
        <w:rPr>
          <w:rFonts w:hint="eastAsia" w:ascii="仿宋_GB2312" w:hAnsi="宋体" w:eastAsia="仿宋_GB2312" w:cs="宋体"/>
          <w:kern w:val="0"/>
          <w:sz w:val="32"/>
          <w:szCs w:val="32"/>
          <w:highlight w:val="none"/>
          <w:lang w:val="en-US" w:eastAsia="zh-CN"/>
        </w:rPr>
        <w:t>全年预算数0</w:t>
      </w:r>
      <w:r>
        <w:rPr>
          <w:rFonts w:hint="eastAsia" w:ascii="仿宋_GB2312" w:hAnsi="宋体" w:eastAsia="仿宋_GB2312" w:cs="宋体"/>
          <w:kern w:val="0"/>
          <w:sz w:val="32"/>
          <w:szCs w:val="32"/>
          <w:highlight w:val="none"/>
        </w:rPr>
        <w:t>万元，决算数</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万元，预决算差异率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主要原因是：</w:t>
      </w:r>
      <w:r>
        <w:rPr>
          <w:rFonts w:hint="eastAsia" w:ascii="仿宋_GB2312" w:hAnsi="宋体" w:eastAsia="仿宋_GB2312" w:cs="宋体"/>
          <w:kern w:val="0"/>
          <w:sz w:val="32"/>
          <w:szCs w:val="32"/>
          <w:highlight w:val="none"/>
          <w:lang w:val="en-US" w:eastAsia="zh-CN"/>
        </w:rPr>
        <w:t>本年单位无</w:t>
      </w:r>
      <w:r>
        <w:rPr>
          <w:rFonts w:hint="eastAsia" w:ascii="仿宋_GB2312" w:hAnsi="宋体" w:eastAsia="仿宋_GB2312" w:cs="宋体"/>
          <w:kern w:val="0"/>
          <w:sz w:val="32"/>
          <w:szCs w:val="32"/>
          <w:highlight w:val="none"/>
        </w:rPr>
        <w:t>因公出国（境）费；公务用车购置费</w:t>
      </w:r>
      <w:r>
        <w:rPr>
          <w:rFonts w:hint="eastAsia" w:ascii="仿宋_GB2312" w:hAnsi="宋体" w:eastAsia="仿宋_GB2312" w:cs="宋体"/>
          <w:kern w:val="0"/>
          <w:sz w:val="32"/>
          <w:szCs w:val="32"/>
          <w:highlight w:val="none"/>
          <w:lang w:val="en-US" w:eastAsia="zh-CN"/>
        </w:rPr>
        <w:t>全年</w:t>
      </w:r>
      <w:r>
        <w:rPr>
          <w:rFonts w:hint="eastAsia" w:ascii="仿宋_GB2312" w:hAnsi="宋体" w:eastAsia="仿宋_GB2312" w:cs="宋体"/>
          <w:kern w:val="0"/>
          <w:sz w:val="32"/>
          <w:szCs w:val="32"/>
          <w:highlight w:val="none"/>
        </w:rPr>
        <w:t>预算数</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万元，决算数</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万元，预决算差异率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主要原因是：</w:t>
      </w:r>
      <w:r>
        <w:rPr>
          <w:rFonts w:hint="eastAsia" w:ascii="仿宋_GB2312" w:hAnsi="宋体" w:eastAsia="仿宋_GB2312" w:cs="宋体"/>
          <w:kern w:val="0"/>
          <w:sz w:val="32"/>
          <w:szCs w:val="32"/>
          <w:highlight w:val="none"/>
          <w:lang w:val="en-US" w:eastAsia="zh-CN"/>
        </w:rPr>
        <w:t>本年单位无</w:t>
      </w:r>
      <w:r>
        <w:rPr>
          <w:rFonts w:hint="eastAsia" w:ascii="仿宋_GB2312" w:hAnsi="宋体" w:eastAsia="仿宋_GB2312" w:cs="宋体"/>
          <w:kern w:val="0"/>
          <w:sz w:val="32"/>
          <w:szCs w:val="32"/>
          <w:highlight w:val="none"/>
          <w:lang w:eastAsia="zh-CN"/>
        </w:rPr>
        <w:t>公</w:t>
      </w:r>
      <w:r>
        <w:rPr>
          <w:rFonts w:hint="eastAsia" w:ascii="仿宋_GB2312" w:hAnsi="宋体" w:eastAsia="仿宋_GB2312" w:cs="宋体"/>
          <w:kern w:val="0"/>
          <w:sz w:val="32"/>
          <w:szCs w:val="32"/>
          <w:highlight w:val="none"/>
        </w:rPr>
        <w:t>务用车购置费；公务用车运行费</w:t>
      </w:r>
      <w:r>
        <w:rPr>
          <w:rFonts w:hint="eastAsia" w:ascii="仿宋_GB2312" w:hAnsi="宋体" w:eastAsia="仿宋_GB2312" w:cs="宋体"/>
          <w:kern w:val="0"/>
          <w:sz w:val="32"/>
          <w:szCs w:val="32"/>
          <w:highlight w:val="none"/>
          <w:lang w:val="en-US" w:eastAsia="zh-CN"/>
        </w:rPr>
        <w:t>全年</w:t>
      </w:r>
      <w:r>
        <w:rPr>
          <w:rFonts w:hint="eastAsia" w:ascii="仿宋_GB2312" w:hAnsi="宋体" w:eastAsia="仿宋_GB2312" w:cs="宋体"/>
          <w:kern w:val="0"/>
          <w:sz w:val="32"/>
          <w:szCs w:val="32"/>
          <w:highlight w:val="none"/>
        </w:rPr>
        <w:t>预算数</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万元，决算数</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万元，预决算差异率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主要原因是：</w:t>
      </w:r>
      <w:r>
        <w:rPr>
          <w:rFonts w:hint="eastAsia" w:ascii="仿宋_GB2312" w:hAnsi="宋体" w:eastAsia="仿宋_GB2312" w:cs="宋体"/>
          <w:kern w:val="0"/>
          <w:sz w:val="32"/>
          <w:szCs w:val="32"/>
          <w:highlight w:val="none"/>
          <w:lang w:val="en-US" w:eastAsia="zh-CN"/>
        </w:rPr>
        <w:t>本年单位无</w:t>
      </w:r>
      <w:r>
        <w:rPr>
          <w:rFonts w:hint="eastAsia" w:ascii="仿宋_GB2312" w:hAnsi="宋体" w:eastAsia="仿宋_GB2312" w:cs="宋体"/>
          <w:kern w:val="0"/>
          <w:sz w:val="32"/>
          <w:szCs w:val="32"/>
          <w:highlight w:val="none"/>
        </w:rPr>
        <w:t>公务用车运行费；公务接待费</w:t>
      </w:r>
      <w:r>
        <w:rPr>
          <w:rFonts w:hint="eastAsia" w:ascii="仿宋_GB2312" w:hAnsi="宋体" w:eastAsia="仿宋_GB2312" w:cs="宋体"/>
          <w:kern w:val="0"/>
          <w:sz w:val="32"/>
          <w:szCs w:val="32"/>
          <w:highlight w:val="none"/>
          <w:lang w:val="en-US" w:eastAsia="zh-CN"/>
        </w:rPr>
        <w:t>全年</w:t>
      </w:r>
      <w:r>
        <w:rPr>
          <w:rFonts w:hint="eastAsia" w:ascii="仿宋_GB2312" w:hAnsi="宋体" w:eastAsia="仿宋_GB2312" w:cs="宋体"/>
          <w:kern w:val="0"/>
          <w:sz w:val="32"/>
          <w:szCs w:val="32"/>
          <w:highlight w:val="none"/>
        </w:rPr>
        <w:t>预算数</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万元，决算数</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万元，预决算差异率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主要原因是：</w:t>
      </w:r>
      <w:r>
        <w:rPr>
          <w:rFonts w:hint="eastAsia" w:ascii="仿宋_GB2312" w:hAnsi="宋体" w:eastAsia="仿宋_GB2312" w:cs="宋体"/>
          <w:kern w:val="0"/>
          <w:sz w:val="32"/>
          <w:szCs w:val="32"/>
          <w:highlight w:val="none"/>
          <w:lang w:val="en-US" w:eastAsia="zh-CN"/>
        </w:rPr>
        <w:t>本年单位无</w:t>
      </w:r>
      <w:r>
        <w:rPr>
          <w:rFonts w:hint="eastAsia" w:ascii="仿宋_GB2312" w:hAnsi="宋体" w:eastAsia="仿宋_GB2312" w:cs="宋体"/>
          <w:kern w:val="0"/>
          <w:sz w:val="32"/>
          <w:szCs w:val="32"/>
          <w:highlight w:val="none"/>
        </w:rPr>
        <w:t>公务接待费。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highlight w:val="none"/>
          <w:lang w:val="en-US" w:eastAsia="zh-CN"/>
        </w:rPr>
        <w:t>乌鲁木齐市第五十九小学</w:t>
      </w:r>
      <w:r>
        <w:rPr>
          <w:rFonts w:hint="eastAsia" w:ascii="仿宋_GB2312" w:eastAsia="仿宋_GB2312"/>
          <w:sz w:val="32"/>
          <w:szCs w:val="32"/>
          <w:highlight w:val="none"/>
        </w:rPr>
        <w:t>（事业单位）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24.4</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101.05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80.55</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hAnsi="Times New Roman" w:eastAsia="仿宋_GB2312" w:cs="Times New Roman"/>
          <w:sz w:val="32"/>
          <w:szCs w:val="32"/>
          <w:highlight w:val="none"/>
          <w:lang w:val="en-US" w:eastAsia="zh-CN"/>
        </w:rPr>
        <w:t>减少了会展中街南学校项目支付工程款及新开校区的大额款项支出。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w:t>
      </w:r>
      <w:r>
        <w:rPr>
          <w:rFonts w:hint="eastAsia" w:ascii="仿宋_GB2312" w:hAnsi="Times New Roman" w:eastAsia="仿宋_GB2312" w:cs="Times New Roman"/>
          <w:spacing w:val="0"/>
          <w:sz w:val="32"/>
          <w:szCs w:val="32"/>
          <w:highlight w:val="none"/>
          <w:lang w:eastAsia="zh-CN"/>
        </w:rPr>
        <w:t>总额</w:t>
      </w:r>
      <w:r>
        <w:rPr>
          <w:rFonts w:hint="eastAsia" w:ascii="仿宋_GB2312" w:hAnsi="Times New Roman" w:eastAsia="仿宋_GB2312" w:cs="Times New Roman"/>
          <w:spacing w:val="0"/>
          <w:sz w:val="32"/>
          <w:szCs w:val="32"/>
          <w:highlight w:val="none"/>
          <w:lang w:val="en-US" w:eastAsia="zh-CN"/>
        </w:rPr>
        <w:t>358.95</w:t>
      </w:r>
      <w:r>
        <w:rPr>
          <w:rFonts w:hint="eastAsia" w:ascii="仿宋_GB2312" w:hAnsi="Times New Roman" w:eastAsia="仿宋_GB2312" w:cs="Times New Roman"/>
          <w:spacing w:val="0"/>
          <w:sz w:val="32"/>
          <w:szCs w:val="32"/>
          <w:highlight w:val="none"/>
          <w:lang w:eastAsia="zh-CN"/>
        </w:rPr>
        <w:t>万元</w:t>
      </w:r>
      <w:r>
        <w:rPr>
          <w:rFonts w:hint="eastAsia" w:ascii="仿宋_GB2312" w:eastAsia="仿宋_GB2312"/>
          <w:sz w:val="32"/>
          <w:szCs w:val="32"/>
          <w:highlight w:val="none"/>
        </w:rPr>
        <w:t>，其中：政府采购货物支出</w:t>
      </w:r>
      <w:r>
        <w:rPr>
          <w:rFonts w:hint="eastAsia" w:ascii="仿宋_GB2312" w:eastAsia="仿宋_GB2312"/>
          <w:sz w:val="32"/>
          <w:szCs w:val="32"/>
          <w:highlight w:val="none"/>
          <w:lang w:val="en-US" w:eastAsia="zh-CN"/>
        </w:rPr>
        <w:t>346.95</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12.00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Times New Roman" w:eastAsia="仿宋_GB2312" w:cs="Times New Roman"/>
          <w:sz w:val="32"/>
          <w:szCs w:val="32"/>
          <w:highlight w:val="none"/>
          <w:lang w:val="en-US" w:eastAsia="zh-CN"/>
        </w:rPr>
      </w:pPr>
      <w:r>
        <w:rPr>
          <w:rFonts w:hint="eastAsia" w:ascii="仿宋_GB2312" w:hAnsi="Times New Roman" w:eastAsia="仿宋_GB2312" w:cs="Times New Roman"/>
          <w:sz w:val="32"/>
          <w:szCs w:val="32"/>
          <w:highlight w:val="none"/>
          <w:lang w:val="en-US" w:eastAsia="zh-CN"/>
        </w:rPr>
        <w:t>授予中小企业合同金额358.95万元，占政府采购支出总额的100%，其中：授予小微企业合同金额262.45万元，占政府采购支出总额的73.12%。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3131.87万元，房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rPr>
        <w:t>7,830.83</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rPr>
        <w:t>1,654.36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eastAsia="zh-CN"/>
        </w:rPr>
        <w:t>无</w:t>
      </w:r>
      <w:r>
        <w:rPr>
          <w:rFonts w:hint="eastAsia" w:ascii="仿宋_GB2312" w:eastAsia="仿宋_GB2312"/>
          <w:sz w:val="32"/>
          <w:szCs w:val="32"/>
          <w:highlight w:val="none"/>
        </w:rPr>
        <w:t>其他用车；单价100万元（含）以上设备（不含车辆）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仿宋_GB2312" w:eastAsia="仿宋_GB2312"/>
          <w:sz w:val="32"/>
          <w:szCs w:val="32"/>
          <w:highlight w:val="none"/>
          <w:lang w:val="en-US" w:eastAsia="zh-CN"/>
        </w:rPr>
      </w:pPr>
      <w:bookmarkStart w:id="34" w:name="_Toc3250"/>
      <w:bookmarkStart w:id="35" w:name="_Toc24143"/>
      <w:r>
        <w:rPr>
          <w:rFonts w:hint="eastAsia" w:ascii="仿宋_GB2312" w:eastAsia="仿宋_GB2312"/>
          <w:sz w:val="32"/>
          <w:szCs w:val="32"/>
          <w:highlight w:val="none"/>
          <w:lang w:val="en-US" w:eastAsia="zh-CN"/>
        </w:rPr>
        <w:t>根据预算绩效管理要求，我单位2022年度开展预算绩效评价项目5个，全年预算数83.46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全年执行数83.26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。预算绩效管理取得的成效：一是</w:t>
      </w:r>
      <w:r>
        <w:rPr>
          <w:rFonts w:hint="eastAsia" w:ascii="仿宋_GB2312" w:eastAsia="仿宋_GB2312"/>
          <w:sz w:val="32"/>
          <w:szCs w:val="32"/>
          <w:highlight w:val="none"/>
          <w:lang w:eastAsia="zh-CN"/>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w:t>
      </w:r>
      <w:r>
        <w:rPr>
          <w:rFonts w:hint="eastAsia" w:ascii="仿宋_GB2312" w:eastAsia="仿宋_GB2312"/>
          <w:sz w:val="32"/>
          <w:szCs w:val="32"/>
          <w:highlight w:val="none"/>
          <w:lang w:val="en-US" w:eastAsia="zh-CN"/>
        </w:rPr>
        <w:t>；二是</w:t>
      </w:r>
      <w:r>
        <w:rPr>
          <w:rFonts w:hint="eastAsia" w:ascii="仿宋_GB2312" w:eastAsia="仿宋_GB2312"/>
          <w:sz w:val="32"/>
          <w:szCs w:val="32"/>
          <w:highlight w:val="none"/>
          <w:lang w:eastAsia="zh-CN"/>
        </w:rPr>
        <w:t>专项资金报账拨付要附真实、有效、合法的凭证。加强审计监督，对专项资金要定期或不定期进行督查，确保项目资金转款专用，要全程参与项目验收和采购项目接交。专项资金报账拨付要附真实、有效、合法的凭证。加强审计监督，对专项资金要定期或不定期进行督查，确保项目资金转款专用，要全程参与项目验收和采购项目接交。</w:t>
      </w:r>
      <w:r>
        <w:rPr>
          <w:rFonts w:hint="eastAsia" w:ascii="仿宋_GB2312" w:eastAsia="仿宋_GB2312"/>
          <w:sz w:val="32"/>
          <w:szCs w:val="32"/>
          <w:highlight w:val="none"/>
          <w:lang w:val="en-US" w:eastAsia="zh-CN"/>
        </w:rPr>
        <w:t>发现的问题及原因：</w:t>
      </w:r>
      <w:r>
        <w:rPr>
          <w:rFonts w:hint="eastAsia" w:ascii="仿宋_GB2312" w:eastAsia="仿宋_GB2312"/>
          <w:sz w:val="32"/>
          <w:szCs w:val="32"/>
          <w:highlight w:val="none"/>
          <w:lang w:eastAsia="zh-CN"/>
        </w:rPr>
        <w:t>专项资金报账拨付要附真实、有效、合法的凭证。加强审计监督，对专项资金要定期或不定期进行督查，确保项目资金转款专用，要全程参与项目验收和采购项目接交。发现的问题及原因：项目预算不够细化，没有合理化、科学化、规范化的预算编制，没有建立专项资金管理小组，最大限度的提升对专项资金的使用与管理。下一步改进措施：一是预算编制时考虑单位各个项目的收支情况，协调好各个部门，各个岗位之间的责任，这样才能保障预算方案可以有效执行。二是要有合理化的、科学化、规范化的预算编制，采用动态化预算编制方法，缩短预算执行周期，建立专门的专项经费管理小组，最大限度提升对专项经费的管理与使用。三是加强预算管理，完善专项资金管理办法，提高领导干部的依法行政意识，完善跟踪检查制度，及时督促落实。加强日常办公经费，常态化活动经费 的管理制度建设。</w:t>
      </w:r>
      <w:r>
        <w:rPr>
          <w:rFonts w:hint="eastAsia" w:ascii="仿宋_GB2312" w:eastAsia="仿宋_GB2312"/>
          <w:sz w:val="32"/>
          <w:szCs w:val="32"/>
          <w:highlight w:val="none"/>
          <w:lang w:val="en-US" w:eastAsia="zh-CN"/>
        </w:rPr>
        <w:t>具体项目自评情况附项目支出绩效自评表。</w:t>
      </w:r>
    </w:p>
    <w:tbl>
      <w:tblPr>
        <w:tblStyle w:val="8"/>
        <w:tblpPr w:leftFromText="180" w:rightFromText="180" w:vertAnchor="text" w:horzAnchor="page" w:tblpX="2455" w:tblpY="149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
        <w:gridCol w:w="9"/>
        <w:gridCol w:w="206"/>
        <w:gridCol w:w="274"/>
        <w:gridCol w:w="273"/>
        <w:gridCol w:w="73"/>
        <w:gridCol w:w="114"/>
        <w:gridCol w:w="300"/>
        <w:gridCol w:w="225"/>
        <w:gridCol w:w="244"/>
        <w:gridCol w:w="322"/>
        <w:gridCol w:w="397"/>
        <w:gridCol w:w="58"/>
        <w:gridCol w:w="124"/>
        <w:gridCol w:w="392"/>
        <w:gridCol w:w="300"/>
        <w:gridCol w:w="26"/>
        <w:gridCol w:w="128"/>
        <w:gridCol w:w="285"/>
        <w:gridCol w:w="232"/>
        <w:gridCol w:w="310"/>
        <w:gridCol w:w="31"/>
        <w:gridCol w:w="27"/>
        <w:gridCol w:w="315"/>
        <w:gridCol w:w="351"/>
        <w:gridCol w:w="87"/>
        <w:gridCol w:w="37"/>
        <w:gridCol w:w="201"/>
        <w:gridCol w:w="281"/>
        <w:gridCol w:w="20"/>
        <w:gridCol w:w="48"/>
        <w:gridCol w:w="315"/>
        <w:gridCol w:w="196"/>
        <w:gridCol w:w="104"/>
        <w:gridCol w:w="290"/>
        <w:gridCol w:w="174"/>
        <w:gridCol w:w="119"/>
        <w:gridCol w:w="361"/>
        <w:gridCol w:w="3"/>
        <w:gridCol w:w="259"/>
        <w:gridCol w:w="291"/>
        <w:gridCol w:w="295"/>
        <w:gridCol w:w="66"/>
        <w:gridCol w:w="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405" w:hRule="atLeast"/>
        </w:trPr>
        <w:tc>
          <w:tcPr>
            <w:tcW w:w="4823" w:type="pct"/>
            <w:gridSpan w:val="43"/>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lang w:val="en-US" w:eastAsia="zh-CN"/>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405" w:hRule="atLeast"/>
        </w:trPr>
        <w:tc>
          <w:tcPr>
            <w:tcW w:w="4823" w:type="pct"/>
            <w:gridSpan w:val="4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32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4501" w:type="pct"/>
            <w:gridSpan w:val="3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乌财科教[2021]96号关于提前下达2022年城乡义务教育项目直达资金的通知（公用经费）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32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746"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c>
          <w:tcPr>
            <w:tcW w:w="50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2252" w:type="pct"/>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32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446"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73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56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50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40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6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147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32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73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56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76.31</w:t>
            </w:r>
          </w:p>
        </w:tc>
        <w:tc>
          <w:tcPr>
            <w:tcW w:w="50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76.31</w:t>
            </w:r>
          </w:p>
        </w:tc>
        <w:tc>
          <w:tcPr>
            <w:tcW w:w="40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6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47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32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73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76.31</w:t>
            </w:r>
          </w:p>
        </w:tc>
        <w:tc>
          <w:tcPr>
            <w:tcW w:w="50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76.31</w:t>
            </w:r>
          </w:p>
        </w:tc>
        <w:tc>
          <w:tcPr>
            <w:tcW w:w="40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6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32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73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0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6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32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6"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731"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68"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50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07"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67"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477"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1906"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2755" w:type="pct"/>
            <w:gridSpan w:val="2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906"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公务接待费，非财政供养人员经费等。</w:t>
            </w:r>
          </w:p>
        </w:tc>
        <w:tc>
          <w:tcPr>
            <w:tcW w:w="2755" w:type="pct"/>
            <w:gridSpan w:val="2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该项目资金使用完全合规合法，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85" w:type="pct"/>
            <w:gridSpan w:val="3"/>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1" w:type="pct"/>
            <w:gridSpan w:val="5"/>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3" w:type="pct"/>
            <w:gridSpan w:val="2"/>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5" w:type="pct"/>
            <w:gridSpan w:val="3"/>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2" w:type="pct"/>
            <w:gridSpan w:val="2"/>
            <w:tcBorders>
              <w:top w:val="single" w:color="000000" w:sz="4" w:space="0"/>
              <w:left w:val="single" w:color="000000" w:sz="4" w:space="0"/>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0" w:type="pct"/>
            <w:gridSpan w:val="2"/>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1" w:type="pct"/>
            <w:gridSpan w:val="2"/>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6" w:type="pct"/>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90" w:type="pct"/>
            <w:gridSpan w:val="3"/>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77" w:type="pct"/>
            <w:gridSpan w:val="2"/>
            <w:tcBorders>
              <w:top w:val="single" w:color="000000" w:sz="4" w:space="0"/>
              <w:left w:val="nil"/>
              <w:bottom w:val="single" w:color="000000" w:sz="4" w:space="0"/>
              <w:right w:val="nil"/>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77" w:type="pct"/>
            <w:gridSpan w:val="13"/>
            <w:tcBorders>
              <w:top w:val="single" w:color="000000" w:sz="4" w:space="0"/>
              <w:left w:val="nil"/>
              <w:bottom w:val="single" w:color="000000" w:sz="4" w:space="0"/>
              <w:right w:val="single" w:color="000000" w:sz="4" w:space="0"/>
            </w:tcBorders>
            <w:noWrap w:val="0"/>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一级指标</w:t>
            </w: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二级指标</w:t>
            </w:r>
          </w:p>
        </w:tc>
        <w:tc>
          <w:tcPr>
            <w:tcW w:w="1320" w:type="pct"/>
            <w:gridSpan w:val="10"/>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三级指标</w:t>
            </w:r>
          </w:p>
        </w:tc>
        <w:tc>
          <w:tcPr>
            <w:tcW w:w="265"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年度指标值</w:t>
            </w:r>
          </w:p>
        </w:tc>
        <w:tc>
          <w:tcPr>
            <w:tcW w:w="30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实际完成值</w:t>
            </w:r>
          </w:p>
        </w:tc>
        <w:tc>
          <w:tcPr>
            <w:tcW w:w="40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分值</w:t>
            </w:r>
          </w:p>
        </w:tc>
        <w:tc>
          <w:tcPr>
            <w:tcW w:w="397"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得分</w:t>
            </w:r>
          </w:p>
        </w:tc>
        <w:tc>
          <w:tcPr>
            <w:tcW w:w="1654" w:type="pct"/>
            <w:gridSpan w:val="1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0" w:type="pct"/>
            <w:gridSpan w:val="10"/>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5"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7"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54" w:type="pct"/>
            <w:gridSpan w:val="1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产出指标</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零星维修校舍次数</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&gt;=12次</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6次</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减少了会展中街南学校项目支付工程款及新开校区的大额款项支出。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培训教师数量</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&gt;=9人</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9人</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购置各类教育教学用品及专用材料</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&gt;=20类</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20类</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支付水电费次数</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&lt;=12次</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12次</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绿化美化校园面积</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&gt;=500平方米</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0平方米</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减少了会展中街南学校项目支付工程款及新开校区的大额款项支出。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学校校舍日常维修质量达标率</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培训结业率</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&gt;=100%</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购置用品及材料的质量合格率</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绿化覆盖率</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&gt;=50%</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减少了会展中街南学校项目支付工程款及新开校区的大额款项支出。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维持学校正常运转率</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&gt;=95%</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资金支付及时率</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&gt;=90%</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成本指标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每次校舍维修成本</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&lt;=30000元</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27240元</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成本指标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购置各类教育教学用品及专用材料的成本</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&lt;=23000元/类</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20834.57元/类</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成本指标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教师培训成本</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&lt;=7000元/人/次</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7000元/人/次</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成本指标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每次支付水电费</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&lt;=10000元/次</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10000元/次</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成本指标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绿化美化成本</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&lt;=400元/平方米</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0元/平方米</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减少了会展中街南学校项目支付工程款及新开校区的大额款项支出。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效益指标</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提高学校教学水平、改善办学条件</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有效提高</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完全达到预期效果</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可持续影响指标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保障学校正常运转，完成教育教学活动和其他日常工作任务</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持续保障</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完全达到预期效果</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20" w:type="pct"/>
            <w:gridSpan w:val="10"/>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师生满意度</w:t>
            </w: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16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6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85" w:type="pct"/>
            <w:gridSpan w:val="3"/>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731" w:type="pct"/>
            <w:gridSpan w:val="5"/>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303" w:type="pct"/>
            <w:gridSpan w:val="2"/>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265"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0" w:type="pct"/>
            <w:gridSpan w:val="2"/>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201" w:type="pct"/>
            <w:gridSpan w:val="2"/>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6"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90" w:type="pct"/>
            <w:gridSpan w:val="3"/>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77"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477" w:type="pct"/>
            <w:gridSpan w:val="1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76" w:type="pct"/>
          <w:trHeight w:val="396" w:hRule="atLeast"/>
        </w:trPr>
        <w:tc>
          <w:tcPr>
            <w:tcW w:w="2369" w:type="pct"/>
            <w:gridSpan w:val="2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40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97"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89.50分</w:t>
            </w:r>
          </w:p>
        </w:tc>
        <w:tc>
          <w:tcPr>
            <w:tcW w:w="1654" w:type="pct"/>
            <w:gridSpan w:val="1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405" w:hRule="atLeast"/>
        </w:trPr>
        <w:tc>
          <w:tcPr>
            <w:tcW w:w="4254" w:type="pct"/>
            <w:gridSpan w:val="3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270" w:hRule="atLeast"/>
        </w:trPr>
        <w:tc>
          <w:tcPr>
            <w:tcW w:w="4254" w:type="pct"/>
            <w:gridSpan w:val="37"/>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86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89" w:type="pct"/>
            <w:gridSpan w:val="2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乌财科教[2021]96号关于提前下达2022年城乡义务教育项目直达资金的通知（困难生补助）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865"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1686" w:type="pct"/>
            <w:gridSpan w:val="1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c>
          <w:tcPr>
            <w:tcW w:w="74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955"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865"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67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60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74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4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865"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60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0.47</w:t>
            </w:r>
          </w:p>
        </w:tc>
        <w:tc>
          <w:tcPr>
            <w:tcW w:w="74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0.47</w:t>
            </w:r>
          </w:p>
        </w:tc>
        <w:tc>
          <w:tcPr>
            <w:tcW w:w="4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865"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0.47</w:t>
            </w:r>
          </w:p>
        </w:tc>
        <w:tc>
          <w:tcPr>
            <w:tcW w:w="74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0.47</w:t>
            </w:r>
          </w:p>
        </w:tc>
        <w:tc>
          <w:tcPr>
            <w:tcW w:w="4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865"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4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865"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72"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406"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07"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74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2"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061"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702"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061" w:type="pct"/>
            <w:gridSpan w:val="1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保证全部资金按要求都用于我校7名困难学生的生活补助，严格把控项目资金使用，足额及时拨付资金,及时上报资金的使用情况，保障项目资金按计划执行。逐步改善我校困难生的生活状况，增强学生身体素质，促进学生健康成长，切实减轻学生的经济负担，进一步协助我区促进教育事业的稳定、健康发展。</w:t>
            </w:r>
          </w:p>
        </w:tc>
        <w:tc>
          <w:tcPr>
            <w:tcW w:w="1702" w:type="pct"/>
            <w:gridSpan w:val="1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该项目按照相关要求向我校符合条件的困难学生发放补助，我校以312.5元/人/学期的发放标准，准时发放困难生补助，全年完成15人次发放任务。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40"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406" w:type="pct"/>
            <w:gridSpan w:val="2"/>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56"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51" w:type="pct"/>
            <w:gridSpan w:val="4"/>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441" w:type="pct"/>
            <w:gridSpan w:val="3"/>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05"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24"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6" w:type="pct"/>
            <w:gridSpan w:val="2"/>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12" w:type="pct"/>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33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003"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51"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441"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530"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4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38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003"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51"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1"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30"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37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资助学生人数</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&gt;=7人</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8人</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每年发放补助次数</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&gt;=2次</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符合补助政策学生覆盖率</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补助发放符合度</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补助发放及时率</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小学非寄宿生生均补助标准</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=625元/人/年</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625元/人/年</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降低家庭经济困难学生失学率</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有效降低</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增强学生身体素质，促进学生健康成长</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持续促进</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003" w:type="pct"/>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受资助学生家长满意率（%）</w:t>
            </w: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490"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74"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40" w:type="pct"/>
            <w:gridSpan w:val="3"/>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406" w:type="pct"/>
            <w:gridSpan w:val="2"/>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256" w:type="pct"/>
            <w:gridSpan w:val="3"/>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351"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41"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5" w:type="pct"/>
            <w:gridSpan w:val="3"/>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224" w:type="pct"/>
            <w:gridSpan w:val="3"/>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76" w:type="pct"/>
            <w:gridSpan w:val="2"/>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71"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4" w:type="pct"/>
          <w:wAfter w:w="711" w:type="pct"/>
          <w:trHeight w:val="396" w:hRule="atLeast"/>
        </w:trPr>
        <w:tc>
          <w:tcPr>
            <w:tcW w:w="2994" w:type="pct"/>
            <w:gridSpan w:val="2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530"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4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384"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405" w:hRule="atLeast"/>
        </w:trPr>
        <w:tc>
          <w:tcPr>
            <w:tcW w:w="4960" w:type="pct"/>
            <w:gridSpan w:val="4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270" w:hRule="atLeast"/>
        </w:trPr>
        <w:tc>
          <w:tcPr>
            <w:tcW w:w="4960" w:type="pct"/>
            <w:gridSpan w:val="4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57" w:type="pct"/>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乌财科教[2021]120号关于提前下达2022年教育直达资金的通知（公用经费）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331" w:type="pct"/>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99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781"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6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781"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义务教育阶段学校正常运转、完成教育教学活动和其他日常工作任务等方面的支出，该经费的具体开支范围是：教学业务与管理、教学竞赛、教学质量提升及第三方评价的政府购买服务、办公、会议、印刷、教师培训、实验实习、文体活动、水电、取暖、交通差旅、邮电、教育信息化网络费用、仪器设备及图书资料等购置、学生课桌凳、床铺、食堂设施设备的零星补充购置及维修维护，房屋、建筑物、校园内道路、围墙、大门、运动场地、教室内教师讲台及仪器设备的日常维修维护，学校勤工俭学购买生产设备和工具、校园绿化美化、校园文化建设、学生健康体检、校方责任保险、初中学历水平考试报名、公务接待费，非财政供养人员经费等。</w:t>
            </w:r>
          </w:p>
        </w:tc>
        <w:tc>
          <w:tcPr>
            <w:tcW w:w="16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资金使用完全合规合法，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528" w:type="pct"/>
            <w:gridSpan w:val="5"/>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498" w:type="pct"/>
            <w:gridSpan w:val="6"/>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33"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83"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5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12" w:type="pct"/>
            <w:gridSpan w:val="2"/>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86" w:type="pct"/>
            <w:gridSpan w:val="1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22"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0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17"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38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86" w:type="pct"/>
            <w:gridSpan w:val="1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维修校舍次数</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&gt;=5次</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0次</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会展中介南校区为新校区，维修次数较少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购置各类教育教学用品</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&gt;=5类</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18类</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学校校舍日常维修质量达标率</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会展中介南校区为新校区，维修次数较少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购置用品质量合格率</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购置各类教育教学用品的成本</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&lt;=11000元/类</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3599.14元/类</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每次维修校舍成本</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&lt;=12000元/次</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0元/次</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会展中介南校区为新校区，维修次数较少</w:t>
            </w: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提高学校教学水平、改善办学条件</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保障学校正常运转，完成教育教学活动和其他日常工作任务</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持续保障</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师生满意度</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28" w:type="pct"/>
            <w:gridSpan w:val="5"/>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498" w:type="pct"/>
            <w:gridSpan w:val="6"/>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3" w:type="pct"/>
            <w:gridSpan w:val="3"/>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283" w:type="pct"/>
            <w:gridSpan w:val="3"/>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1"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3634" w:type="pct"/>
            <w:gridSpan w:val="3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75.00分</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405" w:hRule="atLeast"/>
        </w:trPr>
        <w:tc>
          <w:tcPr>
            <w:tcW w:w="4960" w:type="pct"/>
            <w:gridSpan w:val="4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270" w:hRule="atLeast"/>
        </w:trPr>
        <w:tc>
          <w:tcPr>
            <w:tcW w:w="4960" w:type="pct"/>
            <w:gridSpan w:val="4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57" w:type="pct"/>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乌财科教[2022]45号关于拨付2022年中小学和幼儿园自聘教师补助资金的通知（转移支付）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331" w:type="pct"/>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99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781"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6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781"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1.该项目是为了提高临聘教师工资待遇，提高薪资水平。 2.专款专用，严格按照资金使用具体实施条例严格支付流程，对自聘教师发放补助，做到资金金额发放准确，资金发放及时，资金使用效率高效。 3.有效促进临聘教师工作积极性，保障学校的正常教育教学工作顺利进行。</w:t>
            </w:r>
          </w:p>
        </w:tc>
        <w:tc>
          <w:tcPr>
            <w:tcW w:w="16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2022年度没有使用该笔资金，但使用该资金用于2023年一月及二月的自聘教师工资发放。该项目一共发放教师人数41人，发放了2个月，资金发放符合各类制度要求，资金发放及时，符合补助政策教师全覆盖，教师们都很满意度。提高了临聘教师工资待遇，提高薪资水平，专款专用，严格按照资金使用具体实施条例严格支付流程，对自聘教师发放补助，做到资金金额发放准确，资金发放基本及时，资金使用效率高效，有效促进了临聘教师工作积极性，保障了学校的正常教育教学工作顺利进行，为社会闲散人员提供了就业机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528" w:type="pct"/>
            <w:gridSpan w:val="5"/>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498" w:type="pct"/>
            <w:gridSpan w:val="6"/>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33"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83"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5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12" w:type="pct"/>
            <w:gridSpan w:val="2"/>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86" w:type="pct"/>
            <w:gridSpan w:val="1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22"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0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17"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38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86" w:type="pct"/>
            <w:gridSpan w:val="1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发放补助人数</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=14人</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41人</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2022年减少了临聘人员，自聘教师经费有结余，未使用此经费。2023年2月开始使用。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发放补助次数</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=12次</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2次</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学校新增聘用教师，工资全部由本资金发放则两月发完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符合补助政策教师覆盖率</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2022年减少了临聘人员，自聘教师经费有结余，未使用此经费。2023年2月开始使用。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补助发放符合度</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2022年减少了临聘人员，自聘教师经费有结余，未使用此经费。2023年2月开始使用。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资金发放及时率</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2022年减少了临聘人员，自聘教师经费有结余，未使用此经费。2023年2月开始使用。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每人每次发放补助资金</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&lt;=3108元/人/月</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0元/人/月</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改善代课教师待遇</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有效改善</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完全到预期效果</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2022年减少了临聘人员，自聘教师经费有结余，未使用此经费。2023年2月开始使用。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保障学校日常教育教学顺利开展</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完全到预期效果</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2022年减少了临聘人员，自聘教师经费有结余，未使用此经费。2023年2月开始使用。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代课教师满意度</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2022年减少了临聘人员，自聘教师经费有结余，未使用此经费。2023年2月开始使用。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28" w:type="pct"/>
            <w:gridSpan w:val="5"/>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498" w:type="pct"/>
            <w:gridSpan w:val="6"/>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3" w:type="pct"/>
            <w:gridSpan w:val="3"/>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283" w:type="pct"/>
            <w:gridSpan w:val="3"/>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1"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3634" w:type="pct"/>
            <w:gridSpan w:val="3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74.33分</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405" w:hRule="atLeast"/>
        </w:trPr>
        <w:tc>
          <w:tcPr>
            <w:tcW w:w="4960" w:type="pct"/>
            <w:gridSpan w:val="4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270" w:hRule="atLeast"/>
        </w:trPr>
        <w:tc>
          <w:tcPr>
            <w:tcW w:w="4960" w:type="pct"/>
            <w:gridSpan w:val="42"/>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957" w:type="pct"/>
            <w:gridSpan w:val="3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乌财科教【2022】44号关于拨付2022年自治区义务教育城市校舍安全保障长效机制项目资金的通知（转移支付）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2331" w:type="pct"/>
            <w:gridSpan w:val="2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992" w:type="pct"/>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乌鲁木齐市第五十九小学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1002" w:type="pct"/>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95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560"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820" w:type="pct"/>
            <w:gridSpan w:val="10"/>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633"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435"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343"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2781"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16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781" w:type="pct"/>
            <w:gridSpan w:val="2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本项目符合“十四五”规划明确指出的大力发展教育事业方针政策。按照加快构建高质量教育体系部署要求，全面贯彻党的教育方针，推进学前教育普及普惠发展。 随着乌鲁木齐市水磨沟区的整体发展，城区人口的聚集，近年来新建了大批小区，项目区周边学校，无法接纳本次项目区新建及临近已有小区的居民适龄学生入学，学校布局不合理，新建小区居民服务的学校存在规模不足的情况，随着水磨沟区的建设发展，小区入住率和区域人口的增加，基础设施配套服务尚需进一步完善跟进，使之与乌鲁木齐市水磨沟区实现现代化教育的目标相符。</w:t>
            </w:r>
          </w:p>
        </w:tc>
        <w:tc>
          <w:tcPr>
            <w:tcW w:w="1626" w:type="pct"/>
            <w:gridSpan w:val="1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用以保障义务教育阶段学校正常运转、教育教学活动和其他日常工作正常开展的相关支出，主要包含有相关教学设备设施的购置，零星日常维修等。采取项目工作领导小组负责制，全体成员积极配合、通力合作。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528" w:type="pct"/>
            <w:gridSpan w:val="5"/>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498" w:type="pct"/>
            <w:gridSpan w:val="6"/>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333"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83" w:type="pct"/>
            <w:gridSpan w:val="3"/>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51"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173" w:type="pct"/>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212" w:type="pct"/>
            <w:gridSpan w:val="2"/>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4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86" w:type="pct"/>
            <w:gridSpan w:val="1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22" w:type="pct"/>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300"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617" w:type="pct"/>
            <w:gridSpan w:val="6"/>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322" w:type="pct"/>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386"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86" w:type="pct"/>
            <w:gridSpan w:val="1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项目建设涉及学校</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=1所</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1所</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校舍占地面积</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&gt;=440平方米</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440平方米</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校舍竣工验收合格率</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校舍建设周期</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&lt;=3年</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每平米工程造价</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&lt;=18181元</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18181元</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保障教育教学的资源稳定</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校舍持续使用年限</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&gt;=50年</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50年</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86" w:type="pct"/>
            <w:gridSpan w:val="1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周边居民满意度</w:t>
            </w: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552" w:type="pct"/>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50"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42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528" w:type="pct"/>
            <w:gridSpan w:val="5"/>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560" w:type="pct"/>
            <w:gridSpan w:val="4"/>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498" w:type="pct"/>
            <w:gridSpan w:val="6"/>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322" w:type="pct"/>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00"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3" w:type="pct"/>
            <w:gridSpan w:val="3"/>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283" w:type="pct"/>
            <w:gridSpan w:val="3"/>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51" w:type="pct"/>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170" w:type="pct"/>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7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212"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2"/>
          <w:wBefore w:w="39" w:type="pct"/>
          <w:trHeight w:val="396" w:hRule="atLeast"/>
        </w:trPr>
        <w:tc>
          <w:tcPr>
            <w:tcW w:w="3634" w:type="pct"/>
            <w:gridSpan w:val="3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617" w:type="pct"/>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322"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90.00分</w:t>
            </w:r>
          </w:p>
        </w:tc>
        <w:tc>
          <w:tcPr>
            <w:tcW w:w="386" w:type="pct"/>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21304"/>
      <w:bookmarkStart w:id="43" w:name="_Toc3243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0347"/>
      <w:bookmarkStart w:id="47" w:name="_Toc14869"/>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3CF170-3AFF-4AD2-8E62-617C36BD3E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A7495420-15F5-4AFC-A737-A3A68A05FCEA}"/>
  </w:font>
  <w:font w:name="仿宋_GB2312">
    <w:altName w:val="仿宋"/>
    <w:panose1 w:val="02010609030101010101"/>
    <w:charset w:val="86"/>
    <w:family w:val="modern"/>
    <w:pitch w:val="default"/>
    <w:sig w:usb0="00000000" w:usb1="00000000" w:usb2="00000000" w:usb3="00000000" w:csb0="00040000" w:csb1="00000000"/>
    <w:embedRegular r:id="rId3" w:fontKey="{4326ECE8-24E3-4E13-9763-C748456B7363}"/>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16B793F"/>
    <w:rsid w:val="02F73D26"/>
    <w:rsid w:val="034D4FEF"/>
    <w:rsid w:val="043E5B56"/>
    <w:rsid w:val="05DD4EAE"/>
    <w:rsid w:val="06792773"/>
    <w:rsid w:val="0A7B4867"/>
    <w:rsid w:val="0B8C3ECC"/>
    <w:rsid w:val="0C7227A7"/>
    <w:rsid w:val="159158CA"/>
    <w:rsid w:val="15E965C7"/>
    <w:rsid w:val="17A83C46"/>
    <w:rsid w:val="1A341124"/>
    <w:rsid w:val="1DAF458D"/>
    <w:rsid w:val="1FCE4D37"/>
    <w:rsid w:val="20716C76"/>
    <w:rsid w:val="20DD6197"/>
    <w:rsid w:val="23BC04D2"/>
    <w:rsid w:val="27CF2642"/>
    <w:rsid w:val="2A053397"/>
    <w:rsid w:val="2D1136DF"/>
    <w:rsid w:val="2E1E7DCB"/>
    <w:rsid w:val="2EA654EC"/>
    <w:rsid w:val="2FD27414"/>
    <w:rsid w:val="30C455F2"/>
    <w:rsid w:val="31C63837"/>
    <w:rsid w:val="3914510A"/>
    <w:rsid w:val="3D5275AC"/>
    <w:rsid w:val="3D872E22"/>
    <w:rsid w:val="40834692"/>
    <w:rsid w:val="435433C4"/>
    <w:rsid w:val="46901EEE"/>
    <w:rsid w:val="469C74D2"/>
    <w:rsid w:val="469F44D7"/>
    <w:rsid w:val="473B4DB9"/>
    <w:rsid w:val="4B4C0111"/>
    <w:rsid w:val="4BD711D0"/>
    <w:rsid w:val="50DB5F45"/>
    <w:rsid w:val="52F92565"/>
    <w:rsid w:val="583059FA"/>
    <w:rsid w:val="59600AC2"/>
    <w:rsid w:val="5FA17648"/>
    <w:rsid w:val="61A46A97"/>
    <w:rsid w:val="62DD7D21"/>
    <w:rsid w:val="65D97752"/>
    <w:rsid w:val="67DB1F81"/>
    <w:rsid w:val="68DB0208"/>
    <w:rsid w:val="69846A0E"/>
    <w:rsid w:val="69AD798C"/>
    <w:rsid w:val="6B68175F"/>
    <w:rsid w:val="6CBC2721"/>
    <w:rsid w:val="6E0F7A08"/>
    <w:rsid w:val="71473612"/>
    <w:rsid w:val="718F7F65"/>
    <w:rsid w:val="73FB6630"/>
    <w:rsid w:val="749D7B1B"/>
    <w:rsid w:val="74E76DCD"/>
    <w:rsid w:val="76120F9E"/>
    <w:rsid w:val="767F3D2C"/>
    <w:rsid w:val="77ED6F44"/>
    <w:rsid w:val="780E7948"/>
    <w:rsid w:val="FFCEA1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customStyle="1" w:styleId="10">
    <w:name w:val="WPSOffice手动目录 3"/>
    <w:qFormat/>
    <w:uiPriority w:val="0"/>
    <w:pPr>
      <w:ind w:leftChars="400"/>
    </w:pPr>
    <w:rPr>
      <w:rFonts w:ascii="Times New Roman" w:hAnsi="Times New Roman" w:eastAsia="宋体" w:cs="Times New Roman"/>
      <w:sz w:val="20"/>
      <w:szCs w:val="20"/>
    </w:rPr>
  </w:style>
  <w:style w:type="paragraph" w:customStyle="1" w:styleId="11">
    <w:name w:val="WPSOffice手动目录 2"/>
    <w:autoRedefine/>
    <w:qFormat/>
    <w:uiPriority w:val="0"/>
    <w:pPr>
      <w:ind w:leftChars="200"/>
    </w:pPr>
    <w:rPr>
      <w:rFonts w:ascii="Times New Roman" w:hAnsi="Times New Roman" w:eastAsia="宋体" w:cs="Times New Roman"/>
      <w:sz w:val="20"/>
      <w:szCs w:val="20"/>
    </w:rPr>
  </w:style>
  <w:style w:type="paragraph" w:customStyle="1" w:styleId="1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10478</Words>
  <Characters>11448</Characters>
  <Lines>0</Lines>
  <Paragraphs>0</Paragraphs>
  <TotalTime>1</TotalTime>
  <ScaleCrop>false</ScaleCrop>
  <LinksUpToDate>false</LinksUpToDate>
  <CharactersWithSpaces>11505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GXR</dc:creator>
  <cp:lastModifiedBy>卡师夫</cp:lastModifiedBy>
  <dcterms:modified xsi:type="dcterms:W3CDTF">2024-02-18T09:43:41Z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B7F7BE6BB82E490EB8D99BB1711F3E9F</vt:lpwstr>
  </property>
</Properties>
</file>