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rPr>
          <w:rFonts w:ascii="方正小标宋_GBK" w:hAnsi="宋体" w:eastAsia="方正小标宋_GBK"/>
          <w:sz w:val="44"/>
          <w:szCs w:val="44"/>
        </w:rPr>
      </w:pPr>
    </w:p>
    <w:p>
      <w:pPr>
        <w:rPr>
          <w:rFonts w:ascii="方正小标宋_GBK" w:hAnsi="宋体" w:eastAsia="方正小标宋_GBK"/>
          <w:sz w:val="44"/>
          <w:szCs w:val="44"/>
        </w:rPr>
      </w:pPr>
    </w:p>
    <w:p>
      <w:pPr>
        <w:jc w:val="center"/>
        <w:rPr>
          <w:rFonts w:eastAsia="方正小标宋_GBK"/>
          <w:sz w:val="44"/>
          <w:szCs w:val="44"/>
        </w:rPr>
      </w:pPr>
      <w:r>
        <w:rPr>
          <w:rFonts w:eastAsia="方正小标宋_GBK"/>
          <w:sz w:val="44"/>
          <w:szCs w:val="44"/>
        </w:rPr>
        <w:t>乌鲁木齐市第三十二中学</w:t>
      </w:r>
    </w:p>
    <w:p>
      <w:pPr>
        <w:jc w:val="center"/>
        <w:rPr>
          <w:rFonts w:eastAsia="方正小标宋_GBK"/>
          <w:sz w:val="44"/>
          <w:szCs w:val="44"/>
        </w:rPr>
      </w:pPr>
      <w:r>
        <w:rPr>
          <w:rFonts w:eastAsia="方正小标宋_GBK"/>
          <w:sz w:val="44"/>
          <w:szCs w:val="44"/>
        </w:rPr>
        <w:t>2022年度部门</w:t>
      </w:r>
    </w:p>
    <w:p>
      <w:pPr>
        <w:jc w:val="center"/>
        <w:rPr>
          <w:rFonts w:ascii="方正小标宋_GBK" w:hAnsi="宋体" w:eastAsia="方正小标宋_GBK"/>
          <w:sz w:val="44"/>
          <w:szCs w:val="44"/>
        </w:rPr>
      </w:pPr>
      <w:r>
        <w:rPr>
          <w:rFonts w:eastAsia="方正小标宋_GBK"/>
          <w:sz w:val="44"/>
          <w:szCs w:val="44"/>
        </w:rPr>
        <w:t>决算公开说明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6"/>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3"/>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6"/>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7"/>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567"/>
      <w:bookmarkStart w:id="3" w:name="_Toc30738"/>
      <w:r>
        <w:rPr>
          <w:rFonts w:hint="eastAsia" w:ascii="黑体" w:hAnsi="黑体" w:eastAsia="黑体" w:cs="宋体"/>
          <w:bCs/>
          <w:kern w:val="0"/>
          <w:sz w:val="32"/>
          <w:szCs w:val="32"/>
        </w:rPr>
        <w:t>一、主要职能</w:t>
      </w:r>
      <w:bookmarkEnd w:id="2"/>
      <w:bookmarkEnd w:id="3"/>
    </w:p>
    <w:p>
      <w:pPr>
        <w:ind w:firstLine="640" w:firstLineChars="200"/>
        <w:rPr>
          <w:rFonts w:ascii="仿宋_GB2312" w:eastAsia="仿宋_GB2312"/>
          <w:sz w:val="32"/>
          <w:szCs w:val="32"/>
        </w:rPr>
      </w:pPr>
      <w:bookmarkStart w:id="4" w:name="_Toc31238"/>
      <w:bookmarkStart w:id="5" w:name="_Toc2151"/>
      <w:r>
        <w:rPr>
          <w:rFonts w:hint="eastAsia" w:ascii="仿宋_GB2312" w:eastAsia="仿宋_GB2312"/>
          <w:sz w:val="32"/>
          <w:szCs w:val="32"/>
        </w:rPr>
        <w:t>乌鲁木齐市第三十二中学由乌鲁木齐市水磨沟区人民政府举办，主管部门是乌鲁木齐市水磨沟区教育局。</w:t>
      </w:r>
    </w:p>
    <w:p>
      <w:pPr>
        <w:ind w:firstLine="640" w:firstLineChars="200"/>
        <w:rPr>
          <w:rFonts w:ascii="仿宋_GB2312" w:eastAsia="仿宋_GB2312"/>
          <w:sz w:val="32"/>
          <w:szCs w:val="32"/>
        </w:rPr>
      </w:pPr>
      <w:r>
        <w:rPr>
          <w:rFonts w:hint="eastAsia" w:ascii="仿宋_GB2312" w:eastAsia="仿宋_GB2312"/>
          <w:sz w:val="32"/>
          <w:szCs w:val="32"/>
        </w:rPr>
        <w:t xml:space="preserve">是一所九年一贯制学校，承担着小学、初中阶段学生培育工作,学校的办学宗旨是全面贯彻党的教育方针，全面推进素质教育，以现代文化为引领，培养最具发展潜力的学生，办好人民群众满意的学校。 </w:t>
      </w:r>
    </w:p>
    <w:p>
      <w:pPr>
        <w:ind w:firstLine="640" w:firstLineChars="200"/>
        <w:rPr>
          <w:rFonts w:ascii="仿宋_GB2312" w:eastAsia="仿宋_GB2312"/>
          <w:sz w:val="32"/>
          <w:szCs w:val="32"/>
        </w:rPr>
      </w:pPr>
      <w:r>
        <w:rPr>
          <w:rFonts w:hint="eastAsia" w:ascii="仿宋_GB2312" w:eastAsia="仿宋_GB2312"/>
          <w:sz w:val="32"/>
          <w:szCs w:val="32"/>
        </w:rPr>
        <w:t>学校是非营利性教育事业单位，具有独立法人资格。实施九年义务教育，促进基础教育发展。</w:t>
      </w:r>
    </w:p>
    <w:p>
      <w:pPr>
        <w:ind w:firstLine="640" w:firstLineChars="200"/>
        <w:rPr>
          <w:rFonts w:ascii="仿宋_GB2312" w:eastAsia="仿宋_GB2312"/>
          <w:sz w:val="32"/>
          <w:szCs w:val="32"/>
        </w:rPr>
      </w:pPr>
      <w:r>
        <w:rPr>
          <w:rFonts w:hint="eastAsia" w:ascii="仿宋_GB2312" w:eastAsia="仿宋_GB2312"/>
          <w:sz w:val="32"/>
          <w:szCs w:val="32"/>
        </w:rPr>
        <w:t>乌鲁木齐市第三十二中学积极稳妥地推进教育改革，按教育规律办事，不断提高教育质量。根据学校规模，设置学校管理机构，建立健全各项规章制度和岗位责任制。</w:t>
      </w:r>
    </w:p>
    <w:p>
      <w:pPr>
        <w:ind w:firstLine="640" w:firstLineChars="200"/>
        <w:rPr>
          <w:rFonts w:ascii="仿宋_GB2312" w:eastAsia="仿宋_GB2312"/>
          <w:sz w:val="32"/>
          <w:szCs w:val="32"/>
        </w:rPr>
      </w:pPr>
      <w:r>
        <w:rPr>
          <w:rFonts w:hint="eastAsia" w:ascii="仿宋_GB2312" w:eastAsia="仿宋_GB2312"/>
          <w:sz w:val="32"/>
          <w:szCs w:val="32"/>
        </w:rPr>
        <w:t>坚持教书育人，服务育人，环境育人方针，加强对学生的思想品德教育，使学生的德智体全面发展。抓好教师队伍建设，使每个教师都热心于教育事业。做好安全防范，保证学生的人生安全。</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hint="eastAsia" w:ascii="仿宋_GB2312" w:eastAsia="仿宋_GB2312"/>
          <w:sz w:val="32"/>
          <w:szCs w:val="32"/>
        </w:rPr>
        <w:t xml:space="preserve">乌鲁木齐市第三十二中学2022年度，实有人数129人，其中： 在职人员67人，离休人员0人，退休人员62人。 </w:t>
      </w:r>
    </w:p>
    <w:p>
      <w:pPr>
        <w:ind w:firstLine="640" w:firstLineChars="200"/>
        <w:rPr>
          <w:rFonts w:ascii="仿宋_GB2312" w:eastAsia="仿宋_GB2312"/>
          <w:sz w:val="32"/>
          <w:szCs w:val="32"/>
        </w:rPr>
      </w:pPr>
      <w:r>
        <w:rPr>
          <w:rFonts w:hint="eastAsia" w:ascii="仿宋_GB2312" w:eastAsia="仿宋_GB2312"/>
          <w:sz w:val="32"/>
          <w:szCs w:val="32"/>
        </w:rPr>
        <w:t>从部门决算单位构成看，乌鲁木齐市第三十二中学部门决算包括：乌鲁木齐市第三十二中学决算。单位无下属预算单位，下设5个科室，分别是：办公室、教务处、教研室、德育处、财务室。</w:t>
      </w:r>
      <w:bookmarkStart w:id="6" w:name="_Toc3092"/>
      <w:bookmarkStart w:id="7" w:name="_Toc29374"/>
    </w:p>
    <w:p>
      <w:pPr>
        <w:ind w:firstLine="640" w:firstLineChars="200"/>
        <w:jc w:val="center"/>
        <w:outlineLvl w:val="0"/>
        <w:rPr>
          <w:rFonts w:ascii="黑体" w:hAnsi="黑体" w:eastAsia="黑体"/>
          <w:sz w:val="32"/>
          <w:szCs w:val="32"/>
        </w:rPr>
      </w:pP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25314"/>
      <w:bookmarkStart w:id="9" w:name="_Toc12566"/>
      <w:r>
        <w:rPr>
          <w:rFonts w:hint="eastAsia" w:ascii="黑体" w:hAnsi="黑体" w:eastAsia="黑体" w:cs="宋体"/>
          <w:bCs/>
          <w:kern w:val="0"/>
          <w:sz w:val="32"/>
          <w:szCs w:val="32"/>
        </w:rPr>
        <w:t>一、收入支出决算总体情况说明</w:t>
      </w:r>
      <w:bookmarkEnd w:id="8"/>
      <w:bookmarkEnd w:id="9"/>
    </w:p>
    <w:p>
      <w:pPr>
        <w:ind w:firstLine="640" w:firstLineChars="200"/>
        <w:rPr>
          <w:rFonts w:ascii="仿宋_GB2312" w:eastAsia="仿宋_GB2312"/>
          <w:sz w:val="32"/>
          <w:szCs w:val="32"/>
        </w:rPr>
      </w:pPr>
      <w:r>
        <w:rPr>
          <w:rFonts w:hint="eastAsia" w:ascii="仿宋_GB2312" w:eastAsia="仿宋_GB2312"/>
          <w:sz w:val="32"/>
          <w:szCs w:val="32"/>
        </w:rPr>
        <w:t>2022年度收入总计1521.56万元，其中：本年收入合计1416.89万元，使用非财政拨款结余0万元，年初结转和结余104.67万元。收入总计与上年相比，减少123.64万元，下降7.52%，主要原因是：本年度非财政项目拨款、结转结余资金较上年减少，2022年较上年在职及退休人员共减少2人相应支出减少。</w:t>
      </w:r>
    </w:p>
    <w:p>
      <w:pPr>
        <w:ind w:firstLine="640" w:firstLineChars="200"/>
        <w:rPr>
          <w:rFonts w:ascii="仿宋_GB2312" w:eastAsia="仿宋_GB2312"/>
          <w:sz w:val="32"/>
          <w:szCs w:val="32"/>
        </w:rPr>
      </w:pPr>
      <w:r>
        <w:rPr>
          <w:rFonts w:hint="eastAsia" w:ascii="仿宋_GB2312" w:eastAsia="仿宋_GB2312"/>
          <w:sz w:val="32"/>
          <w:szCs w:val="32"/>
        </w:rPr>
        <w:t>本年支出总计1521.56万元，其中：本年支出合计1458.51万元，结余分配0万元，年末结转和结余63.05万元。支出总计与上年相比，减少123.64万元，下降7.52%，主要原因是：2022年8-12月因防控原因，很多业务无法如期开展，且年中追减城乡义务保障经费，故支出较上年减少。</w:t>
      </w:r>
    </w:p>
    <w:p>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hint="eastAsia" w:ascii="仿宋_GB2312" w:eastAsia="仿宋_GB2312"/>
          <w:sz w:val="32"/>
          <w:szCs w:val="32"/>
        </w:rPr>
        <w:t>2022年度本年收入1416.89万元，其中：财政拨款收入1320.91万元，占93.23%；上级补助收入0万元，占0%；事业收入0万元，占0%；经营收入0万元，占0%；附属单位上缴收入0万元，占0%；其他收入95.98万元，占6.77%。</w:t>
      </w:r>
    </w:p>
    <w:p>
      <w:pPr>
        <w:ind w:firstLine="640" w:firstLineChars="200"/>
        <w:outlineLvl w:val="1"/>
        <w:rPr>
          <w:rFonts w:ascii="黑体" w:hAnsi="黑体" w:eastAsia="黑体" w:cs="宋体"/>
          <w:bCs/>
          <w:kern w:val="0"/>
          <w:sz w:val="32"/>
          <w:szCs w:val="32"/>
        </w:rPr>
      </w:pPr>
      <w:bookmarkStart w:id="12" w:name="_Toc13201"/>
      <w:bookmarkStart w:id="13" w:name="_Toc2796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hint="eastAsia" w:ascii="仿宋_GB2312" w:eastAsia="仿宋_GB2312"/>
          <w:sz w:val="32"/>
          <w:szCs w:val="32"/>
        </w:rPr>
        <w:t>2022年度本年支出1458.51万元，其中：基本支出1188.02万元，占81.45%；项目支出270.5万元，占18.55%；上缴上级支出0万元，占0.00%；经营支出0万元，占0.00%；对附属单位补助支出0万元，占0.00%。</w:t>
      </w:r>
    </w:p>
    <w:p>
      <w:pPr>
        <w:ind w:firstLine="640" w:firstLineChars="200"/>
        <w:outlineLvl w:val="1"/>
        <w:rPr>
          <w:rFonts w:ascii="黑体" w:hAnsi="黑体" w:eastAsia="黑体" w:cs="宋体"/>
          <w:bCs/>
          <w:kern w:val="0"/>
          <w:sz w:val="32"/>
          <w:szCs w:val="32"/>
        </w:rPr>
      </w:pPr>
      <w:bookmarkStart w:id="14" w:name="_Toc4393"/>
      <w:bookmarkStart w:id="15" w:name="_Toc26564"/>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hint="eastAsia" w:ascii="仿宋_GB2312" w:eastAsia="仿宋_GB2312"/>
          <w:sz w:val="32"/>
          <w:szCs w:val="32"/>
        </w:rPr>
        <w:t>2022年度财政拨款收入总计1349.7万元，其中：年初财政拨款结转和结余28.78万元，财政拨款本年收入1320.91万元。财政拨款收入总计与上年相比，减少111.59万元，下降7.64%，主要原因是：年初财政拨款结转和结余资金较上年减少，2022年较上年在职及退休人员共减少2人相应拨款减少。</w:t>
      </w:r>
    </w:p>
    <w:p>
      <w:pPr>
        <w:ind w:firstLine="640" w:firstLineChars="200"/>
        <w:rPr>
          <w:rFonts w:ascii="仿宋_GB2312" w:eastAsia="仿宋_GB2312"/>
          <w:sz w:val="32"/>
          <w:szCs w:val="32"/>
        </w:rPr>
      </w:pPr>
      <w:r>
        <w:rPr>
          <w:rFonts w:hint="eastAsia" w:ascii="仿宋_GB2312" w:eastAsia="仿宋_GB2312"/>
          <w:sz w:val="32"/>
          <w:szCs w:val="32"/>
        </w:rPr>
        <w:t>财政拨款支出总计1349.7万元，其中：年末财政拨款结转和结余20.49万元，财政拨款本年支出1329.2万元。财政拨款支出总计与上年相比，减少111.59万元，下降7.64%，主要原因是：2022年8-12月因防控原因，很多业务无法如期开展，且年初财政拨款结转和结余资金较上年减少，2022年较上年在职及退休人员共减少2人相应拨款减少，故支出较上年减少。</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1399.61万元，决算数1349.7万元，预决算差异率-3.57%，主要原因是：2022年较上年在职及退休人员共减少2人相应拨款减少。财政拨款支出总计年初预算数1399.61万元，决算数1349.7万元，预决算差异率-3.57%，主要原因是：2022年8-12月因防控原因，很多业务无法如期开展，且年中追减城乡义务保障经费，故支出较上年减少。</w:t>
      </w:r>
    </w:p>
    <w:p>
      <w:pPr>
        <w:ind w:firstLine="640" w:firstLineChars="200"/>
        <w:outlineLvl w:val="1"/>
        <w:rPr>
          <w:rFonts w:ascii="黑体" w:hAnsi="黑体" w:eastAsia="黑体" w:cs="宋体"/>
          <w:bCs/>
          <w:kern w:val="0"/>
          <w:sz w:val="32"/>
          <w:szCs w:val="32"/>
        </w:rPr>
      </w:pPr>
      <w:bookmarkStart w:id="16" w:name="_Toc20360"/>
      <w:bookmarkStart w:id="17" w:name="_Toc13833"/>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支出1329.2万元，占本年支出合计的91.13%，与上年相比，减少103.31万元，下降7.21%，主要原因是：2022年8-12月因防控原因，很多业务无法如期开展，且年中追减城乡义务保障经费很多业务无法支付，故较上年减少。</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1.教育支出（类）</w:t>
      </w:r>
      <w:r>
        <w:rPr>
          <w:rFonts w:hint="eastAsia" w:ascii="仿宋_GB2312" w:eastAsia="仿宋_GB2312"/>
          <w:sz w:val="32"/>
          <w:szCs w:val="32"/>
        </w:rPr>
        <w:t>1316.26</w:t>
      </w:r>
      <w:r>
        <w:rPr>
          <w:rFonts w:hint="eastAsia" w:ascii="仿宋_GB2312" w:hAnsi="仿宋_GB2312" w:eastAsia="仿宋_GB2312" w:cs="仿宋_GB2312"/>
          <w:kern w:val="0"/>
          <w:sz w:val="32"/>
          <w:szCs w:val="32"/>
        </w:rPr>
        <w:t>万元，占</w:t>
      </w:r>
      <w:r>
        <w:rPr>
          <w:rFonts w:hint="eastAsia" w:ascii="仿宋_GB2312" w:eastAsia="仿宋_GB2312"/>
          <w:sz w:val="32"/>
          <w:szCs w:val="32"/>
        </w:rPr>
        <w:t>99.03</w:t>
      </w:r>
      <w:r>
        <w:rPr>
          <w:rFonts w:hint="eastAsia" w:ascii="仿宋_GB2312" w:hAnsi="仿宋_GB2312" w:eastAsia="仿宋_GB2312" w:cs="仿宋_GB2312"/>
          <w:kern w:val="0"/>
          <w:sz w:val="32"/>
          <w:szCs w:val="32"/>
        </w:rPr>
        <w:t>%。</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2.社会保障和就业支出（类）12.95万元，占</w:t>
      </w:r>
      <w:r>
        <w:rPr>
          <w:rFonts w:hint="eastAsia" w:ascii="仿宋_GB2312" w:eastAsia="仿宋_GB2312"/>
          <w:sz w:val="32"/>
          <w:szCs w:val="32"/>
        </w:rPr>
        <w:t>0.97</w:t>
      </w:r>
      <w:r>
        <w:rPr>
          <w:rFonts w:hint="eastAsia" w:ascii="仿宋_GB2312" w:hAnsi="仿宋_GB2312" w:eastAsia="仿宋_GB2312" w:cs="仿宋_GB2312"/>
          <w:kern w:val="0"/>
          <w:sz w:val="32"/>
          <w:szCs w:val="32"/>
        </w:rPr>
        <w:t>%。</w:t>
      </w:r>
    </w:p>
    <w:p>
      <w:pPr>
        <w:ind w:firstLine="640" w:firstLineChars="200"/>
        <w:outlineLvl w:val="2"/>
        <w:rPr>
          <w:rFonts w:ascii="黑体" w:hAnsi="黑体" w:eastAsia="黑体"/>
          <w:sz w:val="32"/>
          <w:szCs w:val="32"/>
        </w:rPr>
      </w:pPr>
      <w:r>
        <w:rPr>
          <w:rFonts w:hint="eastAsia" w:ascii="黑体" w:hAnsi="黑体" w:eastAsia="黑体"/>
          <w:sz w:val="32"/>
          <w:szCs w:val="32"/>
        </w:rPr>
        <w:t>（三）一般公共预算财政拨款支出决算具体情况</w:t>
      </w:r>
    </w:p>
    <w:p>
      <w:pPr>
        <w:widowControl/>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1.教育支出（类）普通教育（款）小学教育（项）：支出决算数为</w:t>
      </w:r>
      <w:r>
        <w:rPr>
          <w:rFonts w:hint="eastAsia" w:ascii="仿宋_GB2312" w:eastAsia="仿宋_GB2312"/>
          <w:sz w:val="32"/>
          <w:szCs w:val="32"/>
        </w:rPr>
        <w:t>553.13</w:t>
      </w:r>
      <w:r>
        <w:rPr>
          <w:rFonts w:hint="eastAsia" w:ascii="仿宋_GB2312" w:hAnsi="仿宋_GB2312" w:eastAsia="仿宋_GB2312" w:cs="仿宋_GB2312"/>
          <w:kern w:val="0"/>
          <w:sz w:val="32"/>
          <w:szCs w:val="32"/>
        </w:rPr>
        <w:t>万元，比上年决算增加157.35万元，增长39.76%，主要原因是：</w:t>
      </w:r>
      <w:r>
        <w:rPr>
          <w:rFonts w:hint="eastAsia" w:ascii="仿宋_GB2312" w:eastAsia="仿宋_GB2312"/>
          <w:sz w:val="32"/>
          <w:szCs w:val="32"/>
        </w:rPr>
        <w:t>2022年将机关事业单位养老保险缴费列支在小学教育款项中，故较上年增长。</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2.教育支出（类）普通教育（款）初中教育（项）：支出决算数为</w:t>
      </w:r>
      <w:r>
        <w:rPr>
          <w:rFonts w:hint="eastAsia" w:ascii="仿宋_GB2312" w:eastAsia="仿宋_GB2312"/>
          <w:sz w:val="32"/>
          <w:szCs w:val="32"/>
        </w:rPr>
        <w:t>763.13</w:t>
      </w:r>
      <w:r>
        <w:rPr>
          <w:rFonts w:hint="eastAsia" w:ascii="仿宋_GB2312" w:hAnsi="仿宋_GB2312" w:eastAsia="仿宋_GB2312" w:cs="仿宋_GB2312"/>
          <w:kern w:val="0"/>
          <w:sz w:val="32"/>
          <w:szCs w:val="32"/>
        </w:rPr>
        <w:t>万元，比上年决算减少183.93万元，下降19.42%，主要原因是：</w:t>
      </w:r>
      <w:r>
        <w:rPr>
          <w:rFonts w:hint="eastAsia" w:ascii="仿宋_GB2312" w:eastAsia="仿宋_GB2312"/>
          <w:sz w:val="32"/>
          <w:szCs w:val="32"/>
        </w:rPr>
        <w:t>2022年较上年在职及退休人员共减少2人相应拨款减少、年中追减城乡义务保障经费，故支出较上年下降。</w:t>
      </w:r>
    </w:p>
    <w:p>
      <w:pPr>
        <w:widowControl/>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rPr>
        <w:t>3.社会保障和就业支出（类）企业改革补助（款）其他企业改革发展补助（项）：支出决算数为</w:t>
      </w:r>
      <w:r>
        <w:rPr>
          <w:rFonts w:hint="eastAsia" w:ascii="仿宋_GB2312" w:eastAsia="仿宋_GB2312"/>
          <w:sz w:val="32"/>
          <w:szCs w:val="32"/>
        </w:rPr>
        <w:t>12.95</w:t>
      </w:r>
      <w:r>
        <w:rPr>
          <w:rFonts w:hint="eastAsia" w:ascii="仿宋_GB2312" w:hAnsi="仿宋_GB2312" w:eastAsia="仿宋_GB2312" w:cs="仿宋_GB2312"/>
          <w:kern w:val="0"/>
          <w:sz w:val="32"/>
          <w:szCs w:val="32"/>
        </w:rPr>
        <w:t>万元，比上年决算减少</w:t>
      </w:r>
      <w:r>
        <w:rPr>
          <w:rFonts w:ascii="仿宋_GB2312" w:hAnsi="仿宋_GB2312" w:eastAsia="仿宋_GB2312" w:cs="仿宋_GB2312"/>
          <w:kern w:val="0"/>
          <w:sz w:val="32"/>
          <w:szCs w:val="32"/>
        </w:rPr>
        <w:t>20.85</w:t>
      </w:r>
      <w:r>
        <w:rPr>
          <w:rFonts w:hint="eastAsia" w:ascii="仿宋_GB2312" w:hAnsi="仿宋_GB2312" w:eastAsia="仿宋_GB2312" w:cs="仿宋_GB2312"/>
          <w:kern w:val="0"/>
          <w:sz w:val="32"/>
          <w:szCs w:val="32"/>
        </w:rPr>
        <w:t>万元，减少</w:t>
      </w:r>
      <w:r>
        <w:rPr>
          <w:rFonts w:ascii="仿宋_GB2312" w:hAnsi="仿宋_GB2312" w:eastAsia="仿宋_GB2312" w:cs="仿宋_GB2312"/>
          <w:kern w:val="0"/>
          <w:sz w:val="32"/>
          <w:szCs w:val="32"/>
        </w:rPr>
        <w:t>61.69</w:t>
      </w:r>
      <w:r>
        <w:rPr>
          <w:rFonts w:hint="eastAsia" w:ascii="仿宋_GB2312" w:hAnsi="仿宋_GB2312" w:eastAsia="仿宋_GB2312" w:cs="仿宋_GB2312"/>
          <w:kern w:val="0"/>
          <w:sz w:val="32"/>
          <w:szCs w:val="32"/>
        </w:rPr>
        <w:t>%，主要原因是：</w:t>
      </w:r>
      <w:r>
        <w:rPr>
          <w:rFonts w:hint="eastAsia" w:ascii="仿宋_GB2312" w:eastAsia="仿宋_GB2312"/>
          <w:sz w:val="32"/>
          <w:szCs w:val="32"/>
        </w:rPr>
        <w:t>2022年</w:t>
      </w:r>
      <w:r>
        <w:rPr>
          <w:rFonts w:hint="eastAsia" w:ascii="仿宋_GB2312" w:hAnsi="仿宋_GB2312" w:eastAsia="仿宋_GB2312" w:cs="仿宋_GB2312"/>
          <w:kern w:val="0"/>
          <w:sz w:val="32"/>
          <w:szCs w:val="32"/>
        </w:rPr>
        <w:t>企业改革补助（款）</w:t>
      </w:r>
      <w:r>
        <w:rPr>
          <w:rFonts w:hint="eastAsia" w:ascii="仿宋_GB2312" w:eastAsia="仿宋_GB2312"/>
          <w:sz w:val="32"/>
          <w:szCs w:val="32"/>
        </w:rPr>
        <w:t>其他企业改革发展补助（项）中工资福利支出-职工基本医疗保险缴费、公务员医疗支出较上年减少，对个人和家庭的补助-退休费支出较上年减少。</w:t>
      </w:r>
    </w:p>
    <w:p>
      <w:pPr>
        <w:widowControl/>
        <w:ind w:firstLine="640" w:firstLineChars="200"/>
        <w:jc w:val="left"/>
        <w:rPr>
          <w:rFonts w:ascii="仿宋_GB2312" w:eastAsia="仿宋_GB2312"/>
          <w:sz w:val="32"/>
          <w:szCs w:val="32"/>
        </w:rPr>
      </w:pPr>
      <w:r>
        <w:rPr>
          <w:rFonts w:hint="eastAsia" w:ascii="仿宋_GB2312" w:eastAsia="仿宋_GB2312"/>
          <w:sz w:val="32"/>
          <w:szCs w:val="32"/>
        </w:rPr>
        <w:t>4.</w:t>
      </w:r>
      <w:r>
        <w:rPr>
          <w:rFonts w:hint="eastAsia" w:ascii="仿宋_GB2312" w:hAnsi="仿宋_GB2312" w:eastAsia="仿宋_GB2312" w:cs="仿宋_GB2312"/>
          <w:kern w:val="0"/>
          <w:sz w:val="32"/>
          <w:szCs w:val="32"/>
        </w:rPr>
        <w:t>社会保障和就业支出（类）行政事业单位养老支出（款）机关事业单位基本养老保险缴费支出（项）</w:t>
      </w:r>
      <w:r>
        <w:rPr>
          <w:rFonts w:ascii="仿宋_GB2312" w:hAnsi="仿宋_GB2312" w:eastAsia="仿宋_GB2312" w:cs="仿宋_GB2312"/>
          <w:kern w:val="0"/>
          <w:sz w:val="32"/>
          <w:szCs w:val="32"/>
        </w:rPr>
        <w:t>：支出决算数为0，比上年决算数减少82.21万元，减少100%，</w:t>
      </w:r>
      <w:r>
        <w:rPr>
          <w:rFonts w:hint="eastAsia" w:ascii="仿宋_GB2312" w:hAnsi="仿宋_GB2312" w:eastAsia="仿宋_GB2312" w:cs="仿宋_GB2312"/>
          <w:kern w:val="0"/>
          <w:sz w:val="32"/>
          <w:szCs w:val="32"/>
        </w:rPr>
        <w:t>主要原因是：2022年无此科目，</w:t>
      </w:r>
      <w:r>
        <w:rPr>
          <w:rFonts w:hint="eastAsia" w:ascii="仿宋_GB2312" w:eastAsia="仿宋_GB2312"/>
          <w:sz w:val="32"/>
          <w:szCs w:val="32"/>
        </w:rPr>
        <w:t>本年度根据预算安排将机关事业单位基本养老保险缴费支出列支在教育支出-普通教育-小学教育款中。</w:t>
      </w:r>
    </w:p>
    <w:p>
      <w:pPr>
        <w:widowControl/>
        <w:ind w:firstLine="640" w:firstLineChars="200"/>
        <w:jc w:val="left"/>
        <w:rPr>
          <w:rFonts w:ascii="仿宋_GB2312" w:eastAsia="仿宋_GB2312"/>
          <w:sz w:val="32"/>
          <w:szCs w:val="32"/>
        </w:rPr>
      </w:pPr>
      <w:r>
        <w:rPr>
          <w:rFonts w:hint="eastAsia" w:ascii="仿宋_GB2312" w:eastAsia="仿宋_GB2312"/>
          <w:sz w:val="32"/>
          <w:szCs w:val="32"/>
        </w:rPr>
        <w:t xml:space="preserve"> 5.</w:t>
      </w:r>
      <w:r>
        <w:rPr>
          <w:rFonts w:hint="eastAsia" w:ascii="仿宋_GB2312" w:hAnsi="仿宋_GB2312" w:eastAsia="仿宋_GB2312" w:cs="仿宋_GB2312"/>
          <w:kern w:val="0"/>
          <w:sz w:val="32"/>
          <w:szCs w:val="32"/>
        </w:rPr>
        <w:t>社会保障和就业支出（类）行政事业单位养老支出（款）机关事业单位职业年金缴费支出（项）</w:t>
      </w:r>
      <w:r>
        <w:rPr>
          <w:rFonts w:ascii="仿宋_GB2312" w:hAnsi="仿宋_GB2312" w:eastAsia="仿宋_GB2312" w:cs="仿宋_GB2312"/>
          <w:kern w:val="0"/>
          <w:sz w:val="32"/>
          <w:szCs w:val="32"/>
        </w:rPr>
        <w:t>：支出决算数为0，比上年决算数减少6.56万元，减少100%，</w:t>
      </w:r>
      <w:r>
        <w:rPr>
          <w:rFonts w:hint="eastAsia" w:ascii="仿宋_GB2312" w:eastAsia="仿宋_GB2312"/>
          <w:sz w:val="32"/>
          <w:szCs w:val="32"/>
        </w:rPr>
        <w:t>2022年无人员退休，故机关事业单位职业年金缴费支出较上年减少。</w:t>
      </w:r>
    </w:p>
    <w:p>
      <w:pPr>
        <w:ind w:firstLine="640" w:firstLineChars="200"/>
        <w:outlineLvl w:val="1"/>
        <w:rPr>
          <w:rFonts w:ascii="黑体" w:hAnsi="黑体" w:eastAsia="黑体" w:cs="宋体"/>
          <w:bCs/>
          <w:kern w:val="0"/>
          <w:sz w:val="32"/>
          <w:szCs w:val="32"/>
        </w:rPr>
      </w:pPr>
      <w:bookmarkStart w:id="18" w:name="_Toc30870"/>
      <w:bookmarkStart w:id="19" w:name="_Toc11146"/>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2022年度一般公共预算财政拨款基本支出1187.82万元，其中：</w:t>
      </w:r>
    </w:p>
    <w:p>
      <w:pPr>
        <w:ind w:firstLine="640" w:firstLineChars="200"/>
        <w:rPr>
          <w:rFonts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1157.3</w:t>
      </w:r>
      <w:r>
        <w:rPr>
          <w:rFonts w:hint="eastAsia" w:ascii="仿宋_GB2312" w:eastAsia="仿宋_GB2312"/>
          <w:sz w:val="32"/>
          <w:szCs w:val="32"/>
        </w:rPr>
        <w:t>5万元，包括：基本工资、津贴补贴、奖金、绩效工资、机关事业单位基本养老保险缴费、职业年金缴费、职工基本医疗保险缴费、公务员医疗补助缴费、其他社会保障缴费、住房公积金、其他工资福利支出、退休费、抚恤金、奖励金。</w:t>
      </w:r>
    </w:p>
    <w:p>
      <w:pPr>
        <w:ind w:firstLine="640" w:firstLineChars="200"/>
        <w:rPr>
          <w:rFonts w:ascii="仿宋_GB2312" w:hAnsi="宋体" w:eastAsia="仿宋_GB2312" w:cs="宋体"/>
          <w:kern w:val="0"/>
          <w:sz w:val="32"/>
          <w:szCs w:val="32"/>
        </w:rPr>
      </w:pPr>
      <w:r>
        <w:rPr>
          <w:rFonts w:hint="eastAsia" w:ascii="仿宋_GB2312" w:eastAsia="仿宋_GB2312"/>
          <w:sz w:val="32"/>
          <w:szCs w:val="32"/>
        </w:rPr>
        <w:t>公用经费30.47万元，包括：办公费、水费、电费、邮电费、取暖费、专用材料费、工会经费、其他交通费用。</w:t>
      </w:r>
    </w:p>
    <w:p>
      <w:pPr>
        <w:ind w:firstLine="640" w:firstLineChars="200"/>
        <w:outlineLvl w:val="1"/>
        <w:rPr>
          <w:rFonts w:ascii="黑体" w:hAnsi="黑体" w:eastAsia="黑体" w:cs="宋体"/>
          <w:bCs/>
          <w:kern w:val="0"/>
          <w:sz w:val="32"/>
          <w:szCs w:val="32"/>
        </w:rPr>
      </w:pPr>
      <w:bookmarkStart w:id="20" w:name="_Toc21518"/>
      <w:bookmarkStart w:id="21" w:name="_Toc7190"/>
      <w:r>
        <w:rPr>
          <w:rFonts w:hint="eastAsia" w:ascii="黑体" w:hAnsi="黑体" w:eastAsia="黑体" w:cs="宋体"/>
          <w:bCs/>
          <w:kern w:val="0"/>
          <w:sz w:val="32"/>
          <w:szCs w:val="32"/>
        </w:rPr>
        <w:t>七、财政拨款“三公”经费支出决算情况说明</w:t>
      </w:r>
      <w:bookmarkEnd w:id="20"/>
      <w:bookmarkEnd w:id="21"/>
    </w:p>
    <w:p>
      <w:pPr>
        <w:widowControl/>
        <w:ind w:firstLine="640" w:firstLineChars="200"/>
        <w:jc w:val="left"/>
        <w:rPr>
          <w:rFonts w:ascii="仿宋_GB2312" w:eastAsia="仿宋_GB2312"/>
          <w:sz w:val="32"/>
          <w:szCs w:val="32"/>
        </w:rPr>
      </w:pPr>
      <w:r>
        <w:rPr>
          <w:rFonts w:hint="eastAsia" w:ascii="仿宋_GB2312" w:eastAsia="仿宋_GB2312"/>
          <w:sz w:val="32"/>
          <w:szCs w:val="32"/>
        </w:rPr>
        <w:t>2022年度财政拨款“三公”经费支出决算0万元，比上年增加0万元，增长0.00%，主要原因是：</w:t>
      </w:r>
      <w:r>
        <w:rPr>
          <w:rFonts w:ascii="仿宋_GB2312" w:hAnsi="仿宋_GB2312" w:eastAsia="仿宋_GB2312" w:cs="仿宋_GB2312"/>
          <w:kern w:val="0"/>
          <w:sz w:val="31"/>
          <w:szCs w:val="31"/>
        </w:rPr>
        <w:t>本年单位无此项支出</w:t>
      </w:r>
      <w:r>
        <w:rPr>
          <w:rFonts w:hint="eastAsia" w:ascii="仿宋_GB2312" w:eastAsia="仿宋_GB2312"/>
          <w:sz w:val="32"/>
          <w:szCs w:val="32"/>
        </w:rPr>
        <w:t>。其中：因公出国（境）费支出0万元，占0.00%，比上年增加0万元，增长0.00%，主要原因是：</w:t>
      </w:r>
      <w:r>
        <w:rPr>
          <w:rFonts w:ascii="仿宋_GB2312" w:hAnsi="仿宋_GB2312" w:eastAsia="仿宋_GB2312" w:cs="仿宋_GB2312"/>
          <w:kern w:val="0"/>
          <w:sz w:val="31"/>
          <w:szCs w:val="31"/>
        </w:rPr>
        <w:t>本年单位无因公出 国（境）费支出</w:t>
      </w:r>
      <w:r>
        <w:rPr>
          <w:rFonts w:hint="eastAsia" w:ascii="仿宋_GB2312" w:eastAsia="仿宋_GB2312"/>
          <w:sz w:val="32"/>
          <w:szCs w:val="32"/>
        </w:rPr>
        <w:t>；公务用车购置及运行维护费支出0万元，占0.00%，比上年增加0万元，增长0.00%，主要原因是：</w:t>
      </w:r>
      <w:r>
        <w:rPr>
          <w:rFonts w:ascii="仿宋_GB2312" w:hAnsi="仿宋_GB2312" w:eastAsia="仿宋_GB2312" w:cs="仿宋_GB2312"/>
          <w:kern w:val="0"/>
          <w:sz w:val="31"/>
          <w:szCs w:val="31"/>
        </w:rPr>
        <w:t>本年单位无</w:t>
      </w:r>
      <w:r>
        <w:rPr>
          <w:rFonts w:hint="eastAsia" w:ascii="仿宋_GB2312" w:eastAsia="仿宋_GB2312"/>
          <w:sz w:val="32"/>
          <w:szCs w:val="32"/>
        </w:rPr>
        <w:t>公务用车购置及运行维护费；公务接待费支出0万元，占0.00%，比上年增加0万元，增长0.00%，主要原因是：</w:t>
      </w:r>
      <w:r>
        <w:rPr>
          <w:rFonts w:ascii="仿宋_GB2312" w:hAnsi="仿宋_GB2312" w:eastAsia="仿宋_GB2312" w:cs="仿宋_GB2312"/>
          <w:kern w:val="0"/>
          <w:sz w:val="31"/>
          <w:szCs w:val="31"/>
        </w:rPr>
        <w:t>本年单位无</w:t>
      </w:r>
      <w:r>
        <w:rPr>
          <w:rFonts w:hint="eastAsia" w:ascii="仿宋_GB2312" w:eastAsia="仿宋_GB2312"/>
          <w:sz w:val="32"/>
          <w:szCs w:val="32"/>
        </w:rPr>
        <w:t>公务接待费。具体情况如下：</w:t>
      </w:r>
    </w:p>
    <w:p>
      <w:pPr>
        <w:widowControl/>
        <w:ind w:firstLine="640" w:firstLineChars="200"/>
        <w:jc w:val="left"/>
        <w:rPr>
          <w:rFonts w:ascii="仿宋_GB2312" w:eastAsia="仿宋_GB2312"/>
          <w:sz w:val="32"/>
          <w:szCs w:val="32"/>
        </w:rPr>
      </w:pPr>
      <w:r>
        <w:rPr>
          <w:rFonts w:hint="eastAsia" w:ascii="仿宋_GB2312" w:eastAsia="仿宋_GB2312"/>
          <w:sz w:val="32"/>
          <w:szCs w:val="32"/>
        </w:rPr>
        <w:t>因公出国（境）费支出0万元，开支内容包括：</w:t>
      </w:r>
      <w:r>
        <w:rPr>
          <w:rFonts w:ascii="仿宋_GB2312" w:hAnsi="仿宋_GB2312" w:eastAsia="仿宋_GB2312" w:cs="仿宋_GB2312"/>
          <w:kern w:val="0"/>
          <w:sz w:val="31"/>
          <w:szCs w:val="31"/>
        </w:rPr>
        <w:t>本年单位无此项支出</w:t>
      </w:r>
      <w:r>
        <w:rPr>
          <w:rFonts w:hint="eastAsia" w:ascii="仿宋_GB2312" w:eastAsia="仿宋_GB2312"/>
          <w:sz w:val="32"/>
          <w:szCs w:val="32"/>
        </w:rPr>
        <w:t>。单位全年安排的因公出国（境）团组0个，因公出国（境）0人次。</w:t>
      </w:r>
    </w:p>
    <w:p>
      <w:pPr>
        <w:widowControl/>
        <w:ind w:firstLine="640" w:firstLineChars="200"/>
        <w:jc w:val="left"/>
        <w:rPr>
          <w:rFonts w:ascii="仿宋_GB2312" w:eastAsia="仿宋_GB2312"/>
          <w:sz w:val="32"/>
          <w:szCs w:val="32"/>
        </w:rPr>
      </w:pPr>
      <w:r>
        <w:rPr>
          <w:rFonts w:hint="eastAsia" w:ascii="仿宋_GB2312" w:eastAsia="仿宋_GB2312"/>
          <w:sz w:val="32"/>
          <w:szCs w:val="32"/>
        </w:rPr>
        <w:t>公务用车购置及运行维护费0万元，其中：公务用车购置费0万元，公务用车运行维护费0万元。公务用车运行维护费开支内容包括：</w:t>
      </w:r>
      <w:r>
        <w:rPr>
          <w:rFonts w:ascii="仿宋_GB2312" w:hAnsi="仿宋_GB2312" w:eastAsia="仿宋_GB2312" w:cs="仿宋_GB2312"/>
          <w:kern w:val="0"/>
          <w:sz w:val="31"/>
          <w:szCs w:val="31"/>
        </w:rPr>
        <w:t>本年单位无此项支出</w:t>
      </w:r>
      <w:r>
        <w:rPr>
          <w:rFonts w:hint="eastAsia" w:ascii="仿宋_GB2312" w:eastAsia="仿宋_GB2312"/>
          <w:sz w:val="32"/>
          <w:szCs w:val="32"/>
        </w:rPr>
        <w:t>。公务用车购置数0辆，公务用车保有量0辆。</w:t>
      </w:r>
    </w:p>
    <w:p>
      <w:pPr>
        <w:widowControl/>
        <w:ind w:firstLine="640" w:firstLineChars="200"/>
        <w:jc w:val="left"/>
        <w:rPr>
          <w:rFonts w:ascii="仿宋_GB2312" w:eastAsia="仿宋_GB2312"/>
          <w:sz w:val="32"/>
          <w:szCs w:val="32"/>
        </w:rPr>
      </w:pPr>
      <w:r>
        <w:rPr>
          <w:rFonts w:hint="eastAsia" w:ascii="仿宋_GB2312" w:eastAsia="仿宋_GB2312"/>
          <w:sz w:val="32"/>
          <w:szCs w:val="32"/>
        </w:rPr>
        <w:t>公务接待费0万元，开支内容包括：</w:t>
      </w:r>
      <w:r>
        <w:rPr>
          <w:rFonts w:ascii="仿宋_GB2312" w:hAnsi="仿宋_GB2312" w:eastAsia="仿宋_GB2312" w:cs="仿宋_GB2312"/>
          <w:kern w:val="0"/>
          <w:sz w:val="31"/>
          <w:szCs w:val="31"/>
        </w:rPr>
        <w:t>本年单位无此项支出</w:t>
      </w:r>
      <w:r>
        <w:rPr>
          <w:rFonts w:hint="eastAsia" w:ascii="仿宋_GB2312" w:eastAsia="仿宋_GB2312"/>
          <w:sz w:val="32"/>
          <w:szCs w:val="32"/>
        </w:rPr>
        <w:t>。单位全年安排的国内公务接待0批次，0人次。</w:t>
      </w:r>
    </w:p>
    <w:p>
      <w:pPr>
        <w:widowControl/>
        <w:ind w:firstLine="640" w:firstLineChars="200"/>
        <w:jc w:val="left"/>
        <w:rPr>
          <w:rFonts w:ascii="仿宋_GB2312" w:eastAsia="仿宋_GB2312"/>
          <w:sz w:val="32"/>
          <w:szCs w:val="32"/>
        </w:rPr>
      </w:pPr>
      <w:r>
        <w:rPr>
          <w:rFonts w:hint="eastAsia" w:ascii="仿宋_GB2312" w:eastAsia="仿宋_GB2312"/>
          <w:sz w:val="32"/>
          <w:szCs w:val="32"/>
        </w:rPr>
        <w:t>与全年预算数相比情况：“三公”经费支出全年预算数0万元，决算数0万元，预决算差异率0.00%，主要原因是：</w:t>
      </w:r>
      <w:r>
        <w:rPr>
          <w:rFonts w:ascii="仿宋_GB2312" w:hAnsi="仿宋_GB2312" w:eastAsia="仿宋_GB2312" w:cs="仿宋_GB2312"/>
          <w:kern w:val="0"/>
          <w:sz w:val="31"/>
          <w:szCs w:val="31"/>
        </w:rPr>
        <w:t>本年单位无此项支出</w:t>
      </w:r>
      <w:r>
        <w:rPr>
          <w:rFonts w:hint="eastAsia" w:ascii="仿宋_GB2312" w:hAnsi="仿宋_GB2312" w:eastAsia="仿宋_GB2312" w:cs="仿宋_GB2312"/>
          <w:kern w:val="0"/>
          <w:sz w:val="31"/>
          <w:szCs w:val="31"/>
        </w:rPr>
        <w:t>，所以本单位无</w:t>
      </w:r>
      <w:r>
        <w:rPr>
          <w:rFonts w:hint="eastAsia" w:ascii="仿宋_GB2312" w:eastAsia="仿宋_GB2312"/>
          <w:sz w:val="32"/>
          <w:szCs w:val="32"/>
        </w:rPr>
        <w:t>“三公”经费支出安排。</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0万元，决算数0万元，预决算差异率0%，主要原因</w:t>
      </w:r>
      <w:bookmarkStart w:id="54" w:name="_GoBack"/>
      <w:bookmarkEnd w:id="54"/>
      <w:r>
        <w:rPr>
          <w:rFonts w:hint="eastAsia" w:ascii="仿宋_GB2312" w:eastAsia="仿宋_GB2312"/>
          <w:sz w:val="32"/>
          <w:szCs w:val="32"/>
        </w:rPr>
        <w:t>是：</w:t>
      </w:r>
      <w:r>
        <w:rPr>
          <w:rFonts w:ascii="仿宋_GB2312" w:hAnsi="仿宋_GB2312" w:eastAsia="仿宋_GB2312" w:cs="仿宋_GB2312"/>
          <w:kern w:val="0"/>
          <w:sz w:val="31"/>
          <w:szCs w:val="31"/>
        </w:rPr>
        <w:t>本年单位无此项支出</w:t>
      </w:r>
      <w:r>
        <w:rPr>
          <w:rFonts w:hint="eastAsia" w:ascii="仿宋_GB2312" w:hAnsi="仿宋_GB2312" w:eastAsia="仿宋_GB2312" w:cs="仿宋_GB2312"/>
          <w:kern w:val="0"/>
          <w:sz w:val="31"/>
          <w:szCs w:val="31"/>
        </w:rPr>
        <w:t>，所以本单位无</w:t>
      </w:r>
      <w:r>
        <w:rPr>
          <w:rFonts w:hint="eastAsia" w:ascii="仿宋_GB2312" w:hAnsi="宋体" w:eastAsia="仿宋_GB2312" w:cs="宋体"/>
          <w:kern w:val="0"/>
          <w:sz w:val="32"/>
          <w:szCs w:val="32"/>
        </w:rPr>
        <w:t>因公出国（境）费安排</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费全年预算数0万元，决算数0万元，预决算差异率0.00%，主要原因是：</w:t>
      </w:r>
      <w:r>
        <w:rPr>
          <w:rFonts w:ascii="仿宋_GB2312" w:hAnsi="仿宋_GB2312" w:eastAsia="仿宋_GB2312" w:cs="仿宋_GB2312"/>
          <w:kern w:val="0"/>
          <w:sz w:val="31"/>
          <w:szCs w:val="31"/>
        </w:rPr>
        <w:t>本年单位无此项支出</w:t>
      </w:r>
      <w:r>
        <w:rPr>
          <w:rFonts w:hint="eastAsia" w:ascii="仿宋_GB2312" w:hAnsi="仿宋_GB2312" w:eastAsia="仿宋_GB2312" w:cs="仿宋_GB2312"/>
          <w:kern w:val="0"/>
          <w:sz w:val="31"/>
          <w:szCs w:val="31"/>
        </w:rPr>
        <w:t>，所以本单位无</w:t>
      </w:r>
      <w:r>
        <w:rPr>
          <w:rFonts w:hint="eastAsia" w:ascii="仿宋_GB2312" w:hAnsi="宋体" w:eastAsia="仿宋_GB2312" w:cs="宋体"/>
          <w:kern w:val="0"/>
          <w:sz w:val="32"/>
          <w:szCs w:val="32"/>
        </w:rPr>
        <w:t>公务用车购置</w:t>
      </w:r>
      <w:r>
        <w:rPr>
          <w:rFonts w:hint="eastAsia" w:ascii="仿宋_GB2312" w:eastAsia="仿宋_GB2312"/>
          <w:sz w:val="32"/>
          <w:szCs w:val="32"/>
        </w:rPr>
        <w:t>费安排；</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预算数0万元，决算数0万元，预决算差异率0.00%，主要原因是：</w:t>
      </w:r>
      <w:r>
        <w:rPr>
          <w:rFonts w:ascii="仿宋_GB2312" w:hAnsi="仿宋_GB2312" w:eastAsia="仿宋_GB2312" w:cs="仿宋_GB2312"/>
          <w:kern w:val="0"/>
          <w:sz w:val="31"/>
          <w:szCs w:val="31"/>
        </w:rPr>
        <w:t>本年单位无此项支出</w:t>
      </w:r>
      <w:r>
        <w:rPr>
          <w:rFonts w:hint="eastAsia" w:ascii="仿宋_GB2312" w:hAnsi="仿宋_GB2312" w:eastAsia="仿宋_GB2312" w:cs="仿宋_GB2312"/>
          <w:kern w:val="0"/>
          <w:sz w:val="31"/>
          <w:szCs w:val="31"/>
        </w:rPr>
        <w:t>，所以本单位无</w:t>
      </w:r>
      <w:r>
        <w:rPr>
          <w:rFonts w:hint="eastAsia" w:ascii="仿宋_GB2312" w:hAnsi="宋体" w:eastAsia="仿宋_GB2312" w:cs="宋体"/>
          <w:kern w:val="0"/>
          <w:sz w:val="32"/>
          <w:szCs w:val="32"/>
        </w:rPr>
        <w:t>公务用车运行费安排</w:t>
      </w:r>
      <w:r>
        <w:rPr>
          <w:rFonts w:hint="eastAsia" w:ascii="仿宋_GB2312" w:eastAsia="仿宋_GB2312"/>
          <w:sz w:val="32"/>
          <w:szCs w:val="32"/>
        </w:rPr>
        <w:t>；</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预算数0万元，决算数0万元，预决算差异率0%，主要原因是：</w:t>
      </w:r>
      <w:r>
        <w:rPr>
          <w:rFonts w:ascii="仿宋_GB2312" w:hAnsi="仿宋_GB2312" w:eastAsia="仿宋_GB2312" w:cs="仿宋_GB2312"/>
          <w:kern w:val="0"/>
          <w:sz w:val="31"/>
          <w:szCs w:val="31"/>
        </w:rPr>
        <w:t>本年单位无此项支出</w:t>
      </w:r>
      <w:r>
        <w:rPr>
          <w:rFonts w:hint="eastAsia" w:ascii="仿宋_GB2312" w:hAnsi="仿宋_GB2312" w:eastAsia="仿宋_GB2312" w:cs="仿宋_GB2312"/>
          <w:kern w:val="0"/>
          <w:sz w:val="31"/>
          <w:szCs w:val="31"/>
        </w:rPr>
        <w:t>，所以本单位无</w:t>
      </w:r>
      <w:r>
        <w:rPr>
          <w:rFonts w:hint="eastAsia" w:ascii="仿宋_GB2312" w:hAnsi="宋体" w:eastAsia="仿宋_GB2312" w:cs="宋体"/>
          <w:kern w:val="0"/>
          <w:sz w:val="32"/>
          <w:szCs w:val="32"/>
        </w:rPr>
        <w:t>公务接待费安排</w:t>
      </w:r>
      <w:r>
        <w:rPr>
          <w:rFonts w:hint="eastAsia" w:ascii="仿宋_GB2312" w:eastAsia="仿宋_GB2312"/>
          <w:sz w:val="32"/>
          <w:szCs w:val="32"/>
        </w:rPr>
        <w:t>。</w:t>
      </w:r>
    </w:p>
    <w:p>
      <w:pPr>
        <w:ind w:firstLine="640" w:firstLineChars="200"/>
        <w:outlineLvl w:val="1"/>
        <w:rPr>
          <w:rFonts w:ascii="黑体" w:hAnsi="黑体" w:eastAsia="黑体" w:cs="宋体"/>
          <w:bCs/>
          <w:kern w:val="0"/>
          <w:sz w:val="32"/>
          <w:szCs w:val="32"/>
        </w:rPr>
      </w:pPr>
      <w:bookmarkStart w:id="22" w:name="_Toc5810"/>
      <w:bookmarkStart w:id="23" w:name="_Toc7927"/>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我单位本年度无政府性基金预算财政拨款收入、支出及结转和结余，政府性基金预算财政拨款收入支出决算表为空表。</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outlineLvl w:val="1"/>
        <w:rPr>
          <w:rFonts w:ascii="黑体" w:hAnsi="黑体" w:eastAsia="黑体" w:cs="宋体"/>
          <w:bCs/>
          <w:kern w:val="0"/>
          <w:sz w:val="32"/>
          <w:szCs w:val="32"/>
        </w:rPr>
      </w:pPr>
      <w:bookmarkStart w:id="24" w:name="_Toc1235"/>
      <w:bookmarkStart w:id="25" w:name="_Toc7314"/>
      <w:r>
        <w:rPr>
          <w:rFonts w:hint="eastAsia" w:ascii="黑体" w:hAnsi="黑体" w:eastAsia="黑体" w:cs="宋体"/>
          <w:bCs/>
          <w:kern w:val="0"/>
          <w:sz w:val="32"/>
          <w:szCs w:val="32"/>
        </w:rPr>
        <w:t>十、其他重要事项的情况说明</w:t>
      </w:r>
      <w:bookmarkEnd w:id="24"/>
      <w:bookmarkEnd w:id="25"/>
    </w:p>
    <w:p>
      <w:pPr>
        <w:ind w:firstLine="640" w:firstLineChars="200"/>
        <w:outlineLvl w:val="2"/>
        <w:rPr>
          <w:rFonts w:ascii="黑体" w:hAnsi="黑体" w:eastAsia="黑体"/>
          <w:sz w:val="32"/>
          <w:szCs w:val="32"/>
        </w:rPr>
      </w:pPr>
      <w:bookmarkStart w:id="26" w:name="_Toc14519"/>
      <w:bookmarkStart w:id="27" w:name="_Toc13105"/>
      <w:r>
        <w:rPr>
          <w:rFonts w:hint="eastAsia" w:ascii="黑体" w:hAnsi="黑体" w:eastAsia="黑体"/>
          <w:sz w:val="32"/>
          <w:szCs w:val="32"/>
        </w:rPr>
        <w:t>（一）机关运行经费支出情况</w:t>
      </w:r>
      <w:bookmarkEnd w:id="26"/>
      <w:bookmarkEnd w:id="27"/>
    </w:p>
    <w:p>
      <w:pPr>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2022年度</w:t>
      </w:r>
      <w:r>
        <w:rPr>
          <w:rFonts w:ascii="仿宋_GB2312" w:hAnsi="仿宋_GB2312" w:eastAsia="仿宋_GB2312" w:cs="仿宋_GB2312"/>
          <w:kern w:val="0"/>
          <w:sz w:val="31"/>
          <w:szCs w:val="31"/>
        </w:rPr>
        <w:t>乌鲁木齐市第三十二中学单位公用经费</w:t>
      </w:r>
      <w:r>
        <w:rPr>
          <w:rFonts w:hint="eastAsia" w:ascii="仿宋_GB2312" w:eastAsia="仿宋_GB2312"/>
          <w:sz w:val="32"/>
          <w:szCs w:val="32"/>
        </w:rPr>
        <w:t>支出30.47万元，比上年减少90.28万元，下降74.76%，主要原因是：2022年8-12月因防控原因，很多业务无法如期开展，且年中追减城乡义务保障经费，故支出较上年减少。</w:t>
      </w:r>
    </w:p>
    <w:p>
      <w:pPr>
        <w:ind w:firstLine="640" w:firstLineChars="200"/>
        <w:outlineLvl w:val="2"/>
        <w:rPr>
          <w:rFonts w:ascii="黑体" w:hAnsi="黑体" w:eastAsia="黑体"/>
          <w:sz w:val="32"/>
          <w:szCs w:val="32"/>
        </w:rPr>
      </w:pPr>
      <w:bookmarkStart w:id="28" w:name="_Toc227"/>
      <w:bookmarkStart w:id="29" w:name="_Toc26704"/>
      <w:r>
        <w:rPr>
          <w:rFonts w:hint="eastAsia" w:ascii="黑体" w:hAnsi="黑体" w:eastAsia="黑体"/>
          <w:sz w:val="32"/>
          <w:szCs w:val="32"/>
        </w:rPr>
        <w:t>（二）政府采购情况</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2022年度政府采购支出总额0万元，其中：政府采购货物支出0万元、政府采购工程支出0万元、政府采购服务支出0万元。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授予中小企业合同金额0万元，占政府采购支出总额的0%，其中：授予小微企业合同金额0万元，占政府采购支出总额的0.00%。</w:t>
      </w:r>
    </w:p>
    <w:p>
      <w:pPr>
        <w:ind w:firstLine="640" w:firstLineChars="200"/>
        <w:outlineLvl w:val="2"/>
        <w:rPr>
          <w:rFonts w:ascii="黑体" w:hAnsi="黑体" w:eastAsia="黑体"/>
          <w:sz w:val="32"/>
          <w:szCs w:val="32"/>
        </w:rPr>
      </w:pPr>
      <w:bookmarkStart w:id="30" w:name="_Toc4591"/>
      <w:bookmarkStart w:id="31" w:name="_Toc8391"/>
      <w:r>
        <w:rPr>
          <w:rFonts w:hint="eastAsia" w:ascii="黑体" w:hAnsi="黑体" w:eastAsia="黑体"/>
          <w:sz w:val="32"/>
          <w:szCs w:val="32"/>
        </w:rPr>
        <w:t>（三）国有资产占用情况说明</w:t>
      </w:r>
      <w:bookmarkEnd w:id="30"/>
      <w:bookmarkEnd w:id="31"/>
    </w:p>
    <w:p>
      <w:pPr>
        <w:widowControl/>
        <w:ind w:firstLine="640" w:firstLineChars="200"/>
        <w:jc w:val="left"/>
        <w:rPr>
          <w:rFonts w:ascii="仿宋_GB2312" w:eastAsia="仿宋_GB2312"/>
          <w:sz w:val="32"/>
          <w:szCs w:val="32"/>
        </w:rPr>
      </w:pPr>
      <w:r>
        <w:rPr>
          <w:rFonts w:hint="eastAsia" w:ascii="仿宋_GB2312" w:eastAsia="仿宋_GB2312"/>
          <w:sz w:val="32"/>
          <w:szCs w:val="32"/>
        </w:rPr>
        <w:t>截止2023年12月31日，固定资产原值1840.54万元，房屋10904.7平方米，价值928.1万元。车辆2辆，价值94.19万元，其中：副部（省）级及以上领导用车0辆、主要领导干部用车0辆、机要通信用车0辆、应急保障用车0辆、执法执勤用车0辆、特种专业技术用车0辆、离退休干部用车0辆、其他用车2辆，其他用车主要是：</w:t>
      </w:r>
      <w:r>
        <w:rPr>
          <w:rFonts w:ascii="仿宋_GB2312" w:hAnsi="仿宋_GB2312" w:eastAsia="仿宋_GB2312" w:cs="仿宋_GB2312"/>
          <w:kern w:val="0"/>
          <w:sz w:val="31"/>
          <w:szCs w:val="31"/>
        </w:rPr>
        <w:t>校车，用于接送教师上下班</w:t>
      </w:r>
      <w:r>
        <w:rPr>
          <w:rFonts w:hint="eastAsia" w:ascii="仿宋_GB2312" w:eastAsia="仿宋_GB2312"/>
          <w:sz w:val="32"/>
          <w:szCs w:val="32"/>
        </w:rPr>
        <w:t>；单价100万元（含）以上设备（不含车辆）0台（套）。</w:t>
      </w:r>
    </w:p>
    <w:p>
      <w:pPr>
        <w:ind w:firstLine="640" w:firstLineChars="200"/>
        <w:outlineLvl w:val="1"/>
        <w:rPr>
          <w:rFonts w:ascii="黑体" w:hAnsi="黑体" w:eastAsia="黑体" w:cs="宋体"/>
          <w:bCs/>
          <w:kern w:val="0"/>
          <w:sz w:val="32"/>
          <w:szCs w:val="32"/>
        </w:rPr>
      </w:pPr>
      <w:bookmarkStart w:id="32" w:name="_Toc11283"/>
      <w:bookmarkStart w:id="33" w:name="_Toc435"/>
      <w:r>
        <w:rPr>
          <w:rFonts w:hint="eastAsia" w:ascii="黑体" w:hAnsi="黑体" w:eastAsia="黑体" w:cs="宋体"/>
          <w:bCs/>
          <w:kern w:val="0"/>
          <w:sz w:val="32"/>
          <w:szCs w:val="32"/>
        </w:rPr>
        <w:t>十一、预算绩效的情况说明</w:t>
      </w:r>
      <w:bookmarkEnd w:id="32"/>
      <w:bookmarkEnd w:id="33"/>
    </w:p>
    <w:p>
      <w:pPr>
        <w:widowControl/>
        <w:ind w:firstLine="640" w:firstLineChars="200"/>
        <w:jc w:val="left"/>
        <w:rPr>
          <w:rFonts w:ascii="仿宋_GB2312" w:hAnsi="仿宋_GB2312" w:eastAsia="仿宋_GB2312" w:cs="仿宋_GB2312"/>
          <w:kern w:val="0"/>
          <w:sz w:val="31"/>
          <w:szCs w:val="31"/>
        </w:rPr>
      </w:pPr>
      <w:r>
        <w:rPr>
          <w:rFonts w:hint="eastAsia" w:ascii="仿宋_GB2312" w:eastAsia="仿宋_GB2312"/>
          <w:sz w:val="32"/>
          <w:szCs w:val="32"/>
        </w:rPr>
        <w:t>根据预算绩效管理要求，我单位2022年度开展预算绩效评价项目6个，全年预算数169.58万元，全年执行数67.43万元。预算绩效管理取得的成效：</w:t>
      </w:r>
      <w:r>
        <w:rPr>
          <w:rFonts w:ascii="仿宋_GB2312" w:hAnsi="仿宋_GB2312" w:eastAsia="仿宋_GB2312" w:cs="仿宋_GB2312"/>
          <w:kern w:val="0"/>
          <w:sz w:val="31"/>
          <w:szCs w:val="31"/>
        </w:rPr>
        <w:t>一是</w:t>
      </w:r>
      <w:r>
        <w:rPr>
          <w:rFonts w:hint="eastAsia" w:ascii="仿宋_GB2312" w:hAnsi="仿宋_GB2312" w:eastAsia="仿宋_GB2312" w:cs="仿宋_GB2312"/>
          <w:kern w:val="0"/>
          <w:sz w:val="31"/>
          <w:szCs w:val="31"/>
        </w:rPr>
        <w:t>基本</w:t>
      </w:r>
      <w:r>
        <w:rPr>
          <w:rFonts w:ascii="仿宋_GB2312" w:hAnsi="仿宋_GB2312" w:eastAsia="仿宋_GB2312" w:cs="仿宋_GB2312"/>
          <w:kern w:val="0"/>
          <w:sz w:val="31"/>
          <w:szCs w:val="31"/>
        </w:rPr>
        <w:t>提升了校园环境；二是</w:t>
      </w:r>
      <w:r>
        <w:rPr>
          <w:rFonts w:hint="eastAsia" w:ascii="仿宋_GB2312" w:hAnsi="仿宋_GB2312" w:eastAsia="仿宋_GB2312" w:cs="仿宋_GB2312"/>
          <w:kern w:val="0"/>
          <w:sz w:val="31"/>
          <w:szCs w:val="31"/>
        </w:rPr>
        <w:t>基本</w:t>
      </w:r>
      <w:r>
        <w:rPr>
          <w:rFonts w:ascii="仿宋_GB2312" w:hAnsi="仿宋_GB2312" w:eastAsia="仿宋_GB2312" w:cs="仿宋_GB2312"/>
          <w:kern w:val="0"/>
          <w:sz w:val="31"/>
          <w:szCs w:val="31"/>
        </w:rPr>
        <w:t>保障了学校教学工作的正常运转。发现的问题及原因：一是项目资金年初需及时拨付，资金申报需及时批复；二是预算切合单位实际需要不足，追加预算不够细化，项目绩效支出的绩效考核力度不够强。预算编制时考虑单位各个项目的收支情况不够全面，各个部门之间不够协调，各个岗位之间的责任划分不够明确，预算管理意识不够强，专项资金管理办法不够完善，领导干部的依法行政意识不够强，跟踪检查制度不够完善，常态化活动经费的管理制度不够完善。下一步改进措施：一是继续加强相关经费的使用管理，更好的利用校园绿化美化经费；二是要有合理化的、科学化、规范化的预算编制，采用动态化预算编制方法，缩短预算执行周期，建立专门的专项经费管理小组，最大限度提升对专项经费的管理与使用。预算编制时考虑单位各个项目的收支情况，协调好各个部门，各个岗位之间的责任，这样才能保障预算方案可以有效执行。树立以财政政策为导向的绩效管理理念。建立系统的绩效管理体系。一个完整的绩效管理体系，应该包括绩效计划，绩效过程观察与控制，绩效考评，绩效反馈四个环节。建立有效的，全过程的绩效管理沟通机制。具体项目自评情况附项目支出绩效自评表。</w:t>
      </w:r>
      <w:bookmarkStart w:id="34" w:name="_Toc3250"/>
      <w:bookmarkStart w:id="35" w:name="_Toc24143"/>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p>
      <w:pPr>
        <w:widowControl/>
        <w:ind w:firstLine="620" w:firstLineChars="200"/>
        <w:jc w:val="left"/>
        <w:rPr>
          <w:rFonts w:ascii="仿宋_GB2312" w:hAnsi="仿宋_GB2312" w:eastAsia="仿宋_GB2312" w:cs="仿宋_GB2312"/>
          <w:kern w:val="0"/>
          <w:sz w:val="31"/>
          <w:szCs w:val="31"/>
        </w:rPr>
      </w:pPr>
    </w:p>
    <w:tbl>
      <w:tblPr>
        <w:tblStyle w:val="8"/>
        <w:tblW w:w="5000" w:type="pct"/>
        <w:tblInd w:w="0" w:type="dxa"/>
        <w:tblLayout w:type="autofit"/>
        <w:tblCellMar>
          <w:top w:w="0" w:type="dxa"/>
          <w:left w:w="108" w:type="dxa"/>
          <w:bottom w:w="0" w:type="dxa"/>
          <w:right w:w="108" w:type="dxa"/>
        </w:tblCellMar>
      </w:tblPr>
      <w:tblGrid>
        <w:gridCol w:w="392"/>
        <w:gridCol w:w="392"/>
        <w:gridCol w:w="392"/>
        <w:gridCol w:w="1320"/>
        <w:gridCol w:w="1513"/>
        <w:gridCol w:w="843"/>
        <w:gridCol w:w="656"/>
        <w:gridCol w:w="568"/>
        <w:gridCol w:w="270"/>
        <w:gridCol w:w="268"/>
        <w:gridCol w:w="360"/>
        <w:gridCol w:w="463"/>
        <w:gridCol w:w="428"/>
        <w:gridCol w:w="657"/>
      </w:tblGrid>
      <w:tr>
        <w:tblPrEx>
          <w:tblCellMar>
            <w:top w:w="0" w:type="dxa"/>
            <w:left w:w="108" w:type="dxa"/>
            <w:bottom w:w="0" w:type="dxa"/>
            <w:right w:w="108" w:type="dxa"/>
          </w:tblCellMar>
        </w:tblPrEx>
        <w:trPr>
          <w:trHeight w:val="420" w:hRule="atLeast"/>
        </w:trPr>
        <w:tc>
          <w:tcPr>
            <w:tcW w:w="5000" w:type="pct"/>
            <w:gridSpan w:val="14"/>
            <w:tcBorders>
              <w:top w:val="nil"/>
              <w:left w:val="nil"/>
              <w:bottom w:val="nil"/>
              <w:right w:val="nil"/>
            </w:tcBorders>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80" w:hRule="atLeast"/>
        </w:trPr>
        <w:tc>
          <w:tcPr>
            <w:tcW w:w="5000" w:type="pct"/>
            <w:gridSpan w:val="14"/>
            <w:tcBorders>
              <w:top w:val="nil"/>
              <w:left w:val="nil"/>
              <w:bottom w:val="nil"/>
              <w:right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(2022年度)</w:t>
            </w:r>
          </w:p>
        </w:tc>
      </w:tr>
      <w:tr>
        <w:tblPrEx>
          <w:tblCellMar>
            <w:top w:w="0" w:type="dxa"/>
            <w:left w:w="108" w:type="dxa"/>
            <w:bottom w:w="0" w:type="dxa"/>
            <w:right w:w="108" w:type="dxa"/>
          </w:tblCellMar>
        </w:tblPrEx>
        <w:trPr>
          <w:trHeight w:val="396" w:hRule="atLeast"/>
        </w:trPr>
        <w:tc>
          <w:tcPr>
            <w:tcW w:w="4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4500" w:type="pct"/>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第32中学体育馆改造工程项目审计尾款（第四次财经会）</w:t>
            </w:r>
          </w:p>
        </w:tc>
      </w:tr>
      <w:tr>
        <w:tblPrEx>
          <w:tblCellMar>
            <w:top w:w="0" w:type="dxa"/>
            <w:left w:w="108" w:type="dxa"/>
            <w:bottom w:w="0" w:type="dxa"/>
            <w:right w:w="108" w:type="dxa"/>
          </w:tblCellMar>
        </w:tblPrEx>
        <w:trPr>
          <w:trHeight w:val="396" w:hRule="atLeast"/>
        </w:trPr>
        <w:tc>
          <w:tcPr>
            <w:tcW w:w="49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2790"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1235"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499"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8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3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8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19.45</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19.45</w:t>
            </w:r>
          </w:p>
        </w:tc>
        <w:tc>
          <w:tcPr>
            <w:tcW w:w="3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100.00%</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10.00分</w:t>
            </w:r>
          </w:p>
        </w:tc>
      </w:tr>
      <w:tr>
        <w:tblPrEx>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8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19.45</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19.45</w:t>
            </w:r>
          </w:p>
        </w:tc>
        <w:tc>
          <w:tcPr>
            <w:tcW w:w="3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8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3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499"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03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9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8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3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3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24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3043"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1709"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180"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043" w:type="pct"/>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是我校体育馆的最后一笔审计尾款支出，该体育馆建设面积569平方米，主要涵盖一片小型的篮球场地和两片小型的羽毛球场地。体育馆的正常运转，为全校师生提供了优质的体育锻炼活动场地，满足体育课程教学需要，发展学校体育特色，打造我校羽毛球特色学校品牌，提升广大教师和学生的体能素质。落实国家健康中国策略，使人人都拥有健康的体魄。</w:t>
            </w:r>
          </w:p>
        </w:tc>
        <w:tc>
          <w:tcPr>
            <w:tcW w:w="1709" w:type="pct"/>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我校已于2022年5月支付了该项目审计尾款19.45万元，为全校师生提供了优质的体育锻炼活动场地，满足体育课程教学需要，发展学校体育特色，打造我校羽毛球特色学校品牌，提升广大教师和学生的体能素质。落实国家健康中国策略，使人人都拥有健康的体魄。</w:t>
            </w:r>
          </w:p>
        </w:tc>
      </w:tr>
      <w:tr>
        <w:tblPrEx>
          <w:tblCellMar>
            <w:top w:w="0" w:type="dxa"/>
            <w:left w:w="108" w:type="dxa"/>
            <w:bottom w:w="0" w:type="dxa"/>
            <w:right w:w="108" w:type="dxa"/>
          </w:tblCellMar>
        </w:tblPrEx>
        <w:trPr>
          <w:trHeight w:val="396" w:hRule="atLeast"/>
        </w:trPr>
        <w:tc>
          <w:tcPr>
            <w:tcW w:w="24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251" w:type="pct"/>
            <w:tcBorders>
              <w:top w:val="single" w:color="000000" w:sz="4" w:space="0"/>
              <w:left w:val="nil"/>
              <w:bottom w:val="single" w:color="000000" w:sz="4" w:space="0"/>
              <w:right w:val="nil"/>
            </w:tcBorders>
          </w:tcPr>
          <w:p>
            <w:pPr>
              <w:jc w:val="left"/>
              <w:rPr>
                <w:rFonts w:ascii="宋体" w:hAnsi="宋体" w:cs="宋体"/>
                <w:sz w:val="24"/>
              </w:rPr>
            </w:pPr>
          </w:p>
        </w:tc>
        <w:tc>
          <w:tcPr>
            <w:tcW w:w="781" w:type="pct"/>
            <w:tcBorders>
              <w:top w:val="single" w:color="000000" w:sz="4" w:space="0"/>
              <w:left w:val="nil"/>
              <w:bottom w:val="single" w:color="000000" w:sz="4" w:space="0"/>
              <w:right w:val="nil"/>
            </w:tcBorders>
          </w:tcPr>
          <w:p>
            <w:pPr>
              <w:jc w:val="left"/>
              <w:rPr>
                <w:rFonts w:ascii="宋体" w:hAnsi="宋体" w:cs="宋体"/>
                <w:sz w:val="24"/>
              </w:rPr>
            </w:pPr>
          </w:p>
        </w:tc>
        <w:tc>
          <w:tcPr>
            <w:tcW w:w="900" w:type="pct"/>
            <w:tcBorders>
              <w:top w:val="single" w:color="000000" w:sz="4" w:space="0"/>
              <w:left w:val="nil"/>
              <w:bottom w:val="single" w:color="000000" w:sz="4" w:space="0"/>
              <w:right w:val="nil"/>
            </w:tcBorders>
          </w:tcPr>
          <w:p>
            <w:pPr>
              <w:jc w:val="left"/>
              <w:rPr>
                <w:rFonts w:ascii="宋体" w:hAnsi="宋体" w:cs="宋体"/>
                <w:sz w:val="24"/>
              </w:rPr>
            </w:pPr>
          </w:p>
        </w:tc>
        <w:tc>
          <w:tcPr>
            <w:tcW w:w="485" w:type="pct"/>
            <w:tcBorders>
              <w:top w:val="single" w:color="000000" w:sz="4" w:space="0"/>
              <w:left w:val="nil"/>
              <w:bottom w:val="single" w:color="000000" w:sz="4" w:space="0"/>
              <w:right w:val="nil"/>
            </w:tcBorders>
          </w:tcPr>
          <w:p>
            <w:pPr>
              <w:jc w:val="left"/>
              <w:rPr>
                <w:rFonts w:ascii="宋体" w:hAnsi="宋体" w:cs="宋体"/>
                <w:sz w:val="24"/>
              </w:rPr>
            </w:pPr>
          </w:p>
        </w:tc>
        <w:tc>
          <w:tcPr>
            <w:tcW w:w="371" w:type="pct"/>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315" w:type="pct"/>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159" w:type="pct"/>
            <w:tcBorders>
              <w:top w:val="single" w:color="000000" w:sz="4" w:space="0"/>
              <w:left w:val="nil"/>
              <w:bottom w:val="single" w:color="000000" w:sz="4" w:space="0"/>
              <w:right w:val="nil"/>
            </w:tcBorders>
          </w:tcPr>
          <w:p>
            <w:pPr>
              <w:jc w:val="left"/>
              <w:rPr>
                <w:rFonts w:ascii="宋体" w:hAnsi="宋体" w:cs="宋体"/>
                <w:sz w:val="24"/>
              </w:rPr>
            </w:pPr>
          </w:p>
        </w:tc>
        <w:tc>
          <w:tcPr>
            <w:tcW w:w="158" w:type="pct"/>
            <w:tcBorders>
              <w:top w:val="single" w:color="000000" w:sz="4" w:space="0"/>
              <w:left w:val="nil"/>
              <w:bottom w:val="single" w:color="000000" w:sz="4" w:space="0"/>
              <w:right w:val="nil"/>
            </w:tcBorders>
          </w:tcPr>
          <w:p>
            <w:pPr>
              <w:jc w:val="left"/>
              <w:rPr>
                <w:rFonts w:ascii="宋体" w:hAnsi="宋体" w:cs="宋体"/>
                <w:sz w:val="24"/>
              </w:rPr>
            </w:pPr>
          </w:p>
        </w:tc>
        <w:tc>
          <w:tcPr>
            <w:tcW w:w="201" w:type="pct"/>
            <w:tcBorders>
              <w:top w:val="single" w:color="000000" w:sz="4" w:space="0"/>
              <w:left w:val="nil"/>
              <w:bottom w:val="single" w:color="000000" w:sz="4" w:space="0"/>
              <w:right w:val="nil"/>
            </w:tcBorders>
          </w:tcPr>
          <w:p>
            <w:pPr>
              <w:jc w:val="left"/>
              <w:rPr>
                <w:rFonts w:ascii="宋体" w:hAnsi="宋体" w:cs="宋体"/>
                <w:sz w:val="24"/>
              </w:rPr>
            </w:pPr>
          </w:p>
        </w:tc>
        <w:tc>
          <w:tcPr>
            <w:tcW w:w="256" w:type="pct"/>
            <w:tcBorders>
              <w:top w:val="single" w:color="000000" w:sz="4" w:space="0"/>
              <w:left w:val="nil"/>
              <w:bottom w:val="single" w:color="000000" w:sz="4" w:space="0"/>
              <w:right w:val="nil"/>
            </w:tcBorders>
          </w:tcPr>
          <w:p>
            <w:pPr>
              <w:jc w:val="left"/>
              <w:rPr>
                <w:rFonts w:ascii="宋体" w:hAnsi="宋体" w:cs="宋体"/>
                <w:sz w:val="24"/>
              </w:rPr>
            </w:pPr>
          </w:p>
        </w:tc>
        <w:tc>
          <w:tcPr>
            <w:tcW w:w="234" w:type="pct"/>
            <w:tcBorders>
              <w:top w:val="single" w:color="000000" w:sz="4" w:space="0"/>
              <w:left w:val="nil"/>
              <w:bottom w:val="single" w:color="000000" w:sz="4" w:space="0"/>
              <w:right w:val="nil"/>
            </w:tcBorders>
          </w:tcPr>
          <w:p>
            <w:pPr>
              <w:jc w:val="left"/>
              <w:rPr>
                <w:rFonts w:ascii="宋体" w:hAnsi="宋体" w:cs="宋体"/>
                <w:sz w:val="24"/>
              </w:rPr>
            </w:pPr>
          </w:p>
        </w:tc>
        <w:tc>
          <w:tcPr>
            <w:tcW w:w="384" w:type="pct"/>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25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167"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37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3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317"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457"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618"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167"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7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7"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57"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1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25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体育馆改造面积</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=569平方米</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569平方米</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体育馆改造验收合格率</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体育馆改造用时</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&lt;=1个月</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1个月</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体育馆每平方米改造成本</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&lt;=341元/平方米</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341元/平方米</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提升体育教学水平，满足体育课程教学需要</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有效提升</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5"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提升广大师生体能素质</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持续提升</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24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167"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师生满意度</w:t>
            </w:r>
          </w:p>
        </w:tc>
        <w:tc>
          <w:tcPr>
            <w:tcW w:w="37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3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605" w:type="pct"/>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31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457"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100.00分</w:t>
            </w:r>
          </w:p>
        </w:tc>
        <w:tc>
          <w:tcPr>
            <w:tcW w:w="618"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rPr>
          <w:rFonts w:ascii="黑体" w:hAnsi="黑体" w:eastAsia="黑体"/>
          <w:sz w:val="32"/>
          <w:szCs w:val="32"/>
        </w:rPr>
      </w:pPr>
    </w:p>
    <w:tbl>
      <w:tblPr>
        <w:tblStyle w:val="8"/>
        <w:tblW w:w="0" w:type="auto"/>
        <w:tblInd w:w="98" w:type="dxa"/>
        <w:tblLayout w:type="autofit"/>
        <w:tblCellMar>
          <w:top w:w="0" w:type="dxa"/>
          <w:left w:w="108" w:type="dxa"/>
          <w:bottom w:w="0" w:type="dxa"/>
          <w:right w:w="108" w:type="dxa"/>
        </w:tblCellMar>
      </w:tblPr>
      <w:tblGrid>
        <w:gridCol w:w="386"/>
        <w:gridCol w:w="387"/>
        <w:gridCol w:w="400"/>
        <w:gridCol w:w="629"/>
        <w:gridCol w:w="2711"/>
        <w:gridCol w:w="592"/>
        <w:gridCol w:w="729"/>
        <w:gridCol w:w="473"/>
        <w:gridCol w:w="267"/>
        <w:gridCol w:w="267"/>
        <w:gridCol w:w="274"/>
        <w:gridCol w:w="432"/>
        <w:gridCol w:w="319"/>
        <w:gridCol w:w="558"/>
      </w:tblGrid>
      <w:tr>
        <w:tblPrEx>
          <w:tblCellMar>
            <w:top w:w="0" w:type="dxa"/>
            <w:left w:w="108" w:type="dxa"/>
            <w:bottom w:w="0" w:type="dxa"/>
            <w:right w:w="108" w:type="dxa"/>
          </w:tblCellMar>
        </w:tblPrEx>
        <w:trPr>
          <w:trHeight w:val="420" w:hRule="atLeast"/>
        </w:trPr>
        <w:tc>
          <w:tcPr>
            <w:tcW w:w="0" w:type="auto"/>
            <w:gridSpan w:val="14"/>
            <w:tcBorders>
              <w:top w:val="nil"/>
              <w:left w:val="nil"/>
              <w:bottom w:val="nil"/>
              <w:right w:val="nil"/>
            </w:tcBorders>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80" w:hRule="atLeast"/>
        </w:trPr>
        <w:tc>
          <w:tcPr>
            <w:tcW w:w="0" w:type="auto"/>
            <w:gridSpan w:val="14"/>
            <w:tcBorders>
              <w:top w:val="nil"/>
              <w:left w:val="nil"/>
              <w:bottom w:val="nil"/>
              <w:right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(2022年度)</w:t>
            </w:r>
          </w:p>
        </w:tc>
      </w:tr>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0" w:type="auto"/>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乌财[2022]45号关于拨付2022年中小学和幼儿园自聘教师补助资金的通知{转移支付}</w:t>
            </w:r>
          </w:p>
        </w:tc>
      </w:tr>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52.22</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52.22</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本项目由人事局核定我校自聘教师人数，财政局根据人数补充自聘教师经费。专项资金管理使用按照《乌鲁木齐市第三十二中学财务管理制度》管理项目资金。坚持专款专用，专人负责。本项目资金用于向自聘教师发放正常工资和社会保障缴费等补助；全面帮助学校提升教育教学质量，改善学校办学管理水平，进一步提升教师队伍素质，切实推进新疆基础教育事业发展。</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该经费于2022年12月底拨付，未使用。但项目正常开展，按月足额发放了代课教师工资，使用财政预算中劳务费进行支付，故此项经费实际支出数为0.</w:t>
            </w: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涉及同工同酬教师人数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&gt;=3人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3人</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涉及代课教师人数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&gt;=26人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26人</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资金发放次数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&gt;=5次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5次</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资金发放准确率（%）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同工同酬教师工资标准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&gt;=4500元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代课教师工资标准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&gt;=3480元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提高自聘教师队伍素质，推进教育事业发展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有效提高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持续保障学校教育教学正常开展，提升教学质量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持续保障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自聘教师满意度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该项目于2022年12月拨付，因扎帐原因无法支付。</w:t>
            </w: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80.00分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rPr>
          <w:rFonts w:ascii="黑体" w:hAnsi="黑体" w:eastAsia="黑体"/>
          <w:sz w:val="32"/>
          <w:szCs w:val="32"/>
        </w:rPr>
      </w:pPr>
    </w:p>
    <w:tbl>
      <w:tblPr>
        <w:tblStyle w:val="8"/>
        <w:tblW w:w="5000" w:type="pct"/>
        <w:tblInd w:w="0" w:type="dxa"/>
        <w:tblLayout w:type="autofit"/>
        <w:tblCellMar>
          <w:top w:w="0" w:type="dxa"/>
          <w:left w:w="108" w:type="dxa"/>
          <w:bottom w:w="0" w:type="dxa"/>
          <w:right w:w="108" w:type="dxa"/>
        </w:tblCellMar>
      </w:tblPr>
      <w:tblGrid>
        <w:gridCol w:w="364"/>
        <w:gridCol w:w="364"/>
        <w:gridCol w:w="364"/>
        <w:gridCol w:w="1469"/>
        <w:gridCol w:w="1811"/>
        <w:gridCol w:w="941"/>
        <w:gridCol w:w="733"/>
        <w:gridCol w:w="437"/>
        <w:gridCol w:w="260"/>
        <w:gridCol w:w="260"/>
        <w:gridCol w:w="266"/>
        <w:gridCol w:w="409"/>
        <w:gridCol w:w="333"/>
        <w:gridCol w:w="511"/>
      </w:tblGrid>
      <w:tr>
        <w:tblPrEx>
          <w:tblCellMar>
            <w:top w:w="0" w:type="dxa"/>
            <w:left w:w="108" w:type="dxa"/>
            <w:bottom w:w="0" w:type="dxa"/>
            <w:right w:w="108" w:type="dxa"/>
          </w:tblCellMar>
        </w:tblPrEx>
        <w:trPr>
          <w:trHeight w:val="420" w:hRule="atLeast"/>
        </w:trPr>
        <w:tc>
          <w:tcPr>
            <w:tcW w:w="5000" w:type="pct"/>
            <w:gridSpan w:val="14"/>
            <w:tcBorders>
              <w:top w:val="nil"/>
              <w:left w:val="nil"/>
              <w:bottom w:val="nil"/>
              <w:right w:val="nil"/>
            </w:tcBorders>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80" w:hRule="atLeast"/>
        </w:trPr>
        <w:tc>
          <w:tcPr>
            <w:tcW w:w="5000" w:type="pct"/>
            <w:gridSpan w:val="14"/>
            <w:tcBorders>
              <w:top w:val="nil"/>
              <w:left w:val="nil"/>
              <w:bottom w:val="nil"/>
              <w:right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(2022年度)</w:t>
            </w:r>
          </w:p>
        </w:tc>
      </w:tr>
      <w:tr>
        <w:tblPrEx>
          <w:tblCellMar>
            <w:top w:w="0" w:type="dxa"/>
            <w:left w:w="108" w:type="dxa"/>
            <w:bottom w:w="0" w:type="dxa"/>
            <w:right w:w="108" w:type="dxa"/>
          </w:tblCellMar>
        </w:tblPrEx>
        <w:trPr>
          <w:trHeight w:val="396" w:hRule="atLeast"/>
        </w:trPr>
        <w:tc>
          <w:tcPr>
            <w:tcW w:w="37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4621" w:type="pct"/>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乌财科教[2021]96号关于提前下达2022年城乡义务教育项目直达资金的通知（公用经费）</w:t>
            </w:r>
          </w:p>
        </w:tc>
      </w:tr>
      <w:tr>
        <w:tblPrEx>
          <w:tblCellMar>
            <w:top w:w="0" w:type="dxa"/>
            <w:left w:w="108" w:type="dxa"/>
            <w:bottom w:w="0" w:type="dxa"/>
            <w:right w:w="108" w:type="dxa"/>
          </w:tblCellMar>
        </w:tblPrEx>
        <w:trPr>
          <w:trHeight w:val="396" w:hRule="atLeast"/>
        </w:trPr>
        <w:tc>
          <w:tcPr>
            <w:tcW w:w="37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3301"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951"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378"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112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1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101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4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37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12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11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101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50.05</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17.43</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4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34.83%</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3.48分</w:t>
            </w:r>
          </w:p>
        </w:tc>
      </w:tr>
      <w:tr>
        <w:tblPrEx>
          <w:tblCellMar>
            <w:top w:w="0" w:type="dxa"/>
            <w:left w:w="108" w:type="dxa"/>
            <w:bottom w:w="0" w:type="dxa"/>
            <w:right w:w="108" w:type="dxa"/>
          </w:tblCellMar>
        </w:tblPrEx>
        <w:trPr>
          <w:trHeight w:val="396" w:hRule="atLeast"/>
        </w:trPr>
        <w:tc>
          <w:tcPr>
            <w:tcW w:w="37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12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11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01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50.05</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17.43</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37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12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11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01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37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125"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116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01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36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0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2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18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3490"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1320" w:type="pct"/>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490" w:type="pct"/>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tc>
        <w:tc>
          <w:tcPr>
            <w:tcW w:w="1320" w:type="pct"/>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服务人数达到学生1238人，由于防控原因居家四个月且年中追减城乡义务保障经费，导致很多业务无法开展，已开展的业务无法支付，故实际完成值为0，该项目支出的17.43万元主要用于学校的水费、电费、电话费等日常基本支出，基本保障了教育教学工作的开展，但因不能如期购置教学用品、及时开展校舍维修导致师生满意度不高，且教学水平无法提高并未得到有效保障。</w:t>
            </w:r>
          </w:p>
        </w:tc>
      </w:tr>
      <w:tr>
        <w:tblPrEx>
          <w:tblCellMar>
            <w:top w:w="0" w:type="dxa"/>
            <w:left w:w="108" w:type="dxa"/>
            <w:bottom w:w="0" w:type="dxa"/>
            <w:right w:w="108" w:type="dxa"/>
          </w:tblCellMar>
        </w:tblPrEx>
        <w:trPr>
          <w:trHeight w:val="396" w:hRule="atLeast"/>
        </w:trPr>
        <w:tc>
          <w:tcPr>
            <w:tcW w:w="18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194" w:type="pct"/>
            <w:tcBorders>
              <w:top w:val="single" w:color="000000" w:sz="4" w:space="0"/>
              <w:left w:val="nil"/>
              <w:bottom w:val="single" w:color="000000" w:sz="4" w:space="0"/>
              <w:right w:val="nil"/>
            </w:tcBorders>
          </w:tcPr>
          <w:p>
            <w:pPr>
              <w:jc w:val="left"/>
              <w:rPr>
                <w:rFonts w:ascii="宋体" w:hAnsi="宋体" w:cs="宋体"/>
                <w:sz w:val="24"/>
              </w:rPr>
            </w:pPr>
          </w:p>
        </w:tc>
        <w:tc>
          <w:tcPr>
            <w:tcW w:w="931" w:type="pct"/>
            <w:tcBorders>
              <w:top w:val="single" w:color="000000" w:sz="4" w:space="0"/>
              <w:left w:val="nil"/>
              <w:bottom w:val="single" w:color="000000" w:sz="4" w:space="0"/>
              <w:right w:val="nil"/>
            </w:tcBorders>
          </w:tcPr>
          <w:p>
            <w:pPr>
              <w:jc w:val="left"/>
              <w:rPr>
                <w:rFonts w:ascii="宋体" w:hAnsi="宋体" w:cs="宋体"/>
                <w:sz w:val="24"/>
              </w:rPr>
            </w:pPr>
          </w:p>
        </w:tc>
        <w:tc>
          <w:tcPr>
            <w:tcW w:w="1161" w:type="pct"/>
            <w:tcBorders>
              <w:top w:val="single" w:color="000000" w:sz="4" w:space="0"/>
              <w:left w:val="nil"/>
              <w:bottom w:val="single" w:color="000000" w:sz="4" w:space="0"/>
              <w:right w:val="nil"/>
            </w:tcBorders>
          </w:tcPr>
          <w:p>
            <w:pPr>
              <w:jc w:val="left"/>
              <w:rPr>
                <w:rFonts w:ascii="宋体" w:hAnsi="宋体" w:cs="宋体"/>
                <w:sz w:val="24"/>
              </w:rPr>
            </w:pPr>
          </w:p>
        </w:tc>
        <w:tc>
          <w:tcPr>
            <w:tcW w:w="575" w:type="pct"/>
            <w:tcBorders>
              <w:top w:val="single" w:color="000000" w:sz="4" w:space="0"/>
              <w:left w:val="nil"/>
              <w:bottom w:val="single" w:color="000000" w:sz="4" w:space="0"/>
              <w:right w:val="nil"/>
            </w:tcBorders>
          </w:tcPr>
          <w:p>
            <w:pPr>
              <w:jc w:val="left"/>
              <w:rPr>
                <w:rFonts w:ascii="宋体" w:hAnsi="宋体" w:cs="宋体"/>
                <w:sz w:val="24"/>
              </w:rPr>
            </w:pPr>
          </w:p>
        </w:tc>
        <w:tc>
          <w:tcPr>
            <w:tcW w:w="438" w:type="pct"/>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238" w:type="pct"/>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130" w:type="pct"/>
            <w:tcBorders>
              <w:top w:val="single" w:color="000000" w:sz="4" w:space="0"/>
              <w:left w:val="nil"/>
              <w:bottom w:val="single" w:color="000000" w:sz="4" w:space="0"/>
              <w:right w:val="nil"/>
            </w:tcBorders>
          </w:tcPr>
          <w:p>
            <w:pPr>
              <w:jc w:val="left"/>
              <w:rPr>
                <w:rFonts w:ascii="宋体" w:hAnsi="宋体" w:cs="宋体"/>
                <w:sz w:val="24"/>
              </w:rPr>
            </w:pPr>
          </w:p>
        </w:tc>
        <w:tc>
          <w:tcPr>
            <w:tcW w:w="130" w:type="pct"/>
            <w:tcBorders>
              <w:top w:val="single" w:color="000000" w:sz="4" w:space="0"/>
              <w:left w:val="nil"/>
              <w:bottom w:val="single" w:color="000000" w:sz="4" w:space="0"/>
              <w:right w:val="nil"/>
            </w:tcBorders>
          </w:tcPr>
          <w:p>
            <w:pPr>
              <w:jc w:val="left"/>
              <w:rPr>
                <w:rFonts w:ascii="宋体" w:hAnsi="宋体" w:cs="宋体"/>
                <w:sz w:val="24"/>
              </w:rPr>
            </w:pPr>
          </w:p>
        </w:tc>
        <w:tc>
          <w:tcPr>
            <w:tcW w:w="130" w:type="pct"/>
            <w:tcBorders>
              <w:top w:val="single" w:color="000000" w:sz="4" w:space="0"/>
              <w:left w:val="nil"/>
              <w:bottom w:val="single" w:color="000000" w:sz="4" w:space="0"/>
              <w:right w:val="nil"/>
            </w:tcBorders>
          </w:tcPr>
          <w:p>
            <w:pPr>
              <w:jc w:val="left"/>
              <w:rPr>
                <w:rFonts w:ascii="宋体" w:hAnsi="宋体" w:cs="宋体"/>
                <w:sz w:val="24"/>
              </w:rPr>
            </w:pPr>
          </w:p>
        </w:tc>
        <w:tc>
          <w:tcPr>
            <w:tcW w:w="226" w:type="pct"/>
            <w:tcBorders>
              <w:top w:val="single" w:color="000000" w:sz="4" w:space="0"/>
              <w:left w:val="nil"/>
              <w:bottom w:val="single" w:color="000000" w:sz="4" w:space="0"/>
              <w:right w:val="nil"/>
            </w:tcBorders>
          </w:tcPr>
          <w:p>
            <w:pPr>
              <w:jc w:val="left"/>
              <w:rPr>
                <w:rFonts w:ascii="宋体" w:hAnsi="宋体" w:cs="宋体"/>
                <w:sz w:val="24"/>
              </w:rPr>
            </w:pPr>
          </w:p>
        </w:tc>
        <w:tc>
          <w:tcPr>
            <w:tcW w:w="174" w:type="pct"/>
            <w:tcBorders>
              <w:top w:val="single" w:color="000000" w:sz="4" w:space="0"/>
              <w:left w:val="nil"/>
              <w:bottom w:val="single" w:color="000000" w:sz="4" w:space="0"/>
              <w:right w:val="nil"/>
            </w:tcBorders>
          </w:tcPr>
          <w:p>
            <w:pPr>
              <w:jc w:val="left"/>
              <w:rPr>
                <w:rFonts w:ascii="宋体" w:hAnsi="宋体" w:cs="宋体"/>
                <w:sz w:val="24"/>
              </w:rPr>
            </w:pPr>
          </w:p>
        </w:tc>
        <w:tc>
          <w:tcPr>
            <w:tcW w:w="289" w:type="pct"/>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18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94"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668" w:type="pct"/>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4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23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260"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356"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464"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668" w:type="pct"/>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3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60"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6"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64"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18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18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维修校舍次数</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&gt;=10次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0次</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防控原因，隔离在家四个月，2022年校舍维修次数比预算减少。</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购置各类教育教学用品</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&gt;=10次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0次</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防控原因，隔离在家四个月，2022年购置教育教学用品次数比预算减少。</w:t>
            </w:r>
          </w:p>
        </w:tc>
      </w:tr>
      <w:tr>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培训教师数量</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&gt;=5人</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0人</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防控原因，减少线下培训，改为线上培训，线上培训少</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培训次数（次）</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&gt;=5次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0次</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防控原因，减少线下培训，改为线上培训，线上培训少</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学校校舍日常维修质量达标率</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防控原因，隔离在家四个月，未用此项经费支付维修费，导致质量达标率为0.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培训结业率</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防控原因，隔离在家四个月，未用此项经费支付培训费，导致培训结业率为0.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购置用品质量合格率</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防控原因，隔离在家四个月，未用此项经费购买教学用具，导致质量合格率为0.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4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每次维修成本</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&lt;=20000元/次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0元/次</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防控原因，隔离在家四个月，未用此项经费支付维修费，导致成本为0.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每次教师培训成本</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&lt;=3000元/人/次</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0元/人/次</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防控原因，隔离在家四个月，未用此项经费支付培训费，导致成本为0.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购置各类教育教学用品的成本</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&lt;=20000元</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防控原因，隔离在家四个月，未用此项经费购置用品，导致成本为0.</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4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提高学校教学水平、改善办学条件</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有效提高</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基本达到预期效果</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教学设备购置不足，校舍维修改造不够，给学校正常运转造成影响</w:t>
            </w:r>
          </w:p>
        </w:tc>
      </w:tr>
      <w:tr>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4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保障学校正常运转，完成教育教学活动和其他日常工作任务</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持续保障</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基本达到预期效果</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教学设备购置不足，校舍维修改造不够，给学校正常运转造成影响</w:t>
            </w:r>
          </w:p>
        </w:tc>
      </w:tr>
      <w:tr>
        <w:tblPrEx>
          <w:tblCellMar>
            <w:top w:w="0" w:type="dxa"/>
            <w:left w:w="108" w:type="dxa"/>
            <w:bottom w:w="0" w:type="dxa"/>
            <w:right w:w="108" w:type="dxa"/>
          </w:tblCellMar>
        </w:tblPrEx>
        <w:trPr>
          <w:trHeight w:val="396" w:hRule="atLeast"/>
        </w:trPr>
        <w:tc>
          <w:tcPr>
            <w:tcW w:w="1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9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668"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师生满意度</w:t>
            </w:r>
          </w:p>
        </w:tc>
        <w:tc>
          <w:tcPr>
            <w:tcW w:w="4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23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40%</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4.21</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由于教学设备购置不足，校舍维修不及时，师生满意度较低。</w:t>
            </w:r>
          </w:p>
        </w:tc>
      </w:tr>
      <w:tr>
        <w:tblPrEx>
          <w:tblCellMar>
            <w:top w:w="0" w:type="dxa"/>
            <w:left w:w="108" w:type="dxa"/>
            <w:bottom w:w="0" w:type="dxa"/>
            <w:right w:w="108" w:type="dxa"/>
          </w:tblCellMar>
        </w:tblPrEx>
        <w:trPr>
          <w:trHeight w:val="396" w:hRule="atLeast"/>
        </w:trPr>
        <w:tc>
          <w:tcPr>
            <w:tcW w:w="18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8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9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31" w:type="pct"/>
            <w:tcBorders>
              <w:top w:val="single" w:color="000000" w:sz="4" w:space="0"/>
              <w:left w:val="single" w:color="000000" w:sz="4" w:space="0"/>
              <w:bottom w:val="single" w:color="000000" w:sz="4" w:space="0"/>
              <w:right w:val="nil"/>
            </w:tcBorders>
            <w:vAlign w:val="center"/>
          </w:tcPr>
          <w:p>
            <w:pPr>
              <w:jc w:val="left"/>
              <w:rPr>
                <w:rFonts w:ascii="宋体" w:hAnsi="宋体" w:cs="宋体"/>
                <w:sz w:val="24"/>
              </w:rPr>
            </w:pPr>
          </w:p>
        </w:tc>
        <w:tc>
          <w:tcPr>
            <w:tcW w:w="1161" w:type="pct"/>
            <w:tcBorders>
              <w:top w:val="single" w:color="000000" w:sz="4" w:space="0"/>
              <w:left w:val="nil"/>
              <w:bottom w:val="single" w:color="000000" w:sz="4" w:space="0"/>
              <w:right w:val="nil"/>
            </w:tcBorders>
            <w:vAlign w:val="center"/>
          </w:tcPr>
          <w:p>
            <w:pPr>
              <w:jc w:val="left"/>
              <w:rPr>
                <w:rFonts w:ascii="宋体" w:hAnsi="宋体" w:cs="宋体"/>
                <w:sz w:val="24"/>
              </w:rPr>
            </w:pPr>
          </w:p>
        </w:tc>
        <w:tc>
          <w:tcPr>
            <w:tcW w:w="575" w:type="pct"/>
            <w:tcBorders>
              <w:top w:val="single" w:color="000000" w:sz="4" w:space="0"/>
              <w:left w:val="nil"/>
              <w:bottom w:val="single" w:color="000000" w:sz="4" w:space="0"/>
              <w:right w:val="single" w:color="000000" w:sz="4" w:space="0"/>
            </w:tcBorders>
            <w:vAlign w:val="center"/>
          </w:tcPr>
          <w:p>
            <w:pPr>
              <w:jc w:val="left"/>
              <w:rPr>
                <w:rFonts w:ascii="宋体" w:hAnsi="宋体" w:cs="宋体"/>
                <w:sz w:val="24"/>
              </w:rPr>
            </w:pPr>
          </w:p>
        </w:tc>
        <w:tc>
          <w:tcPr>
            <w:tcW w:w="4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3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130" w:type="pct"/>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130" w:type="pct"/>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130" w:type="pct"/>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226" w:type="pct"/>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17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89"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3918" w:type="pct"/>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260"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35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25.69分</w:t>
            </w:r>
          </w:p>
        </w:tc>
        <w:tc>
          <w:tcPr>
            <w:tcW w:w="46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rPr>
          <w:rFonts w:ascii="黑体" w:hAnsi="黑体" w:eastAsia="黑体"/>
          <w:sz w:val="32"/>
          <w:szCs w:val="32"/>
        </w:rPr>
      </w:pPr>
    </w:p>
    <w:p>
      <w:pPr>
        <w:widowControl/>
        <w:jc w:val="left"/>
        <w:rPr>
          <w:rFonts w:ascii="黑体" w:hAnsi="黑体" w:eastAsia="黑体"/>
          <w:sz w:val="32"/>
          <w:szCs w:val="32"/>
        </w:rPr>
      </w:pPr>
    </w:p>
    <w:tbl>
      <w:tblPr>
        <w:tblStyle w:val="8"/>
        <w:tblW w:w="0" w:type="auto"/>
        <w:tblInd w:w="98" w:type="dxa"/>
        <w:tblLayout w:type="fixed"/>
        <w:tblCellMar>
          <w:top w:w="0" w:type="dxa"/>
          <w:left w:w="108" w:type="dxa"/>
          <w:bottom w:w="0" w:type="dxa"/>
          <w:right w:w="108" w:type="dxa"/>
        </w:tblCellMar>
      </w:tblPr>
      <w:tblGrid>
        <w:gridCol w:w="353"/>
        <w:gridCol w:w="354"/>
        <w:gridCol w:w="363"/>
        <w:gridCol w:w="617"/>
        <w:gridCol w:w="2753"/>
        <w:gridCol w:w="609"/>
        <w:gridCol w:w="698"/>
        <w:gridCol w:w="698"/>
        <w:gridCol w:w="258"/>
        <w:gridCol w:w="256"/>
        <w:gridCol w:w="237"/>
        <w:gridCol w:w="413"/>
        <w:gridCol w:w="359"/>
        <w:gridCol w:w="491"/>
      </w:tblGrid>
      <w:tr>
        <w:tblPrEx>
          <w:tblCellMar>
            <w:top w:w="0" w:type="dxa"/>
            <w:left w:w="108" w:type="dxa"/>
            <w:bottom w:w="0" w:type="dxa"/>
            <w:right w:w="108" w:type="dxa"/>
          </w:tblCellMar>
        </w:tblPrEx>
        <w:trPr>
          <w:trHeight w:val="420" w:hRule="atLeast"/>
        </w:trPr>
        <w:tc>
          <w:tcPr>
            <w:tcW w:w="8424" w:type="dxa"/>
            <w:gridSpan w:val="14"/>
            <w:tcBorders>
              <w:top w:val="nil"/>
              <w:left w:val="nil"/>
              <w:bottom w:val="nil"/>
              <w:right w:val="nil"/>
            </w:tcBorders>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80" w:hRule="atLeast"/>
        </w:trPr>
        <w:tc>
          <w:tcPr>
            <w:tcW w:w="8424" w:type="dxa"/>
            <w:gridSpan w:val="14"/>
            <w:tcBorders>
              <w:top w:val="nil"/>
              <w:left w:val="nil"/>
              <w:bottom w:val="nil"/>
              <w:right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(2022年度)</w:t>
            </w:r>
          </w:p>
        </w:tc>
      </w:tr>
      <w:tr>
        <w:tblPrEx>
          <w:tblCellMar>
            <w:top w:w="0" w:type="dxa"/>
            <w:left w:w="108" w:type="dxa"/>
            <w:bottom w:w="0" w:type="dxa"/>
            <w:right w:w="108" w:type="dxa"/>
          </w:tblCellMar>
        </w:tblPrEx>
        <w:trPr>
          <w:trHeight w:val="396" w:hRule="atLeast"/>
        </w:trPr>
        <w:tc>
          <w:tcPr>
            <w:tcW w:w="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717"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乌财科教[2021]96号关于提前下达2022年城乡义务教育项目直达资金的通知（公用经费）初中教育</w:t>
            </w:r>
          </w:p>
        </w:tc>
      </w:tr>
      <w:tr>
        <w:tblPrEx>
          <w:tblCellMar>
            <w:top w:w="0" w:type="dxa"/>
            <w:left w:w="108" w:type="dxa"/>
            <w:bottom w:w="0" w:type="dxa"/>
            <w:right w:w="108" w:type="dxa"/>
          </w:tblCellMar>
        </w:tblPrEx>
        <w:trPr>
          <w:trHeight w:val="396" w:hRule="atLeast"/>
        </w:trPr>
        <w:tc>
          <w:tcPr>
            <w:tcW w:w="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50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172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70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2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34.18</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24.01</w:t>
            </w:r>
          </w:p>
        </w:tc>
        <w:tc>
          <w:tcPr>
            <w:tcW w:w="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70.25%</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7.03分</w:t>
            </w:r>
          </w:p>
        </w:tc>
      </w:tr>
      <w:tr>
        <w:tblPrEx>
          <w:tblCellMar>
            <w:top w:w="0" w:type="dxa"/>
            <w:left w:w="108" w:type="dxa"/>
            <w:bottom w:w="0" w:type="dxa"/>
            <w:right w:w="108" w:type="dxa"/>
          </w:tblCellMar>
        </w:tblPrEx>
        <w:trPr>
          <w:trHeight w:val="396" w:hRule="atLeast"/>
        </w:trPr>
        <w:tc>
          <w:tcPr>
            <w:tcW w:w="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2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34.18</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24.01</w:t>
            </w:r>
          </w:p>
        </w:tc>
        <w:tc>
          <w:tcPr>
            <w:tcW w:w="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2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70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9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2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13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95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4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5394"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2677"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5394"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tc>
        <w:tc>
          <w:tcPr>
            <w:tcW w:w="2677" w:type="dxa"/>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服务人数达到学生1238人，组织教师培训5人次，培训成本约为6709.47元。校舍维修1次，成本为40000元，购置教学用品5类，资金使用完全合规合法，资金有结余。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108" w:type="dxa"/>
            <w:bottom w:w="0" w:type="dxa"/>
            <w:right w:w="108" w:type="dxa"/>
          </w:tblCellMar>
        </w:tblPrEx>
        <w:trPr>
          <w:trHeight w:val="396" w:hRule="atLeast"/>
        </w:trPr>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363" w:type="dxa"/>
            <w:tcBorders>
              <w:top w:val="single" w:color="000000" w:sz="4" w:space="0"/>
              <w:left w:val="nil"/>
              <w:bottom w:val="single" w:color="000000" w:sz="4" w:space="0"/>
              <w:right w:val="nil"/>
            </w:tcBorders>
          </w:tcPr>
          <w:p>
            <w:pPr>
              <w:jc w:val="left"/>
              <w:rPr>
                <w:rFonts w:ascii="宋体" w:hAnsi="宋体" w:cs="宋体"/>
                <w:sz w:val="24"/>
              </w:rPr>
            </w:pPr>
          </w:p>
        </w:tc>
        <w:tc>
          <w:tcPr>
            <w:tcW w:w="617" w:type="dxa"/>
            <w:tcBorders>
              <w:top w:val="single" w:color="000000" w:sz="4" w:space="0"/>
              <w:left w:val="nil"/>
              <w:bottom w:val="single" w:color="000000" w:sz="4" w:space="0"/>
              <w:right w:val="nil"/>
            </w:tcBorders>
          </w:tcPr>
          <w:p>
            <w:pPr>
              <w:jc w:val="left"/>
              <w:rPr>
                <w:rFonts w:ascii="宋体" w:hAnsi="宋体" w:cs="宋体"/>
                <w:sz w:val="24"/>
              </w:rPr>
            </w:pPr>
          </w:p>
        </w:tc>
        <w:tc>
          <w:tcPr>
            <w:tcW w:w="2753" w:type="dxa"/>
            <w:tcBorders>
              <w:top w:val="single" w:color="000000" w:sz="4" w:space="0"/>
              <w:left w:val="nil"/>
              <w:bottom w:val="single" w:color="000000" w:sz="4" w:space="0"/>
              <w:right w:val="nil"/>
            </w:tcBorders>
          </w:tcPr>
          <w:p>
            <w:pPr>
              <w:jc w:val="left"/>
              <w:rPr>
                <w:rFonts w:ascii="宋体" w:hAnsi="宋体" w:cs="宋体"/>
                <w:sz w:val="24"/>
              </w:rPr>
            </w:pPr>
          </w:p>
        </w:tc>
        <w:tc>
          <w:tcPr>
            <w:tcW w:w="609" w:type="dxa"/>
            <w:tcBorders>
              <w:top w:val="single" w:color="000000" w:sz="4" w:space="0"/>
              <w:left w:val="nil"/>
              <w:bottom w:val="single" w:color="000000" w:sz="4" w:space="0"/>
              <w:right w:val="nil"/>
            </w:tcBorders>
          </w:tcPr>
          <w:p>
            <w:pPr>
              <w:jc w:val="left"/>
              <w:rPr>
                <w:rFonts w:ascii="宋体" w:hAnsi="宋体" w:cs="宋体"/>
                <w:sz w:val="24"/>
              </w:rPr>
            </w:pPr>
          </w:p>
        </w:tc>
        <w:tc>
          <w:tcPr>
            <w:tcW w:w="698" w:type="dxa"/>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698" w:type="dxa"/>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258" w:type="dxa"/>
            <w:tcBorders>
              <w:top w:val="single" w:color="000000" w:sz="4" w:space="0"/>
              <w:left w:val="nil"/>
              <w:bottom w:val="single" w:color="000000" w:sz="4" w:space="0"/>
              <w:right w:val="nil"/>
            </w:tcBorders>
          </w:tcPr>
          <w:p>
            <w:pPr>
              <w:jc w:val="left"/>
              <w:rPr>
                <w:rFonts w:ascii="宋体" w:hAnsi="宋体" w:cs="宋体"/>
                <w:sz w:val="24"/>
              </w:rPr>
            </w:pPr>
          </w:p>
        </w:tc>
        <w:tc>
          <w:tcPr>
            <w:tcW w:w="256" w:type="dxa"/>
            <w:tcBorders>
              <w:top w:val="single" w:color="000000" w:sz="4" w:space="0"/>
              <w:left w:val="nil"/>
              <w:bottom w:val="single" w:color="000000" w:sz="4" w:space="0"/>
              <w:right w:val="nil"/>
            </w:tcBorders>
          </w:tcPr>
          <w:p>
            <w:pPr>
              <w:jc w:val="left"/>
              <w:rPr>
                <w:rFonts w:ascii="宋体" w:hAnsi="宋体" w:cs="宋体"/>
                <w:sz w:val="24"/>
              </w:rPr>
            </w:pPr>
          </w:p>
        </w:tc>
        <w:tc>
          <w:tcPr>
            <w:tcW w:w="237" w:type="dxa"/>
            <w:tcBorders>
              <w:top w:val="single" w:color="000000" w:sz="4" w:space="0"/>
              <w:left w:val="nil"/>
              <w:bottom w:val="single" w:color="000000" w:sz="4" w:space="0"/>
              <w:right w:val="nil"/>
            </w:tcBorders>
          </w:tcPr>
          <w:p>
            <w:pPr>
              <w:jc w:val="left"/>
              <w:rPr>
                <w:rFonts w:ascii="宋体" w:hAnsi="宋体" w:cs="宋体"/>
                <w:sz w:val="24"/>
              </w:rPr>
            </w:pPr>
          </w:p>
        </w:tc>
        <w:tc>
          <w:tcPr>
            <w:tcW w:w="391" w:type="dxa"/>
            <w:tcBorders>
              <w:top w:val="single" w:color="000000" w:sz="4" w:space="0"/>
              <w:left w:val="nil"/>
              <w:bottom w:val="single" w:color="000000" w:sz="4" w:space="0"/>
              <w:right w:val="nil"/>
            </w:tcBorders>
          </w:tcPr>
          <w:p>
            <w:pPr>
              <w:jc w:val="left"/>
              <w:rPr>
                <w:rFonts w:ascii="宋体" w:hAnsi="宋体" w:cs="宋体"/>
                <w:sz w:val="24"/>
              </w:rPr>
            </w:pPr>
          </w:p>
        </w:tc>
        <w:tc>
          <w:tcPr>
            <w:tcW w:w="359" w:type="dxa"/>
            <w:tcBorders>
              <w:top w:val="single" w:color="000000" w:sz="4" w:space="0"/>
              <w:left w:val="nil"/>
              <w:bottom w:val="single" w:color="000000" w:sz="4" w:space="0"/>
              <w:right w:val="nil"/>
            </w:tcBorders>
          </w:tcPr>
          <w:p>
            <w:pPr>
              <w:jc w:val="left"/>
              <w:rPr>
                <w:rFonts w:ascii="宋体" w:hAnsi="宋体" w:cs="宋体"/>
                <w:sz w:val="24"/>
              </w:rPr>
            </w:pPr>
          </w:p>
        </w:tc>
        <w:tc>
          <w:tcPr>
            <w:tcW w:w="491" w:type="dxa"/>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3979"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6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51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65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8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979"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5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4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3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维修校舍次数</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&gt;=5次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1次</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防控原因，居家四个月，未用此项经费支付维修维护费用。</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培训教师数量</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&lt;=5人</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5人</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购置各类教育教学用品</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&gt;=6类</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5类</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4.17</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防控原因，居家四个月，未用此项经费支付购置用品费用。</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培训次数（次）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&gt;=4次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2次</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防控原因，减少线下培训次数，改为线上培训，线上培训少。</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学校校舍日常维修质量达标率</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培训结业率</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购置用品质量合格率</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每次维修成本</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&lt;=20000元/次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40000元/次</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设置目标时考虑不全面，未将电子围栏维修工程计划在内。</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购置各类教育教学用品的成本</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&lt;=20000元</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6709.47元</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1.68</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防控原因，隔离在家四个月，办公用品购置减少，货比三家，选择价格最低的，节约开支。</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每次教师培训成本</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&lt;=4000元/次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3490元/次</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4.36</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防控原因，减少线下培训次数，改为线上培训，线上培训少，成本低。</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提高学校教学水平、改善办学条件</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有效提高</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基本达到预期效果</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因防控原因，导致很多业务无法如期开展，对提高教学水平和办学条件造成影响。</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保障学校正常运转，完成教育教学活动和其他日常工作任务</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持续保障</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基本达到预期效果</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10.5</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因防控原因，导致很多业务无法如期开展，给学校正常运转造成影响。</w:t>
            </w:r>
          </w:p>
        </w:tc>
      </w:tr>
      <w:tr>
        <w:tblPrEx>
          <w:tblCellMar>
            <w:top w:w="0" w:type="dxa"/>
            <w:left w:w="108" w:type="dxa"/>
            <w:bottom w:w="0" w:type="dxa"/>
            <w:right w:w="108" w:type="dxa"/>
          </w:tblCellMar>
        </w:tblPrEx>
        <w:trPr>
          <w:trHeight w:val="396" w:hRule="atLeast"/>
        </w:trPr>
        <w:tc>
          <w:tcPr>
            <w:tcW w:w="3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3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3979"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师生满意度</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6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3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5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36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17" w:type="dxa"/>
            <w:tcBorders>
              <w:top w:val="single" w:color="000000" w:sz="4" w:space="0"/>
              <w:left w:val="single" w:color="000000" w:sz="4" w:space="0"/>
              <w:bottom w:val="single" w:color="000000" w:sz="4" w:space="0"/>
              <w:right w:val="nil"/>
            </w:tcBorders>
            <w:vAlign w:val="center"/>
          </w:tcPr>
          <w:p>
            <w:pPr>
              <w:jc w:val="left"/>
              <w:rPr>
                <w:rFonts w:ascii="宋体" w:hAnsi="宋体" w:cs="宋体"/>
                <w:sz w:val="24"/>
              </w:rPr>
            </w:pPr>
          </w:p>
        </w:tc>
        <w:tc>
          <w:tcPr>
            <w:tcW w:w="2753" w:type="dxa"/>
            <w:tcBorders>
              <w:top w:val="single" w:color="000000" w:sz="4" w:space="0"/>
              <w:left w:val="nil"/>
              <w:bottom w:val="single" w:color="000000" w:sz="4" w:space="0"/>
              <w:right w:val="nil"/>
            </w:tcBorders>
            <w:vAlign w:val="center"/>
          </w:tcPr>
          <w:p>
            <w:pPr>
              <w:jc w:val="left"/>
              <w:rPr>
                <w:rFonts w:ascii="宋体" w:hAnsi="宋体" w:cs="宋体"/>
                <w:sz w:val="24"/>
              </w:rPr>
            </w:pPr>
          </w:p>
        </w:tc>
        <w:tc>
          <w:tcPr>
            <w:tcW w:w="609" w:type="dxa"/>
            <w:tcBorders>
              <w:top w:val="single" w:color="000000" w:sz="4" w:space="0"/>
              <w:left w:val="nil"/>
              <w:bottom w:val="single" w:color="000000" w:sz="4" w:space="0"/>
              <w:right w:val="single" w:color="000000" w:sz="4" w:space="0"/>
            </w:tcBorders>
            <w:vAlign w:val="center"/>
          </w:tcPr>
          <w:p>
            <w:pPr>
              <w:jc w:val="left"/>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6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258"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256"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237"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391" w:type="dxa"/>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35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49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6445"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6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71.74分</w:t>
            </w:r>
          </w:p>
        </w:tc>
        <w:tc>
          <w:tcPr>
            <w:tcW w:w="84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rPr>
          <w:rFonts w:ascii="黑体" w:hAnsi="黑体" w:eastAsia="黑体"/>
          <w:sz w:val="32"/>
          <w:szCs w:val="32"/>
        </w:rPr>
      </w:pPr>
    </w:p>
    <w:tbl>
      <w:tblPr>
        <w:tblStyle w:val="8"/>
        <w:tblW w:w="0" w:type="auto"/>
        <w:tblInd w:w="98" w:type="dxa"/>
        <w:tblLayout w:type="autofit"/>
        <w:tblCellMar>
          <w:top w:w="0" w:type="dxa"/>
          <w:left w:w="108" w:type="dxa"/>
          <w:bottom w:w="0" w:type="dxa"/>
          <w:right w:w="108" w:type="dxa"/>
        </w:tblCellMar>
      </w:tblPr>
      <w:tblGrid>
        <w:gridCol w:w="436"/>
        <w:gridCol w:w="436"/>
        <w:gridCol w:w="450"/>
        <w:gridCol w:w="452"/>
        <w:gridCol w:w="1988"/>
        <w:gridCol w:w="450"/>
        <w:gridCol w:w="1205"/>
        <w:gridCol w:w="656"/>
        <w:gridCol w:w="287"/>
        <w:gridCol w:w="276"/>
        <w:gridCol w:w="291"/>
        <w:gridCol w:w="493"/>
        <w:gridCol w:w="348"/>
        <w:gridCol w:w="656"/>
      </w:tblGrid>
      <w:tr>
        <w:tblPrEx>
          <w:tblCellMar>
            <w:top w:w="0" w:type="dxa"/>
            <w:left w:w="108" w:type="dxa"/>
            <w:bottom w:w="0" w:type="dxa"/>
            <w:right w:w="108" w:type="dxa"/>
          </w:tblCellMar>
        </w:tblPrEx>
        <w:trPr>
          <w:trHeight w:val="420" w:hRule="atLeast"/>
        </w:trPr>
        <w:tc>
          <w:tcPr>
            <w:tcW w:w="0" w:type="auto"/>
            <w:gridSpan w:val="14"/>
            <w:tcBorders>
              <w:top w:val="nil"/>
              <w:left w:val="nil"/>
              <w:bottom w:val="nil"/>
              <w:right w:val="nil"/>
            </w:tcBorders>
            <w:vAlign w:val="center"/>
          </w:tcPr>
          <w:p>
            <w:pPr>
              <w:widowControl/>
              <w:jc w:val="center"/>
              <w:textAlignment w:val="center"/>
              <w:rPr>
                <w:rFonts w:ascii="宋体" w:hAnsi="宋体" w:cs="宋体"/>
                <w:b/>
                <w:bCs/>
                <w:sz w:val="32"/>
                <w:szCs w:val="32"/>
              </w:rPr>
            </w:pPr>
            <w:r>
              <w:rPr>
                <w:rFonts w:hint="eastAsia" w:ascii="宋体" w:hAnsi="宋体" w:cs="宋体"/>
                <w:b/>
                <w:bCs/>
                <w:kern w:val="0"/>
                <w:sz w:val="32"/>
                <w:szCs w:val="32"/>
              </w:rPr>
              <w:t>项目支出绩效自评表</w:t>
            </w:r>
          </w:p>
        </w:tc>
      </w:tr>
      <w:tr>
        <w:tblPrEx>
          <w:tblCellMar>
            <w:top w:w="0" w:type="dxa"/>
            <w:left w:w="108" w:type="dxa"/>
            <w:bottom w:w="0" w:type="dxa"/>
            <w:right w:w="108" w:type="dxa"/>
          </w:tblCellMar>
        </w:tblPrEx>
        <w:trPr>
          <w:trHeight w:val="280" w:hRule="atLeast"/>
        </w:trPr>
        <w:tc>
          <w:tcPr>
            <w:tcW w:w="0" w:type="auto"/>
            <w:gridSpan w:val="14"/>
            <w:tcBorders>
              <w:top w:val="nil"/>
              <w:left w:val="nil"/>
              <w:bottom w:val="nil"/>
              <w:right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(2022年度)</w:t>
            </w:r>
          </w:p>
        </w:tc>
      </w:tr>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0" w:type="auto"/>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乌财企【2021】93号关于提前下达2022年4月-2023年3月国有企业办中小学退休教师三项费用的通知(转移支付)</w:t>
            </w:r>
          </w:p>
        </w:tc>
      </w:tr>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5.25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5.25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是企退教师书报费，独生子女费，活动费资金来源，切实保障企退教师利益，该经费为本学校2022年度的企退教师预算，其经费开支均按照相关政策严格执行。均按相关时间节点准确及时支付，按相关审批流程予以审批支付，各项经费有序进行，经费支出做到流程清楚，金额准确，发放及时。此款项用于保障我单位企业退休教师的三项费用，分别为取暖费、活动费和医疗费。使企业退休教师按节日发放活动费，按月缴纳医疗费。该项目无招投标，属于经常性零星项目，由单位自行组织实施。专项资金管理使用按照《乌鲁木齐市第三十二中学财务管理制度》管理项目资金。坚持专款专用，专人负责。使用该专项资金严格按照财务规定进行支付，手续齐全，审批流程完整有效。通过实施该项目，可以提高我校企退教师的生活质量，让我校企退教师的晚年生活得到充分地保障。</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资金于2022年12月追加拨付，尚未支付。此款项用于保障我单位企业退休教师从2022年4月至2023年3月期间的三项费用，实际完成企退社保缴纳及活动费，支付取暖费及独生子女费，因防控原因，导致退休活动费业务办结尚未支付，社保金等支出由我单位基本户资金垫付。通过实施该项目，可以提高我校企退教师的生活质量，让我校企退教师的晚年生活得到充分地保障。</w:t>
            </w: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发放（补助）人数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=16人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16人</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发放（补助）次数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&lt;=2次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2次</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发放金额准确率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资金发放（补助）及时率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该项目资金于2022年12月拨付，因到位较晚，年底扎帐导致未支付。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每位老师每次发放补助金额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&lt;=1641.50元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该项目资金于2022年12月拨付，因到位较晚，年底扎帐导致未支付。</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提升企业退休教师幸福感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有效提升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完全到预期效果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企业退休教师满意度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70.00分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left"/>
        <w:rPr>
          <w:rFonts w:ascii="黑体" w:hAnsi="黑体" w:eastAsia="黑体"/>
          <w:sz w:val="32"/>
          <w:szCs w:val="32"/>
        </w:rPr>
      </w:pPr>
    </w:p>
    <w:tbl>
      <w:tblPr>
        <w:tblStyle w:val="8"/>
        <w:tblW w:w="0" w:type="auto"/>
        <w:tblInd w:w="98" w:type="dxa"/>
        <w:tblLayout w:type="autofit"/>
        <w:tblCellMar>
          <w:top w:w="0" w:type="dxa"/>
          <w:left w:w="108" w:type="dxa"/>
          <w:bottom w:w="0" w:type="dxa"/>
          <w:right w:w="108" w:type="dxa"/>
        </w:tblCellMar>
      </w:tblPr>
      <w:tblGrid>
        <w:gridCol w:w="435"/>
        <w:gridCol w:w="436"/>
        <w:gridCol w:w="451"/>
        <w:gridCol w:w="499"/>
        <w:gridCol w:w="2140"/>
        <w:gridCol w:w="477"/>
        <w:gridCol w:w="767"/>
        <w:gridCol w:w="767"/>
        <w:gridCol w:w="282"/>
        <w:gridCol w:w="282"/>
        <w:gridCol w:w="285"/>
        <w:gridCol w:w="500"/>
        <w:gridCol w:w="446"/>
        <w:gridCol w:w="657"/>
      </w:tblGrid>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0" w:type="auto"/>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乌财科教[2021]96号关于提前下达2022年城乡义务教育项目直达资金的通知（困难生补助）</w:t>
            </w:r>
          </w:p>
        </w:tc>
      </w:tr>
      <w:tr>
        <w:tblPrEx>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主管部门</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实施单位</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乌鲁木齐市第三十二中学</w:t>
            </w:r>
          </w:p>
        </w:tc>
      </w:tr>
      <w:tr>
        <w:tblPrEx>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rPr>
            </w:pPr>
            <w:r>
              <w:rPr>
                <w:rFonts w:hint="eastAsia" w:ascii="宋体" w:hAnsi="宋体" w:cs="宋体"/>
                <w:kern w:val="0"/>
                <w:sz w:val="24"/>
              </w:rPr>
              <w:t>项目资金</w:t>
            </w:r>
          </w:p>
          <w:p>
            <w:pPr>
              <w:widowControl/>
              <w:jc w:val="center"/>
              <w:textAlignment w:val="center"/>
              <w:rPr>
                <w:rFonts w:ascii="宋体" w:hAnsi="宋体" w:cs="宋体"/>
                <w:sz w:val="24"/>
              </w:rPr>
            </w:pPr>
            <w:r>
              <w:rPr>
                <w:rFonts w:hint="eastAsia" w:ascii="宋体" w:hAnsi="宋体" w:cs="宋体"/>
                <w:kern w:val="0"/>
                <w:sz w:val="24"/>
              </w:rPr>
              <w:t>（万元）</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年初预算数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全年预算数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全年执行数</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执行率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年度资金总额</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8.43</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6.54</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77.58%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7.76分</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其中：当年财政拨款</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8.43</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6.54</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 xml:space="preserve">  其他资金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该项目保证全部资金按要求都用于我校困难学生的生活补助，其中：小学83人，标准625元/生/年；初中43人，标准750元/生/年。。严格把控项目资金使用，足额及时拨付资金,及时上报资金的使用情况，保障项目资金按计划执行。逐步改善我校困难生的生活状况，增强学生身体素质，促进学生健康成长，切实减轻学生的经济负担，进一步协助我区促进教育事业的稳定、健康发展。</w:t>
            </w:r>
          </w:p>
        </w:tc>
        <w:tc>
          <w:tcPr>
            <w:tcW w:w="0" w:type="auto"/>
            <w:gridSpan w:val="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本年度完成了194名学生的补助发放工作，其中：小学生117名，生均补助标准312.5元；初中生77名，生均补助标准375元。覆盖了全部符合补助政策的学生，完全符合补助发放的政策要求，减轻了家庭经济负担。项目的实施做到公平、公正、公开，极大解决众多家庭经济困难学生的生活费，缓解困难家庭经济压力，保证家庭经济困难学生公平接受义务教育的权利，为推进社会公平，阻断贫困代际传递发挥积极作用，促进我校教育事业的稳定、健康发展。</w:t>
            </w: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nil"/>
            </w:tcBorders>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偏差原因分析及改进措施</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产出指标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每年发放补助次数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1次</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因防控原因导致2022秋季困难生补助未发放，该项补助已于2023年2月发放到位。</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预计小学补助学生人数（人）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&gt;=83人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117人</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预计初中补助学生人数（人）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&gt;=43人</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77人</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符合补助政策学生覆盖率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补助发放符合度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补助发放及时率（%）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小学生均补助标准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=625元/生/年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312.5元/生/年</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因防控原因导致2022秋季困难生补助未发放，故年标准只执行了一半。</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初中生均补助标准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=750元/生/年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375元/生/年</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2.5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rPr>
              <w:t>因防控原因导致2022秋季困难生补助未发放，故年标准只执行了一半。</w:t>
            </w: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降低家庭经济困难学生失学率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有效降低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提高学生体质健康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持续提高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sz w:val="24"/>
              </w:rPr>
            </w:pPr>
            <w:r>
              <w:rPr>
                <w:rFonts w:hint="eastAsia" w:ascii="宋体" w:hAnsi="宋体" w:cs="宋体"/>
                <w:kern w:val="0"/>
                <w:sz w:val="24"/>
              </w:rPr>
              <w:t>受资助学生，家长满意度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&gt;=95%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95%</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nil"/>
            </w:tcBorders>
            <w:vAlign w:val="center"/>
          </w:tcPr>
          <w:p>
            <w:pPr>
              <w:jc w:val="left"/>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left"/>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nil"/>
            </w:tcBorders>
            <w:vAlign w:val="center"/>
          </w:tcPr>
          <w:p>
            <w:pPr>
              <w:jc w:val="center"/>
              <w:rPr>
                <w:rFonts w:ascii="宋体" w:hAnsi="宋体" w:cs="宋体"/>
                <w:sz w:val="24"/>
              </w:rPr>
            </w:pPr>
          </w:p>
        </w:tc>
        <w:tc>
          <w:tcPr>
            <w:tcW w:w="0" w:type="auto"/>
            <w:tcBorders>
              <w:top w:val="single" w:color="000000" w:sz="4" w:space="0"/>
              <w:left w:val="nil"/>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r>
        <w:tblPrEx>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总分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100</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rPr>
              <w:t>87.76分</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p>
        </w:tc>
      </w:tr>
    </w:tbl>
    <w:p>
      <w:pPr>
        <w:widowControl/>
        <w:jc w:val="center"/>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第三部分 专业名词解释</w:t>
      </w:r>
      <w:bookmarkEnd w:id="34"/>
      <w:bookmarkEnd w:id="35"/>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6" w:name="_Toc22784"/>
      <w:bookmarkStart w:id="37" w:name="_Toc28903"/>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pPr>
        <w:ind w:firstLine="640" w:firstLineChars="200"/>
        <w:outlineLvl w:val="1"/>
        <w:rPr>
          <w:rFonts w:ascii="黑体" w:hAnsi="黑体" w:eastAsia="黑体" w:cs="宋体"/>
          <w:bCs/>
          <w:kern w:val="0"/>
          <w:sz w:val="32"/>
          <w:szCs w:val="32"/>
        </w:rPr>
      </w:pPr>
      <w:bookmarkStart w:id="38" w:name="_Toc2183"/>
      <w:bookmarkStart w:id="39" w:name="_Toc6062"/>
      <w:r>
        <w:rPr>
          <w:rFonts w:hint="eastAsia" w:ascii="黑体" w:hAnsi="黑体" w:eastAsia="黑体" w:cs="宋体"/>
          <w:bCs/>
          <w:kern w:val="0"/>
          <w:sz w:val="32"/>
          <w:szCs w:val="32"/>
        </w:rPr>
        <w:t>一、《收入支出决算总表》</w:t>
      </w:r>
      <w:bookmarkEnd w:id="38"/>
      <w:bookmarkEnd w:id="39"/>
    </w:p>
    <w:p>
      <w:pPr>
        <w:ind w:firstLine="640" w:firstLineChars="200"/>
        <w:outlineLvl w:val="1"/>
        <w:rPr>
          <w:rFonts w:ascii="黑体" w:hAnsi="黑体" w:eastAsia="黑体" w:cs="宋体"/>
          <w:bCs/>
          <w:kern w:val="0"/>
          <w:sz w:val="32"/>
          <w:szCs w:val="32"/>
        </w:rPr>
      </w:pPr>
      <w:bookmarkStart w:id="40" w:name="_Toc24532"/>
      <w:bookmarkStart w:id="41" w:name="_Toc30364"/>
      <w:r>
        <w:rPr>
          <w:rFonts w:hint="eastAsia" w:ascii="黑体" w:hAnsi="黑体" w:eastAsia="黑体" w:cs="宋体"/>
          <w:bCs/>
          <w:kern w:val="0"/>
          <w:sz w:val="32"/>
          <w:szCs w:val="32"/>
        </w:rPr>
        <w:t>二、《收入决算表》</w:t>
      </w:r>
      <w:bookmarkEnd w:id="40"/>
      <w:bookmarkEnd w:id="41"/>
    </w:p>
    <w:p>
      <w:pPr>
        <w:ind w:firstLine="640" w:firstLineChars="200"/>
        <w:outlineLvl w:val="1"/>
        <w:rPr>
          <w:rFonts w:ascii="黑体" w:hAnsi="黑体" w:eastAsia="黑体" w:cs="宋体"/>
          <w:bCs/>
          <w:kern w:val="0"/>
          <w:sz w:val="32"/>
          <w:szCs w:val="32"/>
        </w:rPr>
      </w:pPr>
      <w:bookmarkStart w:id="42" w:name="_Toc32434"/>
      <w:bookmarkStart w:id="43" w:name="_Toc21304"/>
      <w:r>
        <w:rPr>
          <w:rFonts w:hint="eastAsia" w:ascii="黑体" w:hAnsi="黑体" w:eastAsia="黑体" w:cs="宋体"/>
          <w:bCs/>
          <w:kern w:val="0"/>
          <w:sz w:val="32"/>
          <w:szCs w:val="32"/>
        </w:rPr>
        <w:t>三、《支出决算表》</w:t>
      </w:r>
      <w:bookmarkEnd w:id="42"/>
      <w:bookmarkEnd w:id="43"/>
    </w:p>
    <w:p>
      <w:pPr>
        <w:ind w:firstLine="640" w:firstLineChars="200"/>
        <w:outlineLvl w:val="1"/>
        <w:rPr>
          <w:rFonts w:ascii="黑体" w:hAnsi="黑体" w:eastAsia="黑体" w:cs="宋体"/>
          <w:bCs/>
          <w:kern w:val="0"/>
          <w:sz w:val="32"/>
          <w:szCs w:val="32"/>
        </w:rPr>
      </w:pPr>
      <w:bookmarkStart w:id="44" w:name="_Toc28786"/>
      <w:bookmarkStart w:id="45" w:name="_Toc14238"/>
      <w:r>
        <w:rPr>
          <w:rFonts w:hint="eastAsia" w:ascii="黑体" w:hAnsi="黑体" w:eastAsia="黑体" w:cs="宋体"/>
          <w:bCs/>
          <w:kern w:val="0"/>
          <w:sz w:val="32"/>
          <w:szCs w:val="32"/>
        </w:rPr>
        <w:t>四、《财政拨款收入支出决算总表》</w:t>
      </w:r>
      <w:bookmarkEnd w:id="44"/>
      <w:bookmarkEnd w:id="45"/>
    </w:p>
    <w:p>
      <w:pPr>
        <w:ind w:firstLine="640" w:firstLineChars="200"/>
        <w:outlineLvl w:val="1"/>
        <w:rPr>
          <w:rFonts w:ascii="黑体" w:hAnsi="黑体" w:eastAsia="黑体" w:cs="宋体"/>
          <w:bCs/>
          <w:kern w:val="0"/>
          <w:sz w:val="32"/>
          <w:szCs w:val="32"/>
        </w:rPr>
      </w:pPr>
      <w:bookmarkStart w:id="46" w:name="_Toc14869"/>
      <w:bookmarkStart w:id="47" w:name="_Toc10347"/>
      <w:r>
        <w:rPr>
          <w:rFonts w:hint="eastAsia" w:ascii="黑体" w:hAnsi="黑体" w:eastAsia="黑体" w:cs="宋体"/>
          <w:bCs/>
          <w:kern w:val="0"/>
          <w:sz w:val="32"/>
          <w:szCs w:val="32"/>
        </w:rPr>
        <w:t>五、《一般公共预算财政拨款支出决算表》</w:t>
      </w:r>
      <w:bookmarkEnd w:id="46"/>
      <w:bookmarkEnd w:id="47"/>
    </w:p>
    <w:p>
      <w:pPr>
        <w:ind w:firstLine="640" w:firstLineChars="200"/>
        <w:outlineLvl w:val="1"/>
        <w:rPr>
          <w:rFonts w:ascii="黑体" w:hAnsi="黑体" w:eastAsia="黑体" w:cs="宋体"/>
          <w:bCs/>
          <w:kern w:val="0"/>
          <w:sz w:val="32"/>
          <w:szCs w:val="32"/>
        </w:rPr>
      </w:pPr>
      <w:bookmarkStart w:id="48" w:name="_Toc8884"/>
      <w:bookmarkStart w:id="49" w:name="_Toc5626"/>
      <w:r>
        <w:rPr>
          <w:rFonts w:hint="eastAsia" w:ascii="黑体" w:hAnsi="黑体" w:eastAsia="黑体" w:cs="宋体"/>
          <w:bCs/>
          <w:kern w:val="0"/>
          <w:sz w:val="32"/>
          <w:szCs w:val="32"/>
        </w:rPr>
        <w:t>六、《一般公共预算财政拨款基本支出决算表》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50" w:name="_Toc29106"/>
      <w:bookmarkStart w:id="51" w:name="_Toc32663"/>
      <w:r>
        <w:rPr>
          <w:rFonts w:hint="eastAsia" w:ascii="黑体" w:hAnsi="黑体" w:eastAsia="黑体" w:cs="宋体"/>
          <w:bCs/>
          <w:kern w:val="0"/>
          <w:sz w:val="32"/>
          <w:szCs w:val="32"/>
        </w:rPr>
        <w:t>《财政拨款“三公”经费支出决算表》</w:t>
      </w:r>
      <w:bookmarkEnd w:id="50"/>
      <w:bookmarkEnd w:id="51"/>
    </w:p>
    <w:p>
      <w:pPr>
        <w:ind w:firstLine="640" w:firstLineChars="200"/>
        <w:outlineLvl w:val="1"/>
        <w:rPr>
          <w:rFonts w:ascii="黑体" w:hAnsi="黑体" w:eastAsia="黑体" w:cs="宋体"/>
          <w:bCs/>
          <w:kern w:val="0"/>
          <w:sz w:val="32"/>
          <w:szCs w:val="32"/>
        </w:rPr>
      </w:pPr>
      <w:bookmarkStart w:id="52" w:name="_Toc5453"/>
      <w:bookmarkStart w:id="53" w:name="_Toc7643"/>
      <w:r>
        <w:rPr>
          <w:rFonts w:hint="eastAsia" w:ascii="黑体" w:hAnsi="黑体" w:eastAsia="黑体" w:cs="宋体"/>
          <w:bCs/>
          <w:kern w:val="0"/>
          <w:sz w:val="32"/>
          <w:szCs w:val="32"/>
        </w:rPr>
        <w:t>八、《政府性基金预算财政拨款收入支出决算表》</w:t>
      </w:r>
      <w:bookmarkEnd w:id="52"/>
      <w:bookmarkEnd w:id="53"/>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71144016"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4"/>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4vdRNAAAAACAQAADwAAAAAA&#10;AAABACAAAAAiAAAAZHJzL2Rvd25yZXYueG1sUEsBAhQAFAAAAAgAh07iQCgmw6/iAQAAtwMAAA4A&#10;AAAAAAAAAQAgAAAAHwEAAGRycy9lMm9Eb2MueG1sUEsFBgAAAAAGAAYAWQEAAHM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NjEzNjE0ZTlhYzdkNWYzMTk3MGNlZGYyNjFlNjIifQ=="/>
  </w:docVars>
  <w:rsids>
    <w:rsidRoot w:val="00C175D8"/>
    <w:rsid w:val="00044496"/>
    <w:rsid w:val="000A2AD4"/>
    <w:rsid w:val="000C15DB"/>
    <w:rsid w:val="000D321D"/>
    <w:rsid w:val="00195288"/>
    <w:rsid w:val="00206D77"/>
    <w:rsid w:val="003A3CA6"/>
    <w:rsid w:val="004C3397"/>
    <w:rsid w:val="00624A01"/>
    <w:rsid w:val="00785A42"/>
    <w:rsid w:val="007B58BC"/>
    <w:rsid w:val="00813E3B"/>
    <w:rsid w:val="00925295"/>
    <w:rsid w:val="00B569F2"/>
    <w:rsid w:val="00BA61AD"/>
    <w:rsid w:val="00BA6C23"/>
    <w:rsid w:val="00C175D8"/>
    <w:rsid w:val="00CD6AAD"/>
    <w:rsid w:val="00D70F24"/>
    <w:rsid w:val="00D93F9D"/>
    <w:rsid w:val="00E61DCB"/>
    <w:rsid w:val="00FE739F"/>
    <w:rsid w:val="01D60B10"/>
    <w:rsid w:val="01DA23AF"/>
    <w:rsid w:val="02C866AB"/>
    <w:rsid w:val="02F73D26"/>
    <w:rsid w:val="034D4FEF"/>
    <w:rsid w:val="04003C23"/>
    <w:rsid w:val="043E5B56"/>
    <w:rsid w:val="04695C6C"/>
    <w:rsid w:val="050D4849"/>
    <w:rsid w:val="05B849A6"/>
    <w:rsid w:val="06792773"/>
    <w:rsid w:val="06FA2CF7"/>
    <w:rsid w:val="07F327C7"/>
    <w:rsid w:val="082500FC"/>
    <w:rsid w:val="0A7B4867"/>
    <w:rsid w:val="0B8C3ECC"/>
    <w:rsid w:val="0C7227A7"/>
    <w:rsid w:val="0D723058"/>
    <w:rsid w:val="0E9134AE"/>
    <w:rsid w:val="119D51A7"/>
    <w:rsid w:val="137D0A00"/>
    <w:rsid w:val="13CC39F7"/>
    <w:rsid w:val="163C0E23"/>
    <w:rsid w:val="169E17A5"/>
    <w:rsid w:val="173953C1"/>
    <w:rsid w:val="173E29DF"/>
    <w:rsid w:val="178F10EE"/>
    <w:rsid w:val="1A3E5C45"/>
    <w:rsid w:val="1DA63635"/>
    <w:rsid w:val="1DAF458D"/>
    <w:rsid w:val="1E110AAE"/>
    <w:rsid w:val="1EEA5B13"/>
    <w:rsid w:val="1F9676E5"/>
    <w:rsid w:val="20DD6197"/>
    <w:rsid w:val="20E06E5E"/>
    <w:rsid w:val="22CF718A"/>
    <w:rsid w:val="22E05471"/>
    <w:rsid w:val="23BC04D2"/>
    <w:rsid w:val="23D45AAF"/>
    <w:rsid w:val="27CF2642"/>
    <w:rsid w:val="28366E21"/>
    <w:rsid w:val="2A053397"/>
    <w:rsid w:val="2D1136DF"/>
    <w:rsid w:val="2E4B39E5"/>
    <w:rsid w:val="2EB60A0A"/>
    <w:rsid w:val="2EFB25CE"/>
    <w:rsid w:val="2FD27414"/>
    <w:rsid w:val="30B359F5"/>
    <w:rsid w:val="317149E6"/>
    <w:rsid w:val="31C63837"/>
    <w:rsid w:val="3248748F"/>
    <w:rsid w:val="32DD4FAB"/>
    <w:rsid w:val="32E12B89"/>
    <w:rsid w:val="36C941C4"/>
    <w:rsid w:val="3914510A"/>
    <w:rsid w:val="3960359F"/>
    <w:rsid w:val="39FB4BF1"/>
    <w:rsid w:val="3AFD6C6E"/>
    <w:rsid w:val="3B31058A"/>
    <w:rsid w:val="3D5275AC"/>
    <w:rsid w:val="3F0666FB"/>
    <w:rsid w:val="3FA72BC9"/>
    <w:rsid w:val="40834692"/>
    <w:rsid w:val="41ED4086"/>
    <w:rsid w:val="431D4D51"/>
    <w:rsid w:val="438D657A"/>
    <w:rsid w:val="46901EEE"/>
    <w:rsid w:val="469C74D2"/>
    <w:rsid w:val="485A2505"/>
    <w:rsid w:val="48657AC5"/>
    <w:rsid w:val="4B4C0111"/>
    <w:rsid w:val="4BB207D4"/>
    <w:rsid w:val="4C3F65A5"/>
    <w:rsid w:val="4EFF206A"/>
    <w:rsid w:val="50DB5F45"/>
    <w:rsid w:val="50EA500B"/>
    <w:rsid w:val="51703763"/>
    <w:rsid w:val="52F92565"/>
    <w:rsid w:val="53771F48"/>
    <w:rsid w:val="579D7763"/>
    <w:rsid w:val="580F0E88"/>
    <w:rsid w:val="583059FA"/>
    <w:rsid w:val="58334080"/>
    <w:rsid w:val="5DB7E6E5"/>
    <w:rsid w:val="5DE224E7"/>
    <w:rsid w:val="5F4D6E91"/>
    <w:rsid w:val="5FA17648"/>
    <w:rsid w:val="5FBF4226"/>
    <w:rsid w:val="60DB4FB2"/>
    <w:rsid w:val="61A46A97"/>
    <w:rsid w:val="62B51CE8"/>
    <w:rsid w:val="62BB750B"/>
    <w:rsid w:val="62DD7D21"/>
    <w:rsid w:val="64002371"/>
    <w:rsid w:val="644D0DBA"/>
    <w:rsid w:val="64C20AE4"/>
    <w:rsid w:val="64EDC8CE"/>
    <w:rsid w:val="653E7DED"/>
    <w:rsid w:val="65D97752"/>
    <w:rsid w:val="65F52031"/>
    <w:rsid w:val="65F82359"/>
    <w:rsid w:val="68DB0208"/>
    <w:rsid w:val="69846A0E"/>
    <w:rsid w:val="69AD798C"/>
    <w:rsid w:val="6B68175F"/>
    <w:rsid w:val="6C5A499B"/>
    <w:rsid w:val="6CBA0225"/>
    <w:rsid w:val="6E0F7A08"/>
    <w:rsid w:val="70805E66"/>
    <w:rsid w:val="71473612"/>
    <w:rsid w:val="718F7F65"/>
    <w:rsid w:val="72247F25"/>
    <w:rsid w:val="73623F22"/>
    <w:rsid w:val="73FB2F08"/>
    <w:rsid w:val="73FB6630"/>
    <w:rsid w:val="74455985"/>
    <w:rsid w:val="74E76DCD"/>
    <w:rsid w:val="75A5137D"/>
    <w:rsid w:val="76EB7264"/>
    <w:rsid w:val="773604A6"/>
    <w:rsid w:val="77ED6F44"/>
    <w:rsid w:val="77FED8C1"/>
    <w:rsid w:val="79BED9D5"/>
    <w:rsid w:val="7CD10CAA"/>
    <w:rsid w:val="7CEA230C"/>
    <w:rsid w:val="7DA57A41"/>
    <w:rsid w:val="7FDF6957"/>
    <w:rsid w:val="7FFF403D"/>
    <w:rsid w:val="FA2F8C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
    <w:name w:val="WPSOffice手动目录 2"/>
    <w:uiPriority w:val="0"/>
    <w:pPr>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2324</Words>
  <Characters>13253</Characters>
  <Lines>110</Lines>
  <Paragraphs>31</Paragraphs>
  <TotalTime>1</TotalTime>
  <ScaleCrop>false</ScaleCrop>
  <LinksUpToDate>false</LinksUpToDate>
  <CharactersWithSpaces>15546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2024-02-17T03:57:00Z</dcterms:created>
  <dc:creator>GXR</dc:creator>
  <cp:lastModifiedBy>卡师夫</cp:lastModifiedBy>
  <dcterms:modified xsi:type="dcterms:W3CDTF">2024-02-18T09:41:37Z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6066423B31BC492B9A78697FBA272B90</vt:lpwstr>
  </property>
</Properties>
</file>