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乌鲁木齐市第八十七中学</w:t>
      </w:r>
    </w:p>
    <w:p>
      <w:pPr>
        <w:jc w:val="center"/>
        <w:rPr>
          <w:rFonts w:hint="eastAsia" w:ascii="方正小标宋_GBK" w:hAnsi="宋体" w:eastAsia="方正小标宋_GBK"/>
          <w:sz w:val="44"/>
          <w:szCs w:val="44"/>
          <w:highlight w:val="none"/>
        </w:rPr>
      </w:pPr>
      <w:r>
        <w:rPr>
          <w:rFonts w:hint="default" w:ascii="Times New Roman" w:hAnsi="Times New Roman" w:eastAsia="方正小标宋_GBK" w:cs="Times New Roman"/>
          <w:sz w:val="44"/>
          <w:szCs w:val="44"/>
          <w:highlight w:val="none"/>
        </w:rPr>
        <w:t>2022</w:t>
      </w:r>
      <w:r>
        <w:rPr>
          <w:rFonts w:hint="eastAsia" w:ascii="方正小标宋_GBK" w:hAnsi="宋体" w:eastAsia="方正小标宋_GBK"/>
          <w:sz w:val="44"/>
          <w:szCs w:val="44"/>
          <w:highlight w:val="none"/>
        </w:rPr>
        <w:t>年度部门决算公开说明</w:t>
      </w:r>
    </w:p>
    <w:p>
      <w:pPr>
        <w:jc w:val="center"/>
        <w:rPr>
          <w:rFonts w:hint="eastAsia" w:ascii="仿宋_GB2312" w:hAnsi="仿宋_GB2312" w:eastAsia="仿宋_GB2312" w:cs="仿宋_GB2312"/>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kern w:val="0"/>
          <w:sz w:val="36"/>
          <w:szCs w:val="36"/>
          <w:highlight w:val="none"/>
        </w:rPr>
        <w:t>目  录</w:t>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二、机构设置及人员情况</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九、国有资本经营预算财政拨款收入支出决算情况说明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bCs/>
          <w:kern w:val="0"/>
          <w:sz w:val="32"/>
          <w:szCs w:val="32"/>
          <w:highlight w:val="none"/>
        </w:rPr>
        <w:t>、其他重要事项的情况说明</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（一）机关运行经费支出情况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（二）政府采购情况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（三）国有资产占用情况说明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十一、预算绩效的情况说明</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九、《国有资本经营预算财政拨款收入支出决算表》</w:t>
      </w:r>
    </w:p>
    <w:p>
      <w:pPr>
        <w:rPr>
          <w:highlight w:val="none"/>
        </w:rPr>
      </w:pPr>
      <w:r>
        <w:rPr>
          <w:rFonts w:hint="eastAsia" w:ascii="仿宋_GB2312" w:hAnsi="仿宋_GB2312" w:eastAsia="仿宋_GB2312" w:cs="仿宋_GB2312"/>
          <w:sz w:val="32"/>
          <w:szCs w:val="32"/>
          <w:highlight w:val="none"/>
        </w:rPr>
        <w:fldChar w:fldCharType="end"/>
      </w:r>
    </w:p>
    <w:p>
      <w:pPr>
        <w:ind w:firstLine="640" w:firstLineChars="200"/>
        <w:jc w:val="center"/>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ind w:firstLine="640" w:firstLineChars="200"/>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bookmarkStart w:id="4" w:name="_Toc31238"/>
      <w:bookmarkStart w:id="5" w:name="_Toc2151"/>
      <w:r>
        <w:rPr>
          <w:rFonts w:hint="eastAsia" w:ascii="仿宋_GB2312" w:eastAsia="仿宋_GB2312" w:cs="仿宋_GB2312"/>
          <w:kern w:val="0"/>
          <w:sz w:val="32"/>
          <w:szCs w:val="32"/>
          <w:highlight w:val="none"/>
        </w:rPr>
        <w:t>乌鲁木齐市第八十七中学由乌鲁木齐市水磨沟区人民政府举办，主管部门是乌鲁木齐市水磨沟区教育局。</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（一）学校是非营利性教育事业单位，具有独立法人资格。学校为一所实施九年义务教育的公办学校。实施小学、初中民汉义务教育；促进基础教育发展，小学、初中学历教育。</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（二）学校坚持“以人为本、育人至上、优质服务”的办学理念，坚持依法办学，以德治校，按照“管理求规范，质量求提高，环境求优化，特色求发展”的办学思路，彰显办学特色。</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学校坚持改革创新、与时俱进，善于自我完善、自我发展，建立健全了安全工作机构和制度，层层落实安全工作责任；以德育活动为途径促进学生思想品德的形成。认真开展以学雷锋，缅怀革命先烈、民族团结、禁毒、爱国主义教育、交通安全、法制教育等为主题的德育活动。</w:t>
      </w:r>
    </w:p>
    <w:p>
      <w:pPr>
        <w:shd w:val="clear" w:color="auto" w:fill="FFFFFF"/>
        <w:spacing w:line="360" w:lineRule="auto"/>
        <w:ind w:firstLine="640"/>
        <w:rPr>
          <w:rFonts w:hint="eastAsia" w:eastAsia="等线"/>
          <w:kern w:val="0"/>
          <w:sz w:val="24"/>
          <w:highlight w:val="none"/>
          <w:lang w:val="ar-SA"/>
        </w:rPr>
      </w:pPr>
      <w:r>
        <w:rPr>
          <w:rFonts w:hint="eastAsia" w:ascii="仿宋_GB2312" w:hAnsi="仿宋_GB2312" w:eastAsia="仿宋_GB2312"/>
          <w:kern w:val="0"/>
          <w:sz w:val="32"/>
          <w:highlight w:val="none"/>
          <w:lang w:val="zh-CN"/>
        </w:rPr>
        <w:t>（四）学校为日常管理下设</w:t>
      </w:r>
      <w:r>
        <w:rPr>
          <w:rFonts w:ascii="仿宋_GB2312" w:hAnsi="仿宋_GB2312" w:eastAsia="仿宋_GB2312"/>
          <w:kern w:val="0"/>
          <w:sz w:val="32"/>
          <w:highlight w:val="none"/>
        </w:rPr>
        <w:t>9</w:t>
      </w:r>
      <w:r>
        <w:rPr>
          <w:rFonts w:hint="eastAsia" w:ascii="仿宋_GB2312" w:hAnsi="仿宋_GB2312" w:eastAsia="仿宋_GB2312"/>
          <w:kern w:val="0"/>
          <w:sz w:val="32"/>
          <w:highlight w:val="none"/>
          <w:lang w:val="zh-CN"/>
        </w:rPr>
        <w:t>个科室，分别是：</w:t>
      </w:r>
      <w:r>
        <w:rPr>
          <w:rFonts w:hint="eastAsia" w:ascii="仿宋_GB2312" w:hAnsi="宋体" w:eastAsia="仿宋_GB2312" w:cs="宋体"/>
          <w:kern w:val="0"/>
          <w:sz w:val="32"/>
          <w:szCs w:val="32"/>
          <w:highlight w:val="none"/>
        </w:rPr>
        <w:t>党政办公室、中学教务处、小学教务处、中学德育处、 小学德育处、教研室、城市少年宫室、总务处、安全保卫科</w:t>
      </w:r>
      <w:r>
        <w:rPr>
          <w:rFonts w:hint="eastAsia" w:ascii="仿宋_GB2312" w:hAnsi="仿宋_GB2312" w:eastAsia="仿宋_GB2312"/>
          <w:kern w:val="0"/>
          <w:sz w:val="32"/>
          <w:highlight w:val="none"/>
          <w:lang w:val="zh-CN"/>
        </w:rPr>
        <w:t>。</w:t>
      </w:r>
    </w:p>
    <w:p>
      <w:pPr>
        <w:shd w:val="clear" w:color="auto" w:fill="FFFFFF"/>
        <w:autoSpaceDE w:val="0"/>
        <w:autoSpaceDN w:val="0"/>
        <w:adjustRightInd w:val="0"/>
        <w:spacing w:line="360" w:lineRule="auto"/>
        <w:ind w:firstLine="640"/>
        <w:rPr>
          <w:rFonts w:hint="eastAsia" w:eastAsia="Times New Roman"/>
          <w:sz w:val="32"/>
          <w:highlight w:val="none"/>
          <w:lang w:val="zh-CN"/>
        </w:rPr>
      </w:pPr>
      <w:r>
        <w:rPr>
          <w:rFonts w:hint="eastAsia" w:ascii="仿宋_GB2312" w:hAnsi="宋体" w:eastAsia="仿宋_GB2312" w:cs="宋体"/>
          <w:kern w:val="0"/>
          <w:sz w:val="32"/>
          <w:szCs w:val="32"/>
          <w:highlight w:val="none"/>
        </w:rPr>
        <w:t>（五）学校党政办公室主要负责党建工作，中学教务处、小学教务处主要负责学校教务工作，中学德育处、小学德育处主要负责学校德育工作，教研室负责教研活动，城市少年宫室负责学生的少年宫活动培训，总务处负责学校建设维修等工作，安全保卫科负责校园安全工作。</w:t>
      </w: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二、机构设置及</w:t>
      </w:r>
      <w:bookmarkEnd w:id="4"/>
      <w:r>
        <w:rPr>
          <w:rFonts w:hint="eastAsia" w:ascii="黑体" w:hAnsi="黑体" w:eastAsia="黑体" w:cs="宋体"/>
          <w:bCs/>
          <w:kern w:val="0"/>
          <w:sz w:val="32"/>
          <w:szCs w:val="32"/>
          <w:highlight w:val="none"/>
        </w:rPr>
        <w:t>人员情况</w:t>
      </w:r>
      <w:bookmarkEnd w:id="5"/>
    </w:p>
    <w:p>
      <w:pPr>
        <w:shd w:val="clear" w:color="auto" w:fill="FFFFFF"/>
        <w:spacing w:line="360" w:lineRule="auto"/>
        <w:ind w:firstLine="640"/>
        <w:rPr>
          <w:rFonts w:eastAsia="Times New Roman"/>
          <w:kern w:val="0"/>
          <w:sz w:val="32"/>
          <w:highlight w:val="none"/>
        </w:rPr>
      </w:pPr>
      <w:r>
        <w:rPr>
          <w:rFonts w:hint="eastAsia" w:ascii="仿宋_GB2312" w:hAnsi="仿宋_GB2312" w:eastAsia="仿宋_GB2312"/>
          <w:kern w:val="0"/>
          <w:sz w:val="32"/>
          <w:highlight w:val="none"/>
        </w:rPr>
        <w:t>乌鲁木齐市第八十七中学20</w:t>
      </w:r>
      <w:r>
        <w:rPr>
          <w:rFonts w:ascii="仿宋_GB2312" w:hAnsi="仿宋_GB2312" w:eastAsia="仿宋_GB2312"/>
          <w:kern w:val="0"/>
          <w:sz w:val="32"/>
          <w:highlight w:val="none"/>
        </w:rPr>
        <w:t>22</w:t>
      </w:r>
      <w:r>
        <w:rPr>
          <w:rFonts w:hint="eastAsia" w:ascii="仿宋_GB2312" w:hAnsi="仿宋_GB2312" w:eastAsia="仿宋_GB2312"/>
          <w:kern w:val="0"/>
          <w:sz w:val="32"/>
          <w:highlight w:val="none"/>
        </w:rPr>
        <w:t>年度，实有人数20</w:t>
      </w:r>
      <w:r>
        <w:rPr>
          <w:rFonts w:ascii="仿宋_GB2312" w:hAnsi="仿宋_GB2312" w:eastAsia="仿宋_GB2312"/>
          <w:kern w:val="0"/>
          <w:sz w:val="32"/>
          <w:highlight w:val="none"/>
        </w:rPr>
        <w:t>1</w:t>
      </w:r>
      <w:r>
        <w:rPr>
          <w:rFonts w:hint="eastAsia" w:ascii="仿宋_GB2312" w:hAnsi="仿宋_GB2312" w:eastAsia="仿宋_GB2312"/>
          <w:kern w:val="0"/>
          <w:sz w:val="32"/>
          <w:highlight w:val="none"/>
        </w:rPr>
        <w:t>人，其中：在职人员</w:t>
      </w:r>
      <w:r>
        <w:rPr>
          <w:rFonts w:ascii="仿宋_GB2312" w:hAnsi="仿宋_GB2312" w:eastAsia="仿宋_GB2312"/>
          <w:kern w:val="0"/>
          <w:sz w:val="32"/>
          <w:highlight w:val="none"/>
        </w:rPr>
        <w:t>132</w:t>
      </w:r>
      <w:r>
        <w:rPr>
          <w:rFonts w:hint="eastAsia" w:ascii="仿宋_GB2312" w:hAnsi="仿宋_GB2312" w:eastAsia="仿宋_GB2312"/>
          <w:kern w:val="0"/>
          <w:sz w:val="32"/>
          <w:highlight w:val="none"/>
        </w:rPr>
        <w:t>人，离休人员0人，退休人员</w:t>
      </w:r>
      <w:r>
        <w:rPr>
          <w:rFonts w:ascii="仿宋_GB2312" w:hAnsi="仿宋_GB2312" w:eastAsia="仿宋_GB2312"/>
          <w:kern w:val="0"/>
          <w:sz w:val="32"/>
          <w:highlight w:val="none"/>
        </w:rPr>
        <w:t>69</w:t>
      </w:r>
      <w:r>
        <w:rPr>
          <w:rFonts w:hint="eastAsia" w:ascii="仿宋_GB2312" w:hAnsi="仿宋_GB2312" w:eastAsia="仿宋_GB2312"/>
          <w:kern w:val="0"/>
          <w:sz w:val="32"/>
          <w:highlight w:val="none"/>
        </w:rPr>
        <w:t>人。</w:t>
      </w:r>
    </w:p>
    <w:p>
      <w:pPr>
        <w:shd w:val="clear" w:color="auto" w:fill="FFFFFF"/>
        <w:spacing w:line="360" w:lineRule="auto"/>
        <w:ind w:firstLine="640"/>
        <w:rPr>
          <w:rFonts w:eastAsia="Times New Roman"/>
          <w:kern w:val="0"/>
          <w:sz w:val="24"/>
          <w:highlight w:val="none"/>
          <w:lang w:val="ar-SA"/>
        </w:rPr>
      </w:pPr>
      <w:r>
        <w:rPr>
          <w:rFonts w:hint="eastAsia" w:ascii="仿宋_GB2312" w:hAnsi="仿宋_GB2312" w:eastAsia="仿宋_GB2312"/>
          <w:kern w:val="0"/>
          <w:sz w:val="32"/>
          <w:highlight w:val="none"/>
        </w:rPr>
        <w:t>从部门决算单位构成看，乌鲁木齐市第八十七中学部门决算包括：乌鲁木齐市第八十七中学</w:t>
      </w:r>
      <w:r>
        <w:rPr>
          <w:rFonts w:hint="eastAsia" w:ascii="仿宋_GB2312" w:hAnsi="仿宋_GB2312" w:eastAsia="仿宋_GB2312"/>
          <w:kern w:val="0"/>
          <w:sz w:val="32"/>
          <w:highlight w:val="none"/>
          <w:lang w:val="zh-CN"/>
        </w:rPr>
        <w:t>决算。单位无下属预算单位，下设</w:t>
      </w:r>
      <w:r>
        <w:rPr>
          <w:rFonts w:ascii="仿宋_GB2312" w:hAnsi="仿宋_GB2312" w:eastAsia="仿宋_GB2312"/>
          <w:kern w:val="0"/>
          <w:sz w:val="32"/>
          <w:highlight w:val="none"/>
        </w:rPr>
        <w:t>9</w:t>
      </w:r>
      <w:r>
        <w:rPr>
          <w:rFonts w:hint="eastAsia" w:ascii="仿宋_GB2312" w:hAnsi="仿宋_GB2312" w:eastAsia="仿宋_GB2312"/>
          <w:kern w:val="0"/>
          <w:sz w:val="32"/>
          <w:highlight w:val="none"/>
          <w:lang w:val="zh-CN"/>
        </w:rPr>
        <w:t>个科室，分别是：</w:t>
      </w:r>
      <w:r>
        <w:rPr>
          <w:rFonts w:hint="eastAsia" w:ascii="仿宋_GB2312" w:hAnsi="宋体" w:eastAsia="仿宋_GB2312" w:cs="宋体"/>
          <w:kern w:val="0"/>
          <w:sz w:val="32"/>
          <w:szCs w:val="32"/>
          <w:highlight w:val="none"/>
        </w:rPr>
        <w:t>党政办公室、中学教务处、小学教务处、中学德育处、 小学德育处、教研室、城市少年宫室、总务处、安全保卫科</w:t>
      </w:r>
      <w:r>
        <w:rPr>
          <w:rFonts w:hint="eastAsia" w:ascii="仿宋_GB2312" w:hAnsi="仿宋_GB2312" w:eastAsia="仿宋_GB2312"/>
          <w:kern w:val="0"/>
          <w:sz w:val="32"/>
          <w:highlight w:val="none"/>
          <w:lang w:val="zh-CN"/>
        </w:rPr>
        <w:t>。</w:t>
      </w:r>
    </w:p>
    <w:p>
      <w:pPr>
        <w:jc w:val="center"/>
        <w:outlineLvl w:val="0"/>
        <w:rPr>
          <w:rFonts w:hint="eastAsia" w:ascii="黑体" w:hAnsi="黑体" w:eastAsia="黑体"/>
          <w:sz w:val="32"/>
          <w:szCs w:val="32"/>
          <w:highlight w:val="none"/>
        </w:rPr>
      </w:pPr>
      <w:bookmarkStart w:id="6" w:name="_Toc29374"/>
      <w:bookmarkStart w:id="7" w:name="_Toc3092"/>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ind w:firstLine="640" w:firstLineChars="200"/>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年度收入总计</w:t>
      </w:r>
      <w:r>
        <w:rPr>
          <w:rFonts w:ascii="仿宋_GB2312" w:eastAsia="仿宋_GB2312"/>
          <w:sz w:val="32"/>
          <w:szCs w:val="32"/>
          <w:highlight w:val="none"/>
        </w:rPr>
        <w:t>2,730.2</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万元，其中：本年收入合计</w:t>
      </w:r>
      <w:r>
        <w:rPr>
          <w:rFonts w:ascii="仿宋_GB2312" w:eastAsia="仿宋_GB2312"/>
          <w:sz w:val="32"/>
          <w:szCs w:val="32"/>
          <w:highlight w:val="none"/>
        </w:rPr>
        <w:t>2,639.88</w:t>
      </w:r>
      <w:r>
        <w:rPr>
          <w:rFonts w:hint="eastAsia" w:ascii="仿宋_GB2312" w:eastAsia="仿宋_GB2312"/>
          <w:sz w:val="32"/>
          <w:szCs w:val="32"/>
          <w:highlight w:val="none"/>
        </w:rPr>
        <w:t>万元，使用非财政拨款结余0万元，年初结转和结余9</w:t>
      </w:r>
      <w:r>
        <w:rPr>
          <w:rFonts w:ascii="仿宋_GB2312" w:eastAsia="仿宋_GB2312"/>
          <w:sz w:val="32"/>
          <w:szCs w:val="32"/>
          <w:highlight w:val="none"/>
        </w:rPr>
        <w:t>0.39</w:t>
      </w:r>
      <w:r>
        <w:rPr>
          <w:rFonts w:hint="eastAsia" w:ascii="仿宋_GB2312" w:eastAsia="仿宋_GB2312"/>
          <w:sz w:val="32"/>
          <w:szCs w:val="32"/>
          <w:highlight w:val="none"/>
        </w:rPr>
        <w:t>万元。收入总计与上年相比，减少2</w:t>
      </w:r>
      <w:r>
        <w:rPr>
          <w:rFonts w:ascii="仿宋_GB2312" w:eastAsia="仿宋_GB2312"/>
          <w:sz w:val="32"/>
          <w:szCs w:val="32"/>
          <w:highlight w:val="none"/>
        </w:rPr>
        <w:t>66.1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万元，下降8</w:t>
      </w:r>
      <w:r>
        <w:rPr>
          <w:rFonts w:ascii="仿宋_GB2312" w:eastAsia="仿宋_GB2312"/>
          <w:sz w:val="32"/>
          <w:szCs w:val="32"/>
          <w:highlight w:val="none"/>
        </w:rPr>
        <w:t>.88</w:t>
      </w:r>
      <w:r>
        <w:rPr>
          <w:rFonts w:hint="eastAsia" w:ascii="仿宋_GB2312" w:eastAsia="仿宋_GB2312"/>
          <w:sz w:val="32"/>
          <w:szCs w:val="32"/>
          <w:highlight w:val="none"/>
        </w:rPr>
        <w:t>%，主要原因是：2</w:t>
      </w:r>
      <w:r>
        <w:rPr>
          <w:rFonts w:ascii="仿宋_GB2312" w:eastAsia="仿宋_GB2312"/>
          <w:sz w:val="32"/>
          <w:szCs w:val="32"/>
          <w:highlight w:val="none"/>
        </w:rPr>
        <w:t>022</w:t>
      </w:r>
      <w:r>
        <w:rPr>
          <w:rFonts w:hint="eastAsia" w:ascii="仿宋_GB2312" w:eastAsia="仿宋_GB2312"/>
          <w:sz w:val="32"/>
          <w:szCs w:val="32"/>
          <w:highlight w:val="none"/>
        </w:rPr>
        <w:t>年年初结转和结余金额减少，因防控影响，财政拨款收入减少。</w:t>
      </w:r>
    </w:p>
    <w:p>
      <w:pPr>
        <w:ind w:firstLine="640" w:firstLineChars="200"/>
        <w:rPr>
          <w:rFonts w:ascii="仿宋_GB2312" w:hAnsi="仿宋_GB2312" w:eastAsia="仿宋_GB2312"/>
          <w:kern w:val="0"/>
          <w:sz w:val="32"/>
          <w:highlight w:val="none"/>
        </w:rPr>
      </w:pPr>
      <w:r>
        <w:rPr>
          <w:rFonts w:hint="eastAsia" w:ascii="仿宋_GB2312" w:eastAsia="仿宋_GB2312"/>
          <w:sz w:val="32"/>
          <w:szCs w:val="32"/>
          <w:highlight w:val="none"/>
        </w:rPr>
        <w:t>本年支出总计</w:t>
      </w:r>
      <w:r>
        <w:rPr>
          <w:rFonts w:ascii="仿宋_GB2312" w:eastAsia="仿宋_GB2312"/>
          <w:sz w:val="32"/>
          <w:szCs w:val="32"/>
          <w:highlight w:val="none"/>
        </w:rPr>
        <w:t>2,730.2</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万元，其中：本年支出合计</w:t>
      </w:r>
      <w:r>
        <w:rPr>
          <w:rFonts w:ascii="仿宋_GB2312" w:eastAsia="仿宋_GB2312"/>
          <w:sz w:val="32"/>
          <w:szCs w:val="32"/>
          <w:highlight w:val="none"/>
        </w:rPr>
        <w:t>2,595.97</w:t>
      </w:r>
      <w:r>
        <w:rPr>
          <w:rFonts w:hint="eastAsia" w:ascii="仿宋_GB2312" w:eastAsia="仿宋_GB2312"/>
          <w:sz w:val="32"/>
          <w:szCs w:val="32"/>
          <w:highlight w:val="none"/>
        </w:rPr>
        <w:t>万元，结余分配0万元，年末结转和结余</w:t>
      </w:r>
      <w:r>
        <w:rPr>
          <w:rFonts w:ascii="仿宋_GB2312" w:eastAsia="仿宋_GB2312"/>
          <w:sz w:val="32"/>
          <w:szCs w:val="32"/>
          <w:highlight w:val="none"/>
        </w:rPr>
        <w:t>134.30</w:t>
      </w:r>
      <w:r>
        <w:rPr>
          <w:rFonts w:hint="eastAsia" w:ascii="仿宋_GB2312" w:eastAsia="仿宋_GB2312"/>
          <w:sz w:val="32"/>
          <w:szCs w:val="32"/>
          <w:highlight w:val="none"/>
        </w:rPr>
        <w:t>万元。支出总计与上年相比，减少2</w:t>
      </w:r>
      <w:r>
        <w:rPr>
          <w:rFonts w:ascii="仿宋_GB2312" w:eastAsia="仿宋_GB2312"/>
          <w:sz w:val="32"/>
          <w:szCs w:val="32"/>
          <w:highlight w:val="none"/>
        </w:rPr>
        <w:t>66.1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万元，下降8</w:t>
      </w:r>
      <w:r>
        <w:rPr>
          <w:rFonts w:ascii="仿宋_GB2312" w:eastAsia="仿宋_GB2312"/>
          <w:sz w:val="32"/>
          <w:szCs w:val="32"/>
          <w:highlight w:val="none"/>
        </w:rPr>
        <w:t>.88</w:t>
      </w:r>
      <w:r>
        <w:rPr>
          <w:rFonts w:hint="eastAsia" w:ascii="仿宋_GB2312" w:eastAsia="仿宋_GB2312"/>
          <w:sz w:val="32"/>
          <w:szCs w:val="32"/>
          <w:highlight w:val="none"/>
        </w:rPr>
        <w:t>%，主要原因是</w:t>
      </w:r>
      <w:bookmarkStart w:id="10" w:name="_Toc12142"/>
      <w:bookmarkStart w:id="11" w:name="_Toc1979"/>
      <w:r>
        <w:rPr>
          <w:rFonts w:hint="eastAsia" w:ascii="仿宋_GB2312" w:eastAsia="仿宋_GB2312"/>
          <w:sz w:val="32"/>
          <w:szCs w:val="32"/>
          <w:highlight w:val="none"/>
        </w:rPr>
        <w:t>：</w:t>
      </w:r>
      <w:r>
        <w:rPr>
          <w:rFonts w:hint="eastAsia" w:ascii="仿宋_GB2312" w:eastAsia="仿宋_GB2312" w:cs="仿宋_GB2312"/>
          <w:kern w:val="0"/>
          <w:sz w:val="32"/>
          <w:szCs w:val="32"/>
          <w:highlight w:val="none"/>
        </w:rPr>
        <w:t>因2</w:t>
      </w:r>
      <w:r>
        <w:rPr>
          <w:rFonts w:ascii="仿宋_GB2312" w:eastAsia="仿宋_GB2312" w:cs="仿宋_GB2312"/>
          <w:kern w:val="0"/>
          <w:sz w:val="32"/>
          <w:szCs w:val="32"/>
          <w:highlight w:val="none"/>
        </w:rPr>
        <w:t>022</w:t>
      </w:r>
      <w:r>
        <w:rPr>
          <w:rFonts w:hint="eastAsia" w:ascii="仿宋_GB2312" w:eastAsia="仿宋_GB2312" w:cs="仿宋_GB2312"/>
          <w:kern w:val="0"/>
          <w:sz w:val="32"/>
          <w:szCs w:val="32"/>
          <w:highlight w:val="none"/>
        </w:rPr>
        <w:t>年</w:t>
      </w:r>
      <w:r>
        <w:rPr>
          <w:rFonts w:hint="eastAsia" w:ascii="仿宋_GB2312" w:eastAsia="仿宋_GB2312"/>
          <w:sz w:val="32"/>
          <w:szCs w:val="32"/>
          <w:highlight w:val="none"/>
        </w:rPr>
        <w:t>防控</w:t>
      </w:r>
      <w:r>
        <w:rPr>
          <w:rFonts w:hint="eastAsia" w:ascii="仿宋_GB2312" w:eastAsia="仿宋_GB2312" w:cs="仿宋_GB2312"/>
          <w:kern w:val="0"/>
          <w:sz w:val="32"/>
          <w:szCs w:val="32"/>
          <w:highlight w:val="none"/>
        </w:rPr>
        <w:t>影响，学校下半年多数项目未能开展，导致支出减少</w:t>
      </w:r>
      <w:r>
        <w:rPr>
          <w:rFonts w:hint="eastAsia" w:ascii="仿宋_GB2312" w:hAnsi="仿宋_GB2312" w:eastAsia="仿宋_GB2312"/>
          <w:kern w:val="0"/>
          <w:sz w:val="32"/>
          <w:highlight w:val="none"/>
        </w:rPr>
        <w:t>。</w:t>
      </w:r>
    </w:p>
    <w:p>
      <w:pPr>
        <w:ind w:firstLine="640" w:firstLineChars="200"/>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二、收入决算情况说明</w:t>
      </w:r>
      <w:bookmarkEnd w:id="10"/>
      <w:bookmarkEnd w:id="1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年度本年收入</w:t>
      </w:r>
      <w:r>
        <w:rPr>
          <w:rFonts w:ascii="仿宋_GB2312" w:eastAsia="仿宋_GB2312"/>
          <w:sz w:val="32"/>
          <w:szCs w:val="32"/>
          <w:highlight w:val="none"/>
        </w:rPr>
        <w:t>2,639.88</w:t>
      </w:r>
      <w:r>
        <w:rPr>
          <w:rFonts w:hint="eastAsia" w:ascii="仿宋_GB2312" w:eastAsia="仿宋_GB2312"/>
          <w:sz w:val="32"/>
          <w:szCs w:val="32"/>
          <w:highlight w:val="none"/>
        </w:rPr>
        <w:t>万元，其中：财政拨款收入</w:t>
      </w:r>
      <w:r>
        <w:rPr>
          <w:rFonts w:ascii="仿宋_GB2312" w:eastAsia="仿宋_GB2312"/>
          <w:sz w:val="32"/>
          <w:szCs w:val="32"/>
          <w:highlight w:val="none"/>
        </w:rPr>
        <w:t>2,508.62</w:t>
      </w:r>
      <w:r>
        <w:rPr>
          <w:rFonts w:hint="eastAsia" w:ascii="仿宋_GB2312" w:eastAsia="仿宋_GB2312"/>
          <w:sz w:val="32"/>
          <w:szCs w:val="32"/>
          <w:highlight w:val="none"/>
        </w:rPr>
        <w:t>万元，占9</w:t>
      </w:r>
      <w:r>
        <w:rPr>
          <w:rFonts w:ascii="仿宋_GB2312" w:eastAsia="仿宋_GB2312"/>
          <w:sz w:val="32"/>
          <w:szCs w:val="32"/>
          <w:highlight w:val="none"/>
        </w:rPr>
        <w:t>5.03</w:t>
      </w:r>
      <w:r>
        <w:rPr>
          <w:rFonts w:hint="eastAsia" w:ascii="仿宋_GB2312" w:eastAsia="仿宋_GB2312"/>
          <w:sz w:val="32"/>
          <w:szCs w:val="32"/>
          <w:highlight w:val="none"/>
        </w:rPr>
        <w:t>%；上级补助收入0万元，占0%；事业收入0万元，占0%；经营收入0万元，占0%；附属单位上缴收入0万元，占0%；其他收入1</w:t>
      </w:r>
      <w:r>
        <w:rPr>
          <w:rFonts w:ascii="仿宋_GB2312" w:eastAsia="仿宋_GB2312"/>
          <w:sz w:val="32"/>
          <w:szCs w:val="32"/>
          <w:highlight w:val="none"/>
        </w:rPr>
        <w:t>31.26</w:t>
      </w:r>
      <w:r>
        <w:rPr>
          <w:rFonts w:hint="eastAsia" w:ascii="仿宋_GB2312" w:eastAsia="仿宋_GB2312"/>
          <w:sz w:val="32"/>
          <w:szCs w:val="32"/>
          <w:highlight w:val="none"/>
        </w:rPr>
        <w:t>万元，占4</w:t>
      </w:r>
      <w:r>
        <w:rPr>
          <w:rFonts w:ascii="仿宋_GB2312" w:eastAsia="仿宋_GB2312"/>
          <w:sz w:val="32"/>
          <w:szCs w:val="32"/>
          <w:highlight w:val="none"/>
        </w:rPr>
        <w:t>.97</w:t>
      </w:r>
      <w:r>
        <w:rPr>
          <w:rFonts w:hint="eastAsia" w:ascii="仿宋_GB2312" w:eastAsia="仿宋_GB2312"/>
          <w:sz w:val="32"/>
          <w:szCs w:val="32"/>
          <w:highlight w:val="none"/>
        </w:rPr>
        <w:t>%。</w:t>
      </w:r>
    </w:p>
    <w:p>
      <w:pPr>
        <w:ind w:firstLine="640" w:firstLineChars="200"/>
        <w:outlineLvl w:val="1"/>
        <w:rPr>
          <w:rFonts w:hint="eastAsia" w:ascii="黑体" w:hAnsi="黑体" w:eastAsia="黑体" w:cs="宋体"/>
          <w:bCs/>
          <w:kern w:val="0"/>
          <w:sz w:val="32"/>
          <w:szCs w:val="32"/>
          <w:highlight w:val="none"/>
        </w:rPr>
      </w:pPr>
      <w:bookmarkStart w:id="12" w:name="_Toc13201"/>
      <w:bookmarkStart w:id="13" w:name="_Toc27961"/>
      <w:r>
        <w:rPr>
          <w:rFonts w:hint="eastAsia" w:ascii="黑体" w:hAnsi="黑体" w:eastAsia="黑体" w:cs="宋体"/>
          <w:bCs/>
          <w:kern w:val="0"/>
          <w:sz w:val="32"/>
          <w:szCs w:val="32"/>
          <w:highlight w:val="none"/>
        </w:rPr>
        <w:t>三、支出决算情况说明</w:t>
      </w:r>
      <w:bookmarkEnd w:id="12"/>
      <w:bookmarkEnd w:id="1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年度本年支出</w:t>
      </w:r>
      <w:r>
        <w:rPr>
          <w:rFonts w:ascii="仿宋_GB2312" w:eastAsia="仿宋_GB2312"/>
          <w:sz w:val="32"/>
          <w:szCs w:val="32"/>
          <w:highlight w:val="none"/>
        </w:rPr>
        <w:t>2,595.97</w:t>
      </w:r>
      <w:r>
        <w:rPr>
          <w:rFonts w:hint="eastAsia" w:ascii="仿宋_GB2312" w:eastAsia="仿宋_GB2312"/>
          <w:sz w:val="32"/>
          <w:szCs w:val="32"/>
          <w:highlight w:val="none"/>
        </w:rPr>
        <w:t>万元，其中：基本支出</w:t>
      </w:r>
      <w:r>
        <w:rPr>
          <w:rFonts w:ascii="仿宋_GB2312" w:eastAsia="仿宋_GB2312"/>
          <w:sz w:val="32"/>
          <w:szCs w:val="32"/>
          <w:highlight w:val="none"/>
        </w:rPr>
        <w:t>2,274.75</w:t>
      </w:r>
      <w:r>
        <w:rPr>
          <w:rFonts w:hint="eastAsia" w:ascii="仿宋_GB2312" w:eastAsia="仿宋_GB2312"/>
          <w:sz w:val="32"/>
          <w:szCs w:val="32"/>
          <w:highlight w:val="none"/>
        </w:rPr>
        <w:t>万元，占8</w:t>
      </w:r>
      <w:r>
        <w:rPr>
          <w:rFonts w:ascii="仿宋_GB2312" w:eastAsia="仿宋_GB2312"/>
          <w:sz w:val="32"/>
          <w:szCs w:val="32"/>
          <w:highlight w:val="none"/>
        </w:rPr>
        <w:t>7.63</w:t>
      </w:r>
      <w:r>
        <w:rPr>
          <w:rFonts w:hint="eastAsia" w:ascii="仿宋_GB2312" w:eastAsia="仿宋_GB2312"/>
          <w:sz w:val="32"/>
          <w:szCs w:val="32"/>
          <w:highlight w:val="none"/>
        </w:rPr>
        <w:t>%；项目支出</w:t>
      </w:r>
      <w:r>
        <w:rPr>
          <w:rFonts w:ascii="仿宋_GB2312" w:eastAsia="仿宋_GB2312"/>
          <w:sz w:val="32"/>
          <w:szCs w:val="32"/>
          <w:highlight w:val="none"/>
        </w:rPr>
        <w:t>321.23</w:t>
      </w:r>
      <w:r>
        <w:rPr>
          <w:rFonts w:hint="eastAsia" w:ascii="仿宋_GB2312" w:eastAsia="仿宋_GB2312"/>
          <w:sz w:val="32"/>
          <w:szCs w:val="32"/>
          <w:highlight w:val="none"/>
        </w:rPr>
        <w:t>万元，占1</w:t>
      </w:r>
      <w:r>
        <w:rPr>
          <w:rFonts w:ascii="仿宋_GB2312" w:eastAsia="仿宋_GB2312"/>
          <w:sz w:val="32"/>
          <w:szCs w:val="32"/>
          <w:highlight w:val="none"/>
        </w:rPr>
        <w:t>2.37</w:t>
      </w:r>
      <w:r>
        <w:rPr>
          <w:rFonts w:hint="eastAsia" w:ascii="仿宋_GB2312" w:eastAsia="仿宋_GB2312"/>
          <w:sz w:val="32"/>
          <w:szCs w:val="32"/>
          <w:highlight w:val="none"/>
        </w:rPr>
        <w:t>%；上缴上级支出0万元，占0%；经营支出0万元，占0%；对附属单位补助支出0万元，占0%。</w:t>
      </w:r>
    </w:p>
    <w:p>
      <w:pPr>
        <w:ind w:firstLine="640" w:firstLineChars="200"/>
        <w:outlineLvl w:val="1"/>
        <w:rPr>
          <w:rFonts w:hint="eastAsia" w:ascii="黑体" w:hAnsi="黑体" w:eastAsia="黑体" w:cs="宋体"/>
          <w:bCs/>
          <w:kern w:val="0"/>
          <w:sz w:val="32"/>
          <w:szCs w:val="32"/>
          <w:highlight w:val="none"/>
        </w:rPr>
      </w:pPr>
      <w:bookmarkStart w:id="14" w:name="_Toc4393"/>
      <w:bookmarkStart w:id="15" w:name="_Toc26564"/>
      <w:r>
        <w:rPr>
          <w:rFonts w:hint="eastAsia" w:ascii="黑体" w:hAnsi="黑体" w:eastAsia="黑体" w:cs="宋体"/>
          <w:bCs/>
          <w:kern w:val="0"/>
          <w:sz w:val="32"/>
          <w:szCs w:val="32"/>
          <w:highlight w:val="none"/>
        </w:rPr>
        <w:t>四、财政拨款收入支出决算总体情况说明</w:t>
      </w:r>
      <w:bookmarkEnd w:id="14"/>
      <w:bookmarkEnd w:id="15"/>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年度财政拨款收入总计</w:t>
      </w:r>
      <w:r>
        <w:rPr>
          <w:rFonts w:ascii="仿宋_GB2312" w:eastAsia="仿宋_GB2312"/>
          <w:sz w:val="32"/>
          <w:szCs w:val="32"/>
          <w:highlight w:val="none"/>
        </w:rPr>
        <w:t>2,573.8</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万元，其中：年初财政拨款结转和结余</w:t>
      </w:r>
      <w:r>
        <w:rPr>
          <w:rFonts w:ascii="仿宋_GB2312" w:eastAsia="仿宋_GB2312"/>
          <w:sz w:val="32"/>
          <w:szCs w:val="32"/>
          <w:highlight w:val="none"/>
        </w:rPr>
        <w:t>65.21</w:t>
      </w:r>
      <w:r>
        <w:rPr>
          <w:rFonts w:hint="eastAsia" w:ascii="仿宋_GB2312" w:eastAsia="仿宋_GB2312"/>
          <w:sz w:val="32"/>
          <w:szCs w:val="32"/>
          <w:highlight w:val="none"/>
        </w:rPr>
        <w:t>万元，财政拨款本年收入</w:t>
      </w:r>
      <w:r>
        <w:rPr>
          <w:rFonts w:ascii="仿宋_GB2312" w:eastAsia="仿宋_GB2312"/>
          <w:sz w:val="32"/>
          <w:szCs w:val="32"/>
          <w:highlight w:val="none"/>
        </w:rPr>
        <w:t>2,508.62</w:t>
      </w:r>
      <w:r>
        <w:rPr>
          <w:rFonts w:hint="eastAsia" w:ascii="仿宋_GB2312" w:eastAsia="仿宋_GB2312"/>
          <w:sz w:val="32"/>
          <w:szCs w:val="32"/>
          <w:highlight w:val="none"/>
        </w:rPr>
        <w:t>万元。财政拨款收入总计与上年相比，减少3</w:t>
      </w:r>
      <w:r>
        <w:rPr>
          <w:rFonts w:ascii="仿宋_GB2312" w:eastAsia="仿宋_GB2312"/>
          <w:sz w:val="32"/>
          <w:szCs w:val="32"/>
          <w:highlight w:val="none"/>
        </w:rPr>
        <w:t>60.84</w:t>
      </w:r>
      <w:r>
        <w:rPr>
          <w:rFonts w:hint="eastAsia" w:ascii="仿宋_GB2312" w:eastAsia="仿宋_GB2312"/>
          <w:sz w:val="32"/>
          <w:szCs w:val="32"/>
          <w:highlight w:val="none"/>
        </w:rPr>
        <w:t>万元，下降1</w:t>
      </w:r>
      <w:r>
        <w:rPr>
          <w:rFonts w:ascii="仿宋_GB2312" w:eastAsia="仿宋_GB2312"/>
          <w:sz w:val="32"/>
          <w:szCs w:val="32"/>
          <w:highlight w:val="none"/>
        </w:rPr>
        <w:t>2.30</w:t>
      </w:r>
      <w:r>
        <w:rPr>
          <w:rFonts w:hint="eastAsia" w:ascii="仿宋_GB2312" w:eastAsia="仿宋_GB2312"/>
          <w:sz w:val="32"/>
          <w:szCs w:val="32"/>
          <w:highlight w:val="none"/>
        </w:rPr>
        <w:t>%，主要原因是：2</w:t>
      </w:r>
      <w:r>
        <w:rPr>
          <w:rFonts w:ascii="仿宋_GB2312" w:eastAsia="仿宋_GB2312"/>
          <w:sz w:val="32"/>
          <w:szCs w:val="32"/>
          <w:highlight w:val="none"/>
        </w:rPr>
        <w:t>022</w:t>
      </w:r>
      <w:r>
        <w:rPr>
          <w:rFonts w:hint="eastAsia" w:ascii="仿宋_GB2312" w:eastAsia="仿宋_GB2312"/>
          <w:sz w:val="32"/>
          <w:szCs w:val="32"/>
          <w:highlight w:val="none"/>
        </w:rPr>
        <w:t>年初财政拨款结转和结余减少，因防控影响全年财政拨款收入减少。</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财政拨款支出总计</w:t>
      </w:r>
      <w:r>
        <w:rPr>
          <w:rFonts w:ascii="仿宋_GB2312" w:eastAsia="仿宋_GB2312"/>
          <w:sz w:val="32"/>
          <w:szCs w:val="32"/>
          <w:highlight w:val="none"/>
        </w:rPr>
        <w:t>2,573.82</w:t>
      </w:r>
      <w:r>
        <w:rPr>
          <w:rFonts w:hint="eastAsia" w:ascii="仿宋_GB2312" w:eastAsia="仿宋_GB2312"/>
          <w:sz w:val="32"/>
          <w:szCs w:val="32"/>
          <w:highlight w:val="none"/>
        </w:rPr>
        <w:t>万元，其中：年末财政拨款结转和结余</w:t>
      </w:r>
      <w:r>
        <w:rPr>
          <w:rFonts w:ascii="仿宋_GB2312" w:eastAsia="仿宋_GB2312"/>
          <w:sz w:val="32"/>
          <w:szCs w:val="32"/>
          <w:highlight w:val="none"/>
        </w:rPr>
        <w:t>110.46</w:t>
      </w:r>
      <w:r>
        <w:rPr>
          <w:rFonts w:hint="eastAsia" w:ascii="仿宋_GB2312" w:eastAsia="仿宋_GB2312"/>
          <w:sz w:val="32"/>
          <w:szCs w:val="32"/>
          <w:highlight w:val="none"/>
        </w:rPr>
        <w:t>万元，财政拨款本年支出</w:t>
      </w:r>
      <w:r>
        <w:rPr>
          <w:rFonts w:ascii="仿宋_GB2312" w:eastAsia="仿宋_GB2312"/>
          <w:sz w:val="32"/>
          <w:szCs w:val="32"/>
          <w:highlight w:val="none"/>
        </w:rPr>
        <w:t>2,463.36</w:t>
      </w:r>
      <w:r>
        <w:rPr>
          <w:rFonts w:hint="eastAsia" w:ascii="仿宋_GB2312" w:eastAsia="仿宋_GB2312"/>
          <w:sz w:val="32"/>
          <w:szCs w:val="32"/>
          <w:highlight w:val="none"/>
        </w:rPr>
        <w:t>万元。财政拨款支出总计与上年相比，增加减少3</w:t>
      </w:r>
      <w:r>
        <w:rPr>
          <w:rFonts w:ascii="仿宋_GB2312" w:eastAsia="仿宋_GB2312"/>
          <w:sz w:val="32"/>
          <w:szCs w:val="32"/>
          <w:highlight w:val="none"/>
        </w:rPr>
        <w:t>60.84</w:t>
      </w:r>
      <w:r>
        <w:rPr>
          <w:rFonts w:hint="eastAsia" w:ascii="仿宋_GB2312" w:eastAsia="仿宋_GB2312"/>
          <w:sz w:val="32"/>
          <w:szCs w:val="32"/>
          <w:highlight w:val="none"/>
        </w:rPr>
        <w:t>万元，下降1</w:t>
      </w:r>
      <w:r>
        <w:rPr>
          <w:rFonts w:ascii="仿宋_GB2312" w:eastAsia="仿宋_GB2312"/>
          <w:sz w:val="32"/>
          <w:szCs w:val="32"/>
          <w:highlight w:val="none"/>
        </w:rPr>
        <w:t>2.30</w:t>
      </w:r>
      <w:r>
        <w:rPr>
          <w:rFonts w:hint="eastAsia" w:ascii="仿宋_GB2312" w:eastAsia="仿宋_GB2312"/>
          <w:sz w:val="32"/>
          <w:szCs w:val="32"/>
          <w:highlight w:val="none"/>
        </w:rPr>
        <w:t>%，主要原因是：因2</w:t>
      </w:r>
      <w:r>
        <w:rPr>
          <w:rFonts w:ascii="仿宋_GB2312" w:eastAsia="仿宋_GB2312"/>
          <w:sz w:val="32"/>
          <w:szCs w:val="32"/>
          <w:highlight w:val="none"/>
        </w:rPr>
        <w:t>022</w:t>
      </w:r>
      <w:r>
        <w:rPr>
          <w:rFonts w:hint="eastAsia" w:ascii="仿宋_GB2312" w:eastAsia="仿宋_GB2312"/>
          <w:sz w:val="32"/>
          <w:szCs w:val="32"/>
          <w:highlight w:val="none"/>
        </w:rPr>
        <w:t>年防控影响，学校下半年多数项目未开展，导致财政拨款支出减少。</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与年初预算数相比情况：财政拨款收入总计年初预算数2</w:t>
      </w:r>
      <w:r>
        <w:rPr>
          <w:rFonts w:ascii="仿宋_GB2312" w:eastAsia="仿宋_GB2312"/>
          <w:sz w:val="32"/>
          <w:szCs w:val="32"/>
          <w:highlight w:val="none"/>
        </w:rPr>
        <w:t>650.07</w:t>
      </w:r>
      <w:r>
        <w:rPr>
          <w:rFonts w:hint="eastAsia" w:ascii="仿宋_GB2312" w:eastAsia="仿宋_GB2312"/>
          <w:sz w:val="32"/>
          <w:szCs w:val="32"/>
          <w:highlight w:val="none"/>
        </w:rPr>
        <w:t>万元，决算数2</w:t>
      </w:r>
      <w:r>
        <w:rPr>
          <w:rFonts w:ascii="仿宋_GB2312" w:eastAsia="仿宋_GB2312"/>
          <w:sz w:val="32"/>
          <w:szCs w:val="32"/>
          <w:highlight w:val="none"/>
        </w:rPr>
        <w:t>573.82</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w:t>
      </w:r>
      <w:r>
        <w:rPr>
          <w:rFonts w:ascii="仿宋_GB2312" w:eastAsia="仿宋_GB2312"/>
          <w:sz w:val="32"/>
          <w:szCs w:val="32"/>
          <w:highlight w:val="none"/>
        </w:rPr>
        <w:t>.88</w:t>
      </w:r>
      <w:r>
        <w:rPr>
          <w:rFonts w:hint="eastAsia" w:ascii="仿宋_GB2312" w:eastAsia="仿宋_GB2312"/>
          <w:sz w:val="32"/>
          <w:szCs w:val="32"/>
          <w:highlight w:val="none"/>
        </w:rPr>
        <w:t>%，主要原因是：年初预算数不包含上年结转的6</w:t>
      </w:r>
      <w:r>
        <w:rPr>
          <w:rFonts w:ascii="仿宋_GB2312" w:eastAsia="仿宋_GB2312"/>
          <w:sz w:val="32"/>
          <w:szCs w:val="32"/>
          <w:highlight w:val="none"/>
        </w:rPr>
        <w:t>5.21</w:t>
      </w:r>
      <w:r>
        <w:rPr>
          <w:rFonts w:hint="eastAsia" w:ascii="仿宋_GB2312" w:eastAsia="仿宋_GB2312"/>
          <w:sz w:val="32"/>
          <w:szCs w:val="32"/>
          <w:highlight w:val="none"/>
        </w:rPr>
        <w:t>万元。财政拨款支出总计年初预算数2</w:t>
      </w:r>
      <w:r>
        <w:rPr>
          <w:rFonts w:ascii="仿宋_GB2312" w:eastAsia="仿宋_GB2312"/>
          <w:sz w:val="32"/>
          <w:szCs w:val="32"/>
          <w:highlight w:val="none"/>
        </w:rPr>
        <w:t>650.07</w:t>
      </w:r>
      <w:r>
        <w:rPr>
          <w:rFonts w:hint="eastAsia" w:ascii="仿宋_GB2312" w:eastAsia="仿宋_GB2312"/>
          <w:sz w:val="32"/>
          <w:szCs w:val="32"/>
          <w:highlight w:val="none"/>
        </w:rPr>
        <w:t>万元，决算数2</w:t>
      </w:r>
      <w:r>
        <w:rPr>
          <w:rFonts w:ascii="仿宋_GB2312" w:eastAsia="仿宋_GB2312"/>
          <w:sz w:val="32"/>
          <w:szCs w:val="32"/>
          <w:highlight w:val="none"/>
        </w:rPr>
        <w:t>573.82</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w:t>
      </w:r>
      <w:r>
        <w:rPr>
          <w:rFonts w:ascii="仿宋_GB2312" w:eastAsia="仿宋_GB2312"/>
          <w:sz w:val="32"/>
          <w:szCs w:val="32"/>
          <w:highlight w:val="none"/>
        </w:rPr>
        <w:t>.88</w:t>
      </w:r>
      <w:r>
        <w:rPr>
          <w:rFonts w:hint="eastAsia" w:ascii="仿宋_GB2312" w:eastAsia="仿宋_GB2312"/>
          <w:sz w:val="32"/>
          <w:szCs w:val="32"/>
          <w:highlight w:val="none"/>
        </w:rPr>
        <w:t>%，主要原因是：年初预算数不包含年末结转金额。</w:t>
      </w:r>
    </w:p>
    <w:p>
      <w:pPr>
        <w:ind w:firstLine="640" w:firstLineChars="200"/>
        <w:outlineLvl w:val="1"/>
        <w:rPr>
          <w:rFonts w:hint="eastAsia" w:ascii="黑体" w:hAnsi="黑体" w:eastAsia="黑体" w:cs="宋体"/>
          <w:bCs/>
          <w:kern w:val="0"/>
          <w:sz w:val="32"/>
          <w:szCs w:val="32"/>
          <w:highlight w:val="none"/>
        </w:rPr>
      </w:pPr>
      <w:bookmarkStart w:id="16" w:name="_Toc20360"/>
      <w:bookmarkStart w:id="17" w:name="_Toc13833"/>
      <w:r>
        <w:rPr>
          <w:rFonts w:hint="eastAsia" w:ascii="黑体" w:hAnsi="黑体" w:eastAsia="黑体" w:cs="宋体"/>
          <w:bCs/>
          <w:kern w:val="0"/>
          <w:sz w:val="32"/>
          <w:szCs w:val="32"/>
          <w:highlight w:val="none"/>
        </w:rPr>
        <w:t>五、一般公共预算财政拨款支出决算情况说明</w:t>
      </w:r>
      <w:bookmarkEnd w:id="16"/>
      <w:bookmarkEnd w:id="17"/>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（一）一般公共预算财政拨款支出决算总体情况</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年度一般公共预算财政拨款支出2</w:t>
      </w:r>
      <w:r>
        <w:rPr>
          <w:rFonts w:ascii="仿宋_GB2312" w:eastAsia="仿宋_GB2312"/>
          <w:sz w:val="32"/>
          <w:szCs w:val="32"/>
          <w:highlight w:val="none"/>
        </w:rPr>
        <w:t>463.36</w:t>
      </w:r>
      <w:r>
        <w:rPr>
          <w:rFonts w:hint="eastAsia" w:ascii="仿宋_GB2312" w:eastAsia="仿宋_GB2312"/>
          <w:sz w:val="32"/>
          <w:szCs w:val="32"/>
          <w:highlight w:val="none"/>
        </w:rPr>
        <w:t>万元，占本年支出合计的9</w:t>
      </w:r>
      <w:r>
        <w:rPr>
          <w:rFonts w:ascii="仿宋_GB2312" w:eastAsia="仿宋_GB2312"/>
          <w:sz w:val="32"/>
          <w:szCs w:val="32"/>
          <w:highlight w:val="none"/>
        </w:rPr>
        <w:t>4.89</w:t>
      </w:r>
      <w:r>
        <w:rPr>
          <w:rFonts w:hint="eastAsia" w:ascii="仿宋_GB2312" w:eastAsia="仿宋_GB2312"/>
          <w:sz w:val="32"/>
          <w:szCs w:val="32"/>
          <w:highlight w:val="none"/>
        </w:rPr>
        <w:t>%，与上年相比，减少4</w:t>
      </w:r>
      <w:r>
        <w:rPr>
          <w:rFonts w:ascii="仿宋_GB2312" w:eastAsia="仿宋_GB2312"/>
          <w:sz w:val="32"/>
          <w:szCs w:val="32"/>
          <w:highlight w:val="none"/>
        </w:rPr>
        <w:t>06.09</w:t>
      </w:r>
      <w:r>
        <w:rPr>
          <w:rFonts w:hint="eastAsia" w:ascii="仿宋_GB2312" w:eastAsia="仿宋_GB2312"/>
          <w:sz w:val="32"/>
          <w:szCs w:val="32"/>
          <w:highlight w:val="none"/>
        </w:rPr>
        <w:t>万元，下降1</w:t>
      </w:r>
      <w:r>
        <w:rPr>
          <w:rFonts w:ascii="仿宋_GB2312" w:eastAsia="仿宋_GB2312"/>
          <w:sz w:val="32"/>
          <w:szCs w:val="32"/>
          <w:highlight w:val="none"/>
        </w:rPr>
        <w:t>4.15</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因防疫影响，财政资金紧张，导致培训、活动、物品采购等明细项相应压缩，故支出下降</w:t>
      </w:r>
      <w:r>
        <w:rPr>
          <w:rFonts w:hint="eastAsia" w:ascii="仿宋_GB2312" w:eastAsia="仿宋_GB2312"/>
          <w:sz w:val="32"/>
          <w:szCs w:val="32"/>
          <w:highlight w:val="none"/>
        </w:rPr>
        <w:t>。</w:t>
      </w:r>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（二）一般公共预算财政拨款支出决算结构情况</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1.教育支出（类）</w:t>
      </w:r>
      <w:r>
        <w:rPr>
          <w:rFonts w:hint="eastAsia" w:ascii="仿宋_GB2312" w:hAnsi="仿宋_GB2312" w:eastAsia="仿宋_GB2312" w:cs="仿宋_GB2312"/>
          <w:sz w:val="32"/>
          <w:szCs w:val="32"/>
          <w:highlight w:val="none"/>
          <w:lang w:val="en-US" w:eastAsia="zh-CN"/>
        </w:rPr>
        <w:t>2463.36</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ind w:firstLine="640" w:firstLineChars="200"/>
        <w:outlineLvl w:val="2"/>
        <w:rPr>
          <w:rFonts w:ascii="黑体" w:hAnsi="黑体" w:eastAsia="黑体"/>
          <w:sz w:val="32"/>
          <w:szCs w:val="32"/>
          <w:highlight w:val="none"/>
        </w:rPr>
      </w:pPr>
      <w:r>
        <w:rPr>
          <w:rFonts w:hint="eastAsia" w:ascii="黑体" w:hAnsi="黑体" w:eastAsia="黑体"/>
          <w:sz w:val="32"/>
          <w:szCs w:val="32"/>
          <w:highlight w:val="none"/>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小学教育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为1234.39万元，比上年</w:t>
      </w:r>
      <w:r>
        <w:rPr>
          <w:rFonts w:hint="eastAsia" w:ascii="仿宋_GB2312" w:hAnsi="仿宋_GB2312" w:eastAsia="仿宋_GB2312" w:cs="仿宋_GB2312"/>
          <w:kern w:val="0"/>
          <w:sz w:val="32"/>
          <w:szCs w:val="32"/>
          <w:highlight w:val="none"/>
          <w:lang w:val="en-US" w:eastAsia="zh-CN"/>
        </w:rPr>
        <w:t>决算增加220.13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增长21.70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人员工资增加，相应社保公积金基数增加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初中教育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为1223.97万元，比上年</w:t>
      </w:r>
      <w:r>
        <w:rPr>
          <w:rFonts w:hint="eastAsia" w:ascii="仿宋_GB2312" w:hAnsi="仿宋_GB2312" w:eastAsia="仿宋_GB2312" w:cs="仿宋_GB2312"/>
          <w:kern w:val="0"/>
          <w:sz w:val="32"/>
          <w:szCs w:val="32"/>
          <w:highlight w:val="none"/>
          <w:lang w:val="en-US" w:eastAsia="zh-CN"/>
        </w:rPr>
        <w:t>决算减少426.86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减少25.86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sz w:val="32"/>
          <w:szCs w:val="32"/>
          <w:highlight w:val="none"/>
          <w:lang w:eastAsia="zh-CN"/>
        </w:rPr>
        <w:t>因防疫影响，财政资金紧张，导致培训、活动、物品采购等明细项相应压缩，故支出下降</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其他普通教育支出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决算增加2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增加100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南疆支教教师人数增加，相应项目经费增加。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（类）教育费附加安排的支出（款）其他教育费附加安排的支出（项）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5.52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2021年该项目支出为特色学校建设与补助资金，2022年预算中未安排此款项经费，故产生差异。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（类）教育费附加安排的支出（款）城市中小学教学设施（项）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2022年预算中增加安排此款项经费,支出用于中小学教学设施，故产生差异。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ascii="仿宋_GB2312" w:hAnsi="仿宋_GB2312" w:eastAsia="仿宋_GB2312" w:cs="仿宋_GB2312"/>
          <w:kern w:val="0"/>
          <w:sz w:val="32"/>
          <w:szCs w:val="32"/>
          <w:highlight w:val="none"/>
        </w:rPr>
        <w:t>6.</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（类）其他教育支出（款）其他教育支出（项）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2021年偿还食堂工程欠款20万元，而本年无该项支出，故产生差异。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156.48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本年财政未将养老保险缴费支出安排在该款项。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0"/>
          <w:sz w:val="32"/>
          <w:szCs w:val="32"/>
          <w:highlight w:val="none"/>
          <w:lang w:val="en-US" w:eastAsia="zh-CN"/>
        </w:rPr>
        <w:t>8</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企业改革补助</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其他企业改革发展补助</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22.37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sz w:val="32"/>
          <w:szCs w:val="32"/>
          <w:highlight w:val="none"/>
          <w:lang w:eastAsia="zh-CN"/>
        </w:rPr>
        <w:t>因防疫影响，财政资金紧张，导致企退教师活动费，慰问等明细项相应压缩，故支出下降</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ab/>
      </w:r>
    </w:p>
    <w:p>
      <w:pPr>
        <w:ind w:firstLine="640" w:firstLineChars="200"/>
        <w:outlineLvl w:val="1"/>
        <w:rPr>
          <w:rFonts w:hint="eastAsia" w:ascii="黑体" w:hAnsi="黑体" w:eastAsia="黑体" w:cs="宋体"/>
          <w:bCs/>
          <w:kern w:val="0"/>
          <w:sz w:val="32"/>
          <w:szCs w:val="32"/>
          <w:highlight w:val="none"/>
        </w:rPr>
      </w:pPr>
      <w:bookmarkStart w:id="18" w:name="_Toc11146"/>
      <w:bookmarkStart w:id="19" w:name="_Toc30870"/>
      <w:r>
        <w:rPr>
          <w:rFonts w:hint="eastAsia" w:ascii="黑体" w:hAnsi="黑体" w:eastAsia="黑体" w:cs="宋体"/>
          <w:bCs/>
          <w:kern w:val="0"/>
          <w:sz w:val="32"/>
          <w:szCs w:val="32"/>
          <w:highlight w:val="none"/>
        </w:rPr>
        <w:t>六、一般公共预算财政拨款基本支出决算情况说明</w:t>
      </w:r>
      <w:bookmarkEnd w:id="18"/>
      <w:bookmarkEnd w:id="1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年度一般公共预算财政拨款基本支出2</w:t>
      </w:r>
      <w:r>
        <w:rPr>
          <w:rFonts w:ascii="仿宋_GB2312" w:eastAsia="仿宋_GB2312"/>
          <w:sz w:val="32"/>
          <w:szCs w:val="32"/>
          <w:highlight w:val="none"/>
        </w:rPr>
        <w:t>274.75</w:t>
      </w:r>
      <w:r>
        <w:rPr>
          <w:rFonts w:hint="eastAsia" w:ascii="仿宋_GB2312" w:eastAsia="仿宋_GB2312"/>
          <w:sz w:val="32"/>
          <w:szCs w:val="32"/>
          <w:highlight w:val="none"/>
        </w:rPr>
        <w:t>万元，其中：</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人员经费2</w:t>
      </w:r>
      <w:r>
        <w:rPr>
          <w:rFonts w:ascii="仿宋_GB2312" w:eastAsia="仿宋_GB2312"/>
          <w:sz w:val="32"/>
          <w:szCs w:val="32"/>
          <w:highlight w:val="none"/>
        </w:rPr>
        <w:t>153.71</w:t>
      </w:r>
      <w:r>
        <w:rPr>
          <w:rFonts w:hint="eastAsia" w:ascii="仿宋_GB2312" w:eastAsia="仿宋_GB2312"/>
          <w:sz w:val="32"/>
          <w:szCs w:val="32"/>
          <w:highlight w:val="none"/>
        </w:rPr>
        <w:t>万元，包括：基本工资、津贴补贴、奖金、绩效工资、机关事业单位基本养老保险缴费、职工基本医疗保险缴费、公务员医疗补助缴费、其他社会保障缴费、住房公积金、退休费、奖励金。</w:t>
      </w:r>
    </w:p>
    <w:p>
      <w:pPr>
        <w:ind w:firstLine="640" w:firstLineChars="200"/>
        <w:rPr>
          <w:rFonts w:hint="eastAsia" w:ascii="仿宋_GB2312" w:eastAsia="仿宋_GB2312"/>
          <w:sz w:val="32"/>
          <w:szCs w:val="32"/>
          <w:highlight w:val="none"/>
          <w:lang w:eastAsia="zh-CN"/>
        </w:rPr>
      </w:pPr>
      <w:bookmarkStart w:id="54" w:name="_GoBack"/>
      <w:bookmarkEnd w:id="54"/>
      <w:r>
        <w:rPr>
          <w:rFonts w:hint="eastAsia" w:ascii="仿宋_GB2312" w:eastAsia="仿宋_GB2312"/>
          <w:sz w:val="32"/>
          <w:szCs w:val="32"/>
          <w:highlight w:val="none"/>
        </w:rPr>
        <w:t>公用经费1</w:t>
      </w:r>
      <w:r>
        <w:rPr>
          <w:rFonts w:ascii="仿宋_GB2312" w:eastAsia="仿宋_GB2312"/>
          <w:sz w:val="32"/>
          <w:szCs w:val="32"/>
          <w:highlight w:val="none"/>
        </w:rPr>
        <w:t>21.04</w:t>
      </w:r>
      <w:r>
        <w:rPr>
          <w:rFonts w:hint="eastAsia" w:ascii="仿宋_GB2312" w:eastAsia="仿宋_GB2312"/>
          <w:sz w:val="32"/>
          <w:szCs w:val="32"/>
          <w:highlight w:val="none"/>
        </w:rPr>
        <w:t>万元，包括：水费、电费、取暖费、物业管理费、工会经费、福利费、其他交通费用、其他商品和服务支出、信息网络及软件购置更新。</w:t>
      </w:r>
    </w:p>
    <w:p>
      <w:pPr>
        <w:ind w:firstLine="640" w:firstLineChars="200"/>
        <w:outlineLvl w:val="1"/>
        <w:rPr>
          <w:rFonts w:hint="eastAsia" w:ascii="黑体" w:hAnsi="黑体" w:eastAsia="黑体" w:cs="宋体"/>
          <w:bCs/>
          <w:kern w:val="0"/>
          <w:sz w:val="32"/>
          <w:szCs w:val="32"/>
          <w:highlight w:val="none"/>
        </w:rPr>
      </w:pPr>
      <w:bookmarkStart w:id="20" w:name="_Toc21518"/>
      <w:bookmarkStart w:id="21" w:name="_Toc7190"/>
      <w:r>
        <w:rPr>
          <w:rFonts w:hint="eastAsia" w:ascii="黑体" w:hAnsi="黑体" w:eastAsia="黑体" w:cs="宋体"/>
          <w:bCs/>
          <w:kern w:val="0"/>
          <w:sz w:val="32"/>
          <w:szCs w:val="32"/>
          <w:highlight w:val="none"/>
        </w:rPr>
        <w:t>七、财政拨款“三公”经费支出决算情况说明</w:t>
      </w:r>
      <w:bookmarkEnd w:id="20"/>
      <w:bookmarkEnd w:id="21"/>
    </w:p>
    <w:p>
      <w:pPr>
        <w:ind w:firstLine="640" w:firstLineChars="200"/>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w:t>
      </w:r>
      <w:r>
        <w:rPr>
          <w:rFonts w:hint="eastAsia" w:ascii="仿宋_GB2312" w:eastAsia="仿宋_GB2312"/>
          <w:sz w:val="32"/>
          <w:szCs w:val="32"/>
          <w:highlight w:val="none"/>
          <w:lang w:val="en-US" w:eastAsia="zh-CN"/>
        </w:rPr>
        <w:t>本年度无财政拨款</w:t>
      </w:r>
      <w:r>
        <w:rPr>
          <w:rFonts w:hint="eastAsia" w:ascii="仿宋_GB2312" w:eastAsia="仿宋_GB2312"/>
          <w:sz w:val="32"/>
          <w:szCs w:val="32"/>
          <w:highlight w:val="none"/>
        </w:rPr>
        <w:t>“三公”经费支出。其中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w:t>
      </w:r>
      <w:r>
        <w:rPr>
          <w:rFonts w:hint="eastAsia" w:ascii="仿宋_GB2312" w:eastAsia="仿宋_GB2312"/>
          <w:kern w:val="0"/>
          <w:sz w:val="32"/>
          <w:szCs w:val="24"/>
          <w:highlight w:val="none"/>
        </w:rPr>
        <w:t>无</w:t>
      </w:r>
      <w:r>
        <w:rPr>
          <w:rFonts w:hint="eastAsia" w:ascii="仿宋_GB2312" w:eastAsia="仿宋_GB2312"/>
          <w:sz w:val="32"/>
          <w:szCs w:val="32"/>
          <w:highlight w:val="none"/>
        </w:rPr>
        <w:t>因公出国（境）费支出；公务用车购置及运行维护费支出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w:t>
      </w:r>
      <w:r>
        <w:rPr>
          <w:rFonts w:hint="eastAsia" w:ascii="仿宋_GB2312" w:eastAsia="仿宋_GB2312"/>
          <w:kern w:val="0"/>
          <w:sz w:val="32"/>
          <w:szCs w:val="24"/>
          <w:highlight w:val="none"/>
        </w:rPr>
        <w:t>无</w:t>
      </w:r>
      <w:r>
        <w:rPr>
          <w:rFonts w:hint="eastAsia" w:ascii="仿宋_GB2312" w:eastAsia="仿宋_GB2312"/>
          <w:sz w:val="32"/>
          <w:szCs w:val="32"/>
          <w:highlight w:val="none"/>
        </w:rPr>
        <w:t>公务用车购置及运行维护费支出；公务接待费支出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w:t>
      </w:r>
      <w:r>
        <w:rPr>
          <w:rFonts w:hint="eastAsia" w:ascii="仿宋_GB2312" w:eastAsia="仿宋_GB2312"/>
          <w:kern w:val="0"/>
          <w:sz w:val="32"/>
          <w:szCs w:val="24"/>
          <w:highlight w:val="none"/>
        </w:rPr>
        <w:t>无</w:t>
      </w:r>
      <w:r>
        <w:rPr>
          <w:rFonts w:hint="eastAsia" w:ascii="仿宋_GB2312" w:eastAsia="仿宋_GB2312"/>
          <w:sz w:val="32"/>
          <w:szCs w:val="32"/>
          <w:highlight w:val="none"/>
        </w:rPr>
        <w:t>公务接待费支出。具体情况如下：</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我单位</w:t>
      </w:r>
      <w:r>
        <w:rPr>
          <w:rFonts w:hint="eastAsia" w:ascii="仿宋_GB2312" w:eastAsia="仿宋_GB2312"/>
          <w:kern w:val="0"/>
          <w:sz w:val="32"/>
          <w:szCs w:val="24"/>
          <w:highlight w:val="none"/>
        </w:rPr>
        <w:t>无</w:t>
      </w:r>
      <w:r>
        <w:rPr>
          <w:rFonts w:hint="eastAsia" w:ascii="仿宋_GB2312" w:eastAsia="仿宋_GB2312"/>
          <w:sz w:val="32"/>
          <w:szCs w:val="32"/>
          <w:highlight w:val="none"/>
        </w:rPr>
        <w:t>因公出国（境）费支出。单位全年安排的因公出国（境）团组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公务用车购置及运行维护费0万元，其中：公务用车购置费0万元，公务用车运行维护费0万元。公务用车运行维护费开支内容包括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我单位本年度无</w:t>
      </w:r>
      <w:r>
        <w:rPr>
          <w:rFonts w:hint="eastAsia" w:ascii="仿宋_GB2312" w:eastAsia="仿宋_GB2312"/>
          <w:sz w:val="32"/>
          <w:szCs w:val="32"/>
          <w:highlight w:val="none"/>
        </w:rPr>
        <w:t>公务用车运行维护费开支</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公务用车购置数0辆，公务用车保有量0辆。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val="en-US" w:eastAsia="zh-CN"/>
        </w:rPr>
        <w:t>:我单位本年度</w:t>
      </w:r>
      <w:r>
        <w:rPr>
          <w:rFonts w:hint="eastAsia" w:ascii="仿宋_GB2312" w:eastAsia="仿宋_GB2312"/>
          <w:kern w:val="0"/>
          <w:sz w:val="32"/>
          <w:szCs w:val="24"/>
          <w:highlight w:val="none"/>
        </w:rPr>
        <w:t>无</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FF0000"/>
          <w:sz w:val="32"/>
          <w:szCs w:val="32"/>
          <w:highlight w:val="yellow"/>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主要原因是：我单位本年度无</w:t>
      </w:r>
      <w:r>
        <w:rPr>
          <w:rFonts w:hint="eastAsia" w:ascii="仿宋_GB2312" w:eastAsia="仿宋_GB2312"/>
          <w:sz w:val="32"/>
          <w:szCs w:val="32"/>
          <w:highlight w:val="none"/>
        </w:rPr>
        <w:t>“三公”经费支出。</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主要原因是：我单位本年度无</w:t>
      </w:r>
      <w:r>
        <w:rPr>
          <w:rFonts w:hint="eastAsia" w:ascii="仿宋_GB2312" w:hAnsi="宋体" w:eastAsia="仿宋_GB2312" w:cs="宋体"/>
          <w:kern w:val="0"/>
          <w:sz w:val="32"/>
          <w:szCs w:val="32"/>
          <w:highlight w:val="none"/>
        </w:rPr>
        <w:t>因公出国（境）费</w:t>
      </w:r>
      <w:r>
        <w:rPr>
          <w:rFonts w:hint="eastAsia" w:ascii="仿宋_GB2312" w:hAnsi="宋体" w:eastAsia="仿宋_GB2312" w:cs="宋体"/>
          <w:kern w:val="0"/>
          <w:sz w:val="32"/>
          <w:szCs w:val="32"/>
          <w:highlight w:val="none"/>
          <w:lang w:val="en-US" w:eastAsia="zh-CN"/>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主要原因是：我单位本年度无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主要原因是：我单位本年度无</w:t>
      </w:r>
      <w:r>
        <w:rPr>
          <w:rFonts w:hint="eastAsia" w:ascii="仿宋_GB2312" w:hAnsi="宋体" w:eastAsia="仿宋_GB2312" w:cs="宋体"/>
          <w:kern w:val="0"/>
          <w:sz w:val="32"/>
          <w:szCs w:val="32"/>
          <w:highlight w:val="none"/>
        </w:rPr>
        <w:t>公务用车运行费</w:t>
      </w:r>
      <w:r>
        <w:rPr>
          <w:rFonts w:hint="eastAsia" w:ascii="仿宋_GB2312" w:eastAsia="仿宋_GB2312"/>
          <w:kern w:val="0"/>
          <w:sz w:val="32"/>
          <w:szCs w:val="24"/>
          <w:highlight w:val="none"/>
          <w:lang w:eastAsia="zh-CN"/>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主要原因是：我单位本年度无</w:t>
      </w:r>
      <w:r>
        <w:rPr>
          <w:rFonts w:hint="eastAsia" w:ascii="仿宋_GB2312" w:hAnsi="宋体" w:eastAsia="仿宋_GB2312" w:cs="宋体"/>
          <w:kern w:val="0"/>
          <w:sz w:val="32"/>
          <w:szCs w:val="32"/>
          <w:highlight w:val="none"/>
        </w:rPr>
        <w:t>公务接待费</w:t>
      </w:r>
      <w:r>
        <w:rPr>
          <w:rFonts w:hint="eastAsia" w:ascii="仿宋_GB2312" w:eastAsia="仿宋_GB2312"/>
          <w:kern w:val="0"/>
          <w:sz w:val="32"/>
          <w:szCs w:val="24"/>
          <w:highlight w:val="none"/>
          <w:lang w:eastAsia="zh-CN"/>
        </w:rPr>
        <w:t>支出</w:t>
      </w:r>
      <w:r>
        <w:rPr>
          <w:rFonts w:hint="eastAsia" w:ascii="仿宋_GB2312" w:eastAsia="仿宋_GB2312"/>
          <w:sz w:val="32"/>
          <w:szCs w:val="32"/>
          <w:highlight w:val="none"/>
        </w:rPr>
        <w:t>。</w:t>
      </w:r>
    </w:p>
    <w:p>
      <w:pPr>
        <w:ind w:firstLine="640" w:firstLineChars="200"/>
        <w:outlineLvl w:val="1"/>
        <w:rPr>
          <w:rFonts w:hint="eastAsia" w:ascii="黑体" w:hAnsi="黑体" w:eastAsia="黑体" w:cs="宋体"/>
          <w:bCs/>
          <w:kern w:val="0"/>
          <w:sz w:val="32"/>
          <w:szCs w:val="32"/>
          <w:highlight w:val="none"/>
        </w:rPr>
      </w:pPr>
      <w:bookmarkStart w:id="22" w:name="_Toc5810"/>
      <w:bookmarkStart w:id="23" w:name="_Toc7927"/>
      <w:r>
        <w:rPr>
          <w:rFonts w:hint="eastAsia" w:ascii="黑体" w:hAnsi="黑体" w:eastAsia="黑体" w:cs="宋体"/>
          <w:bCs/>
          <w:kern w:val="0"/>
          <w:sz w:val="32"/>
          <w:szCs w:val="32"/>
          <w:highlight w:val="none"/>
        </w:rPr>
        <w:t>八、政府性基金预算财政拨款收入支出决算情况说明</w:t>
      </w:r>
      <w:bookmarkEnd w:id="22"/>
      <w:bookmarkEnd w:id="2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我单位本年度无政府性基金预算财政拨款收入、支出及结转和结余，政府性基金预算财政拨款收入支出决算表为空表。</w:t>
      </w: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我单位本年度无国有资本经营预算财政拨款收入、支出及结转和结余，国有资本经营预算财政拨款收入支出决算表为空表。</w:t>
      </w:r>
    </w:p>
    <w:p>
      <w:pPr>
        <w:ind w:firstLine="640" w:firstLineChars="200"/>
        <w:outlineLvl w:val="1"/>
        <w:rPr>
          <w:rFonts w:hint="eastAsia" w:ascii="黑体" w:hAnsi="黑体" w:eastAsia="黑体" w:cs="宋体"/>
          <w:bCs/>
          <w:kern w:val="0"/>
          <w:sz w:val="32"/>
          <w:szCs w:val="32"/>
          <w:highlight w:val="none"/>
        </w:rPr>
      </w:pPr>
      <w:bookmarkStart w:id="24" w:name="_Toc1235"/>
      <w:bookmarkStart w:id="25" w:name="_Toc7314"/>
      <w:r>
        <w:rPr>
          <w:rFonts w:hint="eastAsia" w:ascii="黑体" w:hAnsi="黑体" w:eastAsia="黑体" w:cs="宋体"/>
          <w:bCs/>
          <w:kern w:val="0"/>
          <w:sz w:val="32"/>
          <w:szCs w:val="32"/>
          <w:highlight w:val="none"/>
        </w:rPr>
        <w:t>十、其他重要事项的情况说明</w:t>
      </w:r>
      <w:bookmarkEnd w:id="24"/>
      <w:bookmarkEnd w:id="25"/>
    </w:p>
    <w:p>
      <w:pPr>
        <w:ind w:firstLine="640" w:firstLineChars="200"/>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rPr>
        <w:t>（一）机关运行经费支出情况</w:t>
      </w:r>
      <w:bookmarkEnd w:id="26"/>
      <w:bookmarkEnd w:id="27"/>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乌鲁木齐市第八十七中学（事业单位）公用经费1</w:t>
      </w:r>
      <w:r>
        <w:rPr>
          <w:rFonts w:ascii="仿宋_GB2312" w:eastAsia="仿宋_GB2312"/>
          <w:sz w:val="32"/>
          <w:szCs w:val="32"/>
          <w:highlight w:val="none"/>
        </w:rPr>
        <w:t>21.04</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93.94</w:t>
      </w:r>
      <w:r>
        <w:rPr>
          <w:rFonts w:hint="eastAsia" w:ascii="仿宋_GB2312" w:eastAsia="仿宋_GB2312"/>
          <w:sz w:val="32"/>
          <w:szCs w:val="32"/>
          <w:highlight w:val="none"/>
        </w:rPr>
        <w:t>万元，下降4</w:t>
      </w:r>
      <w:r>
        <w:rPr>
          <w:rFonts w:ascii="仿宋_GB2312" w:eastAsia="仿宋_GB2312"/>
          <w:sz w:val="32"/>
          <w:szCs w:val="32"/>
          <w:highlight w:val="none"/>
        </w:rPr>
        <w:t>3.</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%，主要原因是：因防控影响，2</w:t>
      </w:r>
      <w:r>
        <w:rPr>
          <w:rFonts w:ascii="仿宋_GB2312" w:eastAsia="仿宋_GB2312"/>
          <w:sz w:val="32"/>
          <w:szCs w:val="32"/>
          <w:highlight w:val="none"/>
        </w:rPr>
        <w:t>022</w:t>
      </w:r>
      <w:r>
        <w:rPr>
          <w:rFonts w:hint="eastAsia" w:ascii="仿宋_GB2312" w:eastAsia="仿宋_GB2312"/>
          <w:sz w:val="32"/>
          <w:szCs w:val="32"/>
          <w:highlight w:val="none"/>
        </w:rPr>
        <w:t>年学校的维修维护等停滞，日常开支减少。</w:t>
      </w:r>
    </w:p>
    <w:p>
      <w:pPr>
        <w:ind w:firstLine="640" w:firstLineChars="200"/>
        <w:outlineLvl w:val="2"/>
        <w:rPr>
          <w:rFonts w:hint="eastAsia" w:ascii="黑体" w:hAnsi="黑体" w:eastAsia="黑体"/>
          <w:sz w:val="32"/>
          <w:szCs w:val="32"/>
          <w:highlight w:val="none"/>
        </w:rPr>
      </w:pPr>
      <w:bookmarkStart w:id="28" w:name="_Toc26704"/>
      <w:bookmarkStart w:id="29" w:name="_Toc227"/>
      <w:r>
        <w:rPr>
          <w:rFonts w:hint="eastAsia" w:ascii="黑体" w:hAnsi="黑体" w:eastAsia="黑体"/>
          <w:sz w:val="32"/>
          <w:szCs w:val="32"/>
          <w:highlight w:val="none"/>
        </w:rPr>
        <w:t>（二）政府采购情况</w:t>
      </w:r>
      <w:bookmarkEnd w:id="28"/>
      <w:bookmarkEnd w:id="2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022</w:t>
      </w:r>
      <w:r>
        <w:rPr>
          <w:rFonts w:hint="eastAsia" w:ascii="仿宋_GB2312" w:eastAsia="仿宋_GB2312"/>
          <w:sz w:val="32"/>
          <w:szCs w:val="32"/>
          <w:highlight w:val="none"/>
        </w:rPr>
        <w:t>年度政府采购支出总额0万元，其中：政府采购货物支出0万元、政府采购工程支出0万元、政府采购服务支出0万元。</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授予中小企业合同金额0万元，占政府采购支出总额的0%，其中：授予小微企业合同金额0万元，占政府采购支出总额的0%。</w:t>
      </w:r>
    </w:p>
    <w:p>
      <w:pPr>
        <w:ind w:firstLine="640" w:firstLineChars="200"/>
        <w:outlineLvl w:val="2"/>
        <w:rPr>
          <w:rFonts w:hint="eastAsia" w:ascii="黑体" w:hAnsi="黑体" w:eastAsia="黑体"/>
          <w:sz w:val="32"/>
          <w:szCs w:val="32"/>
          <w:highlight w:val="none"/>
        </w:rPr>
      </w:pPr>
      <w:bookmarkStart w:id="30" w:name="_Toc8391"/>
      <w:bookmarkStart w:id="31" w:name="_Toc4591"/>
      <w:r>
        <w:rPr>
          <w:rFonts w:hint="eastAsia" w:ascii="黑体" w:hAnsi="黑体" w:eastAsia="黑体"/>
          <w:sz w:val="32"/>
          <w:szCs w:val="32"/>
          <w:highlight w:val="none"/>
        </w:rPr>
        <w:t>（三）国有资产占用情况说明</w:t>
      </w:r>
      <w:bookmarkEnd w:id="30"/>
      <w:bookmarkEnd w:id="3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截止2</w:t>
      </w:r>
      <w:r>
        <w:rPr>
          <w:rFonts w:ascii="仿宋_GB2312" w:eastAsia="仿宋_GB2312"/>
          <w:sz w:val="32"/>
          <w:szCs w:val="32"/>
          <w:highlight w:val="none"/>
        </w:rPr>
        <w:t>022</w:t>
      </w:r>
      <w:r>
        <w:rPr>
          <w:rFonts w:hint="eastAsia" w:ascii="仿宋_GB2312" w:eastAsia="仿宋_GB2312"/>
          <w:sz w:val="32"/>
          <w:szCs w:val="32"/>
          <w:highlight w:val="none"/>
        </w:rPr>
        <w:t>年12月31日，固定资产原值2</w:t>
      </w:r>
      <w:r>
        <w:rPr>
          <w:rFonts w:ascii="仿宋_GB2312" w:eastAsia="仿宋_GB2312"/>
          <w:sz w:val="32"/>
          <w:szCs w:val="32"/>
          <w:highlight w:val="none"/>
        </w:rPr>
        <w:t>524.92</w:t>
      </w:r>
      <w:r>
        <w:rPr>
          <w:rFonts w:hint="eastAsia" w:ascii="仿宋_GB2312" w:eastAsia="仿宋_GB2312"/>
          <w:sz w:val="32"/>
          <w:szCs w:val="32"/>
          <w:highlight w:val="none"/>
        </w:rPr>
        <w:t>万元，房屋9</w:t>
      </w:r>
      <w:r>
        <w:rPr>
          <w:rFonts w:ascii="仿宋_GB2312" w:eastAsia="仿宋_GB2312"/>
          <w:sz w:val="32"/>
          <w:szCs w:val="32"/>
          <w:highlight w:val="none"/>
        </w:rPr>
        <w:t>398.82</w:t>
      </w:r>
      <w:r>
        <w:rPr>
          <w:rFonts w:hint="eastAsia" w:ascii="仿宋_GB2312" w:eastAsia="仿宋_GB2312"/>
          <w:sz w:val="32"/>
          <w:szCs w:val="32"/>
          <w:highlight w:val="none"/>
        </w:rPr>
        <w:t>平方米，价值1</w:t>
      </w:r>
      <w:r>
        <w:rPr>
          <w:rFonts w:ascii="仿宋_GB2312" w:eastAsia="仿宋_GB2312"/>
          <w:sz w:val="32"/>
          <w:szCs w:val="32"/>
          <w:highlight w:val="none"/>
        </w:rPr>
        <w:t>563.94</w:t>
      </w:r>
      <w:r>
        <w:rPr>
          <w:rFonts w:hint="eastAsia" w:ascii="仿宋_GB2312" w:eastAsia="仿宋_GB2312"/>
          <w:sz w:val="32"/>
          <w:szCs w:val="32"/>
          <w:highlight w:val="none"/>
        </w:rPr>
        <w:t>万元。车辆1辆，价值1</w:t>
      </w:r>
      <w:r>
        <w:rPr>
          <w:rFonts w:ascii="仿宋_GB2312" w:eastAsia="仿宋_GB2312"/>
          <w:sz w:val="32"/>
          <w:szCs w:val="32"/>
          <w:highlight w:val="none"/>
        </w:rPr>
        <w:t>5.71</w:t>
      </w:r>
      <w:r>
        <w:rPr>
          <w:rFonts w:hint="eastAsia" w:ascii="仿宋_GB2312" w:eastAsia="仿宋_GB2312"/>
          <w:sz w:val="32"/>
          <w:szCs w:val="32"/>
          <w:highlight w:val="none"/>
        </w:rPr>
        <w:t>万元，其中：副部（省）级及以上领导用车0辆、主要领导干部用车0辆、机要通信用车0辆、应急保障用车0辆、执法执勤用车0辆、特种专业技术用车0辆、离退休干部用车0辆、其他用车1辆，其他用车主要是：大中型载客汽车（校车）；单价100万元（含）以上设备（不含车辆）0台（套）。</w:t>
      </w:r>
    </w:p>
    <w:p>
      <w:pPr>
        <w:ind w:firstLine="640" w:firstLineChars="200"/>
        <w:outlineLvl w:val="1"/>
        <w:rPr>
          <w:rFonts w:hint="eastAsia" w:ascii="黑体" w:hAnsi="黑体" w:eastAsia="黑体" w:cs="宋体"/>
          <w:bCs/>
          <w:kern w:val="0"/>
          <w:sz w:val="32"/>
          <w:szCs w:val="32"/>
          <w:highlight w:val="none"/>
        </w:rPr>
      </w:pPr>
      <w:bookmarkStart w:id="32" w:name="_Toc11283"/>
      <w:bookmarkStart w:id="33" w:name="_Toc435"/>
      <w:r>
        <w:rPr>
          <w:rFonts w:hint="eastAsia" w:ascii="黑体" w:hAnsi="黑体" w:eastAsia="黑体" w:cs="宋体"/>
          <w:bCs/>
          <w:kern w:val="0"/>
          <w:sz w:val="32"/>
          <w:szCs w:val="32"/>
          <w:highlight w:val="none"/>
        </w:rPr>
        <w:t>十一、预算绩效的情况说明</w:t>
      </w:r>
      <w:bookmarkEnd w:id="32"/>
      <w:bookmarkEnd w:id="33"/>
    </w:p>
    <w:p>
      <w:pPr>
        <w:shd w:val="clear" w:color="auto" w:fill="FFFFFF"/>
        <w:spacing w:line="360" w:lineRule="auto"/>
        <w:ind w:firstLine="640"/>
        <w:rPr>
          <w:rFonts w:ascii="仿宋_GB2312" w:eastAsia="仿宋_GB2312"/>
          <w:sz w:val="32"/>
          <w:szCs w:val="32"/>
          <w:highlight w:val="none"/>
        </w:rPr>
      </w:pPr>
      <w:r>
        <w:rPr>
          <w:rFonts w:hint="eastAsia" w:ascii="仿宋_GB2312" w:eastAsia="仿宋_GB2312"/>
          <w:sz w:val="32"/>
          <w:szCs w:val="32"/>
          <w:highlight w:val="none"/>
        </w:rPr>
        <w:t>根据预算绩效管理要求，我单位2</w:t>
      </w:r>
      <w:r>
        <w:rPr>
          <w:rFonts w:ascii="仿宋_GB2312" w:eastAsia="仿宋_GB2312"/>
          <w:sz w:val="32"/>
          <w:szCs w:val="32"/>
          <w:highlight w:val="none"/>
        </w:rPr>
        <w:t>022</w:t>
      </w:r>
      <w:r>
        <w:rPr>
          <w:rFonts w:hint="eastAsia" w:ascii="仿宋_GB2312" w:eastAsia="仿宋_GB2312"/>
          <w:sz w:val="32"/>
          <w:szCs w:val="32"/>
          <w:highlight w:val="none"/>
        </w:rPr>
        <w:t>年度开展预算绩效评价项目6个，全年预算数1</w:t>
      </w:r>
      <w:r>
        <w:rPr>
          <w:rFonts w:ascii="仿宋_GB2312" w:eastAsia="仿宋_GB2312"/>
          <w:sz w:val="32"/>
          <w:szCs w:val="32"/>
          <w:highlight w:val="none"/>
        </w:rPr>
        <w:t>71.73</w:t>
      </w:r>
      <w:r>
        <w:rPr>
          <w:rFonts w:hint="eastAsia" w:ascii="仿宋_GB2312" w:eastAsia="仿宋_GB2312"/>
          <w:sz w:val="32"/>
          <w:szCs w:val="32"/>
          <w:highlight w:val="none"/>
        </w:rPr>
        <w:t>万元，全年执行数1</w:t>
      </w:r>
      <w:r>
        <w:rPr>
          <w:rFonts w:ascii="仿宋_GB2312" w:eastAsia="仿宋_GB2312"/>
          <w:sz w:val="32"/>
          <w:szCs w:val="32"/>
          <w:highlight w:val="none"/>
        </w:rPr>
        <w:t>71.53</w:t>
      </w:r>
      <w:r>
        <w:rPr>
          <w:rFonts w:hint="eastAsia" w:ascii="仿宋_GB2312" w:eastAsia="仿宋_GB2312"/>
          <w:sz w:val="32"/>
          <w:szCs w:val="32"/>
          <w:highlight w:val="none"/>
        </w:rPr>
        <w:t>万元。</w:t>
      </w:r>
    </w:p>
    <w:p>
      <w:pPr>
        <w:shd w:val="clear" w:color="auto" w:fill="FFFFFF"/>
        <w:spacing w:line="360" w:lineRule="auto"/>
        <w:ind w:firstLine="640"/>
        <w:rPr>
          <w:rFonts w:ascii="仿宋_GB2312" w:hAnsi="仿宋_GB2312" w:eastAsia="仿宋_GB2312"/>
          <w:kern w:val="0"/>
          <w:sz w:val="32"/>
          <w:highlight w:val="none"/>
        </w:rPr>
      </w:pPr>
      <w:r>
        <w:rPr>
          <w:rFonts w:hint="eastAsia" w:ascii="仿宋_GB2312" w:eastAsia="仿宋_GB2312"/>
          <w:sz w:val="32"/>
          <w:szCs w:val="32"/>
          <w:highlight w:val="none"/>
        </w:rPr>
        <w:t>预算绩效管理取得的成效：</w:t>
      </w:r>
      <w:r>
        <w:rPr>
          <w:rFonts w:hint="eastAsia" w:ascii="仿宋_GB2312" w:hAnsi="仿宋_GB2312" w:eastAsia="仿宋_GB2312"/>
          <w:kern w:val="0"/>
          <w:sz w:val="32"/>
          <w:highlight w:val="none"/>
        </w:rPr>
        <w:t>一是</w:t>
      </w:r>
      <w:r>
        <w:rPr>
          <w:rFonts w:hint="eastAsia" w:ascii="仿宋_GB2312" w:eastAsia="仿宋_GB2312" w:cs="仿宋_GB2312"/>
          <w:kern w:val="0"/>
          <w:sz w:val="32"/>
          <w:szCs w:val="32"/>
          <w:highlight w:val="none"/>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w:t>
      </w:r>
      <w:r>
        <w:rPr>
          <w:rFonts w:hint="eastAsia" w:ascii="仿宋_GB2312" w:hAnsi="仿宋_GB2312" w:eastAsia="仿宋_GB2312"/>
          <w:kern w:val="0"/>
          <w:sz w:val="32"/>
          <w:highlight w:val="none"/>
        </w:rPr>
        <w:t>；二是</w:t>
      </w:r>
      <w:r>
        <w:rPr>
          <w:rFonts w:hint="eastAsia" w:ascii="仿宋_GB2312" w:eastAsia="仿宋_GB2312" w:cs="仿宋_GB2312"/>
          <w:kern w:val="0"/>
          <w:sz w:val="32"/>
          <w:szCs w:val="32"/>
          <w:highlight w:val="none"/>
        </w:rPr>
        <w:t>专项资金报账拨付要附真实、有效、合法的凭证。加强审计监督，对专项资金要定期或不定期进行督查，确保项目资金转款专用，要全程参与项目验收和采购项目接交</w:t>
      </w:r>
      <w:r>
        <w:rPr>
          <w:rFonts w:hint="eastAsia" w:ascii="仿宋_GB2312" w:hAnsi="仿宋_GB2312" w:eastAsia="仿宋_GB2312"/>
          <w:kern w:val="0"/>
          <w:sz w:val="32"/>
          <w:highlight w:val="none"/>
        </w:rPr>
        <w:t>。</w:t>
      </w:r>
    </w:p>
    <w:p>
      <w:pPr>
        <w:shd w:val="clear" w:color="auto" w:fill="FFFFFF"/>
        <w:spacing w:line="360" w:lineRule="auto"/>
        <w:ind w:firstLine="640"/>
        <w:rPr>
          <w:rFonts w:ascii="仿宋_GB2312" w:eastAsia="仿宋_GB2312" w:cs="仿宋_GB2312"/>
          <w:kern w:val="0"/>
          <w:sz w:val="32"/>
          <w:szCs w:val="32"/>
          <w:highlight w:val="none"/>
        </w:rPr>
      </w:pPr>
      <w:r>
        <w:rPr>
          <w:rFonts w:hint="eastAsia" w:ascii="仿宋_GB2312" w:hAnsi="仿宋_GB2312" w:eastAsia="仿宋_GB2312"/>
          <w:kern w:val="0"/>
          <w:sz w:val="32"/>
          <w:highlight w:val="none"/>
        </w:rPr>
        <w:t>发现的问题及原因：一是</w:t>
      </w:r>
      <w:r>
        <w:rPr>
          <w:rFonts w:hint="eastAsia" w:ascii="仿宋_GB2312" w:eastAsia="仿宋_GB2312" w:cs="仿宋_GB2312"/>
          <w:kern w:val="0"/>
          <w:sz w:val="32"/>
          <w:szCs w:val="32"/>
          <w:highlight w:val="none"/>
        </w:rPr>
        <w:t>项目预算不够细化，没有合理化、科学化、规范化的预算编制</w:t>
      </w:r>
      <w:r>
        <w:rPr>
          <w:rFonts w:hint="eastAsia" w:ascii="仿宋_GB2312" w:hAnsi="仿宋_GB2312" w:eastAsia="仿宋_GB2312"/>
          <w:kern w:val="0"/>
          <w:sz w:val="32"/>
          <w:highlight w:val="none"/>
        </w:rPr>
        <w:t>；二是</w:t>
      </w:r>
      <w:r>
        <w:rPr>
          <w:rFonts w:hint="eastAsia" w:ascii="仿宋_GB2312" w:eastAsia="仿宋_GB2312" w:cs="仿宋_GB2312"/>
          <w:kern w:val="0"/>
          <w:sz w:val="32"/>
          <w:szCs w:val="32"/>
          <w:highlight w:val="none"/>
        </w:rPr>
        <w:t>没有建立专项资金管理小组，最大限度的提升对专项资金的使用与管理。</w:t>
      </w:r>
    </w:p>
    <w:p>
      <w:pPr>
        <w:shd w:val="clear" w:color="auto" w:fill="FFFFFF"/>
        <w:spacing w:line="360" w:lineRule="auto"/>
        <w:ind w:firstLine="640"/>
        <w:rPr>
          <w:rFonts w:ascii="仿宋_GB2312" w:hAnsi="仿宋_GB2312" w:eastAsia="仿宋_GB2312"/>
          <w:kern w:val="0"/>
          <w:sz w:val="32"/>
          <w:highlight w:val="none"/>
        </w:rPr>
      </w:pPr>
      <w:r>
        <w:rPr>
          <w:rFonts w:hint="eastAsia" w:ascii="仿宋_GB2312" w:hAnsi="仿宋_GB2312" w:eastAsia="仿宋_GB2312"/>
          <w:kern w:val="0"/>
          <w:sz w:val="32"/>
          <w:highlight w:val="none"/>
        </w:rPr>
        <w:t>下一步改进措施：一是</w:t>
      </w:r>
      <w:r>
        <w:rPr>
          <w:rFonts w:hint="eastAsia" w:ascii="仿宋_GB2312" w:eastAsia="仿宋_GB2312" w:cs="仿宋_GB2312"/>
          <w:kern w:val="0"/>
          <w:sz w:val="32"/>
          <w:szCs w:val="32"/>
          <w:highlight w:val="none"/>
        </w:rPr>
        <w:t>预算编制时考虑单位各个项目的收支情况，协调好各个部门，各个岗位之间的责任，这样才能保障预算方案可以有效执行</w:t>
      </w:r>
      <w:r>
        <w:rPr>
          <w:rFonts w:hint="eastAsia" w:ascii="仿宋_GB2312" w:hAnsi="仿宋_GB2312" w:eastAsia="仿宋_GB2312"/>
          <w:kern w:val="0"/>
          <w:sz w:val="32"/>
          <w:highlight w:val="none"/>
        </w:rPr>
        <w:t>；二是</w:t>
      </w:r>
      <w:r>
        <w:rPr>
          <w:rFonts w:hint="eastAsia" w:ascii="仿宋_GB2312" w:eastAsia="仿宋_GB2312" w:cs="仿宋_GB2312"/>
          <w:kern w:val="0"/>
          <w:sz w:val="32"/>
          <w:szCs w:val="32"/>
          <w:highlight w:val="none"/>
        </w:rPr>
        <w:t>加强预算管理，完善专项资金管理办法，提高领导干部的依法行政意识，完善跟踪检查制度，及时督促落实。加强日常办公经费，常态化活动经费 的管理制度建设</w:t>
      </w:r>
      <w:r>
        <w:rPr>
          <w:rFonts w:hint="eastAsia" w:ascii="仿宋_GB2312" w:hAnsi="仿宋_GB2312" w:eastAsia="仿宋_GB2312"/>
          <w:kern w:val="0"/>
          <w:sz w:val="32"/>
          <w:highlight w:val="none"/>
        </w:rPr>
        <w:t>。</w:t>
      </w:r>
    </w:p>
    <w:p>
      <w:pPr>
        <w:shd w:val="clear" w:color="auto" w:fill="FFFFFF"/>
        <w:spacing w:line="360" w:lineRule="auto"/>
        <w:ind w:firstLine="640"/>
        <w:rPr>
          <w:rFonts w:ascii="仿宋_GB2312" w:hAnsi="仿宋_GB2312" w:eastAsia="仿宋_GB2312"/>
          <w:kern w:val="0"/>
          <w:sz w:val="32"/>
          <w:highlight w:val="none"/>
        </w:rPr>
      </w:pPr>
      <w:r>
        <w:rPr>
          <w:rFonts w:hint="eastAsia" w:ascii="仿宋_GB2312" w:eastAsia="仿宋_GB2312"/>
          <w:sz w:val="32"/>
          <w:szCs w:val="32"/>
          <w:highlight w:val="none"/>
        </w:rPr>
        <w:t>具体项目自评情况附项目支出绩效自评表。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475"/>
        <w:gridCol w:w="488"/>
        <w:gridCol w:w="1176"/>
        <w:gridCol w:w="1080"/>
        <w:gridCol w:w="600"/>
        <w:gridCol w:w="1056"/>
        <w:gridCol w:w="456"/>
        <w:gridCol w:w="359"/>
        <w:gridCol w:w="231"/>
        <w:gridCol w:w="389"/>
        <w:gridCol w:w="390"/>
        <w:gridCol w:w="427"/>
        <w:gridCol w:w="697"/>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408" w:hRule="atLeast"/>
        </w:trPr>
        <w:tc>
          <w:tcPr>
            <w:tcW w:w="487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288" w:hRule="atLeast"/>
        </w:trPr>
        <w:tc>
          <w:tcPr>
            <w:tcW w:w="487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312"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城乡义务教育保障金区县配套（困难生补助）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2583"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251"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97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97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36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97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6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97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0.10</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36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97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6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7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0.1</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6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97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6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7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6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557"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97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6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7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6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27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2861"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730"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61"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家庭困难学生求学之路比平常人艰难，为保障这些学生的权利。此次经费主要用于家庭学生的补助发放，以保障家庭困难学生的受教育权利，促进家庭困难学生学习的积极性，提高家庭困难学生的归属感和满意度，最终希望能提高整个学校的教学质量水平</w:t>
            </w:r>
          </w:p>
        </w:tc>
        <w:tc>
          <w:tcPr>
            <w:tcW w:w="1730"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此项目2022年5月才加入项目库，款项尚未拨付。该项目主要是用来发放困难生补助的，希望通过补助帮助家庭贫困学生减轻生活压力促进学生的受教育程度。因防控影响，秋季学生一直在家上网课，2022年下半年困难生补助未进行，上半年的困难生补助由其他项目款项支付，因此该项目实际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27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7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8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9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34"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6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1"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6"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0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trHeight w:val="396" w:hRule="atLeast"/>
        </w:trPr>
        <w:tc>
          <w:tcPr>
            <w:tcW w:w="27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7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87"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1676"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620"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26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46"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58"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658"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vMerge w:val="continue"/>
            <w:noWrap w:val="0"/>
            <w:vAlign w:val="center"/>
          </w:tcPr>
          <w:p>
            <w:pPr>
              <w:widowControl/>
              <w:jc w:val="left"/>
              <w:rPr>
                <w:rFonts w:ascii="宋体" w:hAnsi="宋体" w:cs="宋体"/>
                <w:color w:val="000000"/>
                <w:kern w:val="0"/>
                <w:sz w:val="24"/>
                <w:highlight w:val="none"/>
                <w:lang w:bidi="ug-CN"/>
              </w:rPr>
            </w:pPr>
          </w:p>
        </w:tc>
        <w:tc>
          <w:tcPr>
            <w:tcW w:w="1676"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620" w:type="pct"/>
            <w:vMerge w:val="continue"/>
            <w:noWrap w:val="0"/>
            <w:vAlign w:val="center"/>
          </w:tcPr>
          <w:p>
            <w:pPr>
              <w:widowControl/>
              <w:jc w:val="left"/>
              <w:rPr>
                <w:rFonts w:ascii="宋体" w:hAnsi="宋体" w:cs="宋体"/>
                <w:color w:val="000000"/>
                <w:kern w:val="0"/>
                <w:sz w:val="24"/>
                <w:highlight w:val="none"/>
                <w:lang w:bidi="ug-CN"/>
              </w:rPr>
            </w:pPr>
          </w:p>
        </w:tc>
        <w:tc>
          <w:tcPr>
            <w:tcW w:w="268" w:type="pct"/>
            <w:vMerge w:val="continue"/>
            <w:noWrap w:val="0"/>
            <w:vAlign w:val="center"/>
          </w:tcPr>
          <w:p>
            <w:pPr>
              <w:widowControl/>
              <w:jc w:val="left"/>
              <w:rPr>
                <w:rFonts w:ascii="宋体" w:hAnsi="宋体" w:cs="宋体"/>
                <w:color w:val="000000"/>
                <w:kern w:val="0"/>
                <w:sz w:val="24"/>
                <w:highlight w:val="none"/>
                <w:lang w:bidi="ug-CN"/>
              </w:rPr>
            </w:pPr>
          </w:p>
        </w:tc>
        <w:tc>
          <w:tcPr>
            <w:tcW w:w="34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458"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658"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30" w:type="pct"/>
            <w:noWrap/>
            <w:vAlign w:val="center"/>
          </w:tcPr>
          <w:p>
            <w:pPr>
              <w:widowControl/>
              <w:jc w:val="center"/>
              <w:rPr>
                <w:rFonts w:hint="eastAsia"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7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补助发放人数</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&lt;=248人</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0人</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补助发放次数</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=1次</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0次</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资金发放准确率</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&gt;=90%</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补助发放及时率（%）</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&gt;=90%</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平均每人每次补助金额数</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=312.50元</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0元</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防控原因，财政款项未拨付，项目也未开展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提高补助学生学习积极性</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有效提高</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未达到预期目标</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vMerge w:val="continue"/>
            <w:noWrap w:val="0"/>
            <w:vAlign w:val="center"/>
          </w:tcPr>
          <w:p>
            <w:pPr>
              <w:widowControl/>
              <w:jc w:val="left"/>
              <w:rPr>
                <w:rFonts w:ascii="宋体" w:hAnsi="宋体" w:cs="宋体"/>
                <w:color w:val="000000"/>
                <w:kern w:val="0"/>
                <w:sz w:val="24"/>
                <w:highlight w:val="none"/>
                <w:lang w:bidi="ug-CN"/>
              </w:rPr>
            </w:pPr>
          </w:p>
        </w:tc>
        <w:tc>
          <w:tcPr>
            <w:tcW w:w="27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16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补助学生及家长满意度</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&gt;=90%</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58"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防控原因，款项未拨付，项目也未开展</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7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90"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34"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2"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6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6"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left"/>
              <w:rPr>
                <w:rFonts w:eastAsia="Times New Roman"/>
                <w:kern w:val="0"/>
                <w:sz w:val="20"/>
                <w:szCs w:val="20"/>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408"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4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4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0.00分</w:t>
            </w:r>
          </w:p>
        </w:tc>
        <w:tc>
          <w:tcPr>
            <w:tcW w:w="6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left"/>
              <w:rPr>
                <w:rFonts w:eastAsia="Times New Roman"/>
                <w:kern w:val="0"/>
                <w:sz w:val="20"/>
                <w:szCs w:val="20"/>
                <w:highlight w:val="none"/>
                <w:lang w:bidi="ug-CN"/>
              </w:rPr>
            </w:pPr>
          </w:p>
        </w:tc>
      </w:tr>
    </w:tbl>
    <w:p>
      <w:pPr>
        <w:shd w:val="clear" w:color="auto" w:fill="FFFFFF"/>
        <w:spacing w:line="360" w:lineRule="auto"/>
        <w:ind w:firstLine="640"/>
        <w:rPr>
          <w:rFonts w:ascii="仿宋_GB2312" w:hAnsi="仿宋_GB2312" w:eastAsia="仿宋_GB2312"/>
          <w:kern w:val="0"/>
          <w:sz w:val="32"/>
          <w:highlight w:val="none"/>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
        <w:gridCol w:w="357"/>
        <w:gridCol w:w="357"/>
        <w:gridCol w:w="1591"/>
        <w:gridCol w:w="1556"/>
        <w:gridCol w:w="913"/>
        <w:gridCol w:w="709"/>
        <w:gridCol w:w="498"/>
        <w:gridCol w:w="329"/>
        <w:gridCol w:w="220"/>
        <w:gridCol w:w="268"/>
        <w:gridCol w:w="421"/>
        <w:gridCol w:w="37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580"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乌财科教[2021]96号关于提前下达2022年城乡义务教育项目直达资金的通知（公用经费）（初中）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3019"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083"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11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2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93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2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6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92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93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39.75</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39.75</w:t>
            </w:r>
          </w:p>
        </w:tc>
        <w:tc>
          <w:tcPr>
            <w:tcW w:w="2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6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100.00%</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92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39.7516</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39.7516</w:t>
            </w:r>
          </w:p>
        </w:tc>
        <w:tc>
          <w:tcPr>
            <w:tcW w:w="2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92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2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0"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92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7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27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3229"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561"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3229"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保障学校日常的教育教学活动正常运行，提高教育教学条件，改善校园环境，改进教学设备；该经费主要用于办公、会议、印刷、教师培训、文体活动、水电、取暖、交通差旅、邮电、教育信息化网络费用、仪器设备及图书资料等购置、校园内道路、围墙、大门、运动场地、教室内教师讲台及仪器设备的日常维修维护，学校勤工俭学购买生产设备和工具、校园绿化美化、校园文化建设、学生健康体检、校方责任保险等。</w:t>
            </w:r>
          </w:p>
        </w:tc>
        <w:tc>
          <w:tcPr>
            <w:tcW w:w="1561"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该项目资金使用完全合规合法，资金有结余，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4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2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2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9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8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1"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4"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0"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10"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2391"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41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29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16"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00"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553"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391"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418" w:type="pct"/>
            <w:vMerge w:val="continue"/>
            <w:noWrap w:val="0"/>
            <w:vAlign w:val="center"/>
          </w:tcPr>
          <w:p>
            <w:pPr>
              <w:widowControl/>
              <w:jc w:val="left"/>
              <w:rPr>
                <w:rFonts w:ascii="宋体" w:hAnsi="宋体" w:cs="宋体"/>
                <w:color w:val="000000"/>
                <w:kern w:val="0"/>
                <w:sz w:val="24"/>
                <w:highlight w:val="none"/>
                <w:lang w:bidi="ug-CN"/>
              </w:rPr>
            </w:pPr>
          </w:p>
        </w:tc>
        <w:tc>
          <w:tcPr>
            <w:tcW w:w="293" w:type="pct"/>
            <w:vMerge w:val="continue"/>
            <w:noWrap w:val="0"/>
            <w:vAlign w:val="center"/>
          </w:tcPr>
          <w:p>
            <w:pPr>
              <w:widowControl/>
              <w:jc w:val="left"/>
              <w:rPr>
                <w:rFonts w:ascii="宋体" w:hAnsi="宋体" w:cs="宋体"/>
                <w:color w:val="000000"/>
                <w:kern w:val="0"/>
                <w:sz w:val="24"/>
                <w:highlight w:val="none"/>
                <w:lang w:bidi="ug-CN"/>
              </w:rPr>
            </w:pPr>
          </w:p>
        </w:tc>
        <w:tc>
          <w:tcPr>
            <w:tcW w:w="31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400"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553" w:type="pct"/>
            <w:gridSpan w:val="2"/>
            <w:vMerge w:val="continue"/>
            <w:noWrap w:val="0"/>
            <w:vAlign w:val="center"/>
          </w:tcPr>
          <w:p>
            <w:pPr>
              <w:widowControl/>
              <w:jc w:val="left"/>
              <w:rPr>
                <w:rFonts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10"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购买办公用品类别</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&gt;=10类</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34类</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校舍日常维修次数</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&gt;=6次</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0次</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学校既有中学又有小学，校舍维修由小学公用经费中支出，因此中学款实际未做维修支出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购买办公用品质量合格率</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学校校舍日常维修改造质量达标率</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每类办公用品采购成本</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&lt;=30000元</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900元</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每次零星维修成本</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&lt;=60000元</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0元</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学校既有中学又有小学，校舍维修由小学公用经费中支出，因此中学款实际未做维修支出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提高学校教学水平、改善办学条件</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有效提高</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保障学校正常运转，完成教育教学活动和其他日常工作任务</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持续保障</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vMerge w:val="continue"/>
            <w:noWrap w:val="0"/>
            <w:vAlign w:val="center"/>
          </w:tcPr>
          <w:p>
            <w:pPr>
              <w:widowControl/>
              <w:jc w:val="left"/>
              <w:rPr>
                <w:rFonts w:ascii="宋体" w:hAnsi="宋体" w:cs="宋体"/>
                <w:color w:val="000000"/>
                <w:kern w:val="0"/>
                <w:sz w:val="24"/>
                <w:highlight w:val="none"/>
                <w:lang w:bidi="ug-CN"/>
              </w:rPr>
            </w:pP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391"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师生满意度</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5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47"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25"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20"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9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732"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40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85.00分</w:t>
            </w:r>
          </w:p>
        </w:tc>
        <w:tc>
          <w:tcPr>
            <w:tcW w:w="55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bl>
    <w:p>
      <w:pPr>
        <w:shd w:val="clear" w:color="auto" w:fill="FFFFFF"/>
        <w:spacing w:line="360" w:lineRule="auto"/>
        <w:ind w:firstLine="640"/>
        <w:rPr>
          <w:rFonts w:ascii="仿宋_GB2312" w:hAnsi="仿宋_GB2312" w:eastAsia="仿宋_GB2312"/>
          <w:kern w:val="0"/>
          <w:sz w:val="32"/>
          <w:highlight w:val="none"/>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
        <w:gridCol w:w="354"/>
        <w:gridCol w:w="354"/>
        <w:gridCol w:w="1597"/>
        <w:gridCol w:w="1496"/>
        <w:gridCol w:w="902"/>
        <w:gridCol w:w="700"/>
        <w:gridCol w:w="631"/>
        <w:gridCol w:w="255"/>
        <w:gridCol w:w="260"/>
        <w:gridCol w:w="266"/>
        <w:gridCol w:w="417"/>
        <w:gridCol w:w="374"/>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500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585"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乌财科教[2021]96号关于提前下达2022年城乡义务教育项目直达资金的通知（公用经费）（小学）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2968"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097"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115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92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30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6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8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92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88.76</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88.76</w:t>
            </w:r>
          </w:p>
        </w:tc>
        <w:tc>
          <w:tcPr>
            <w:tcW w:w="30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6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100.00%</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8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2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88.76</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88.76</w:t>
            </w:r>
          </w:p>
        </w:tc>
        <w:tc>
          <w:tcPr>
            <w:tcW w:w="30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8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2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0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5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88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2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20"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0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3176"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616"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3176"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保障学校日常的教育教学活动正常运行，提高教育教学条件，改善校园环境，改进教学设备；该经费主要用于办公、会议、印刷、教师培训、文体活动、水电、取暖、交通差旅、邮电、教育信息化网络费用、仪器设备及图书资料等购置、校园内道路、围墙、大门、运动场地、教室内教师讲台及仪器设备的日常维修维护，学校勤工俭学购买生产设备和工具、校园绿化美化、校园文化建设、学生健康体检、校方责任保险等。</w:t>
            </w:r>
          </w:p>
        </w:tc>
        <w:tc>
          <w:tcPr>
            <w:tcW w:w="1616"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该项目服务人数达到学生2348人，资金使用完全合规合法。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5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8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1"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71"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54"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4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6"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2349"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411"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371"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03"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396"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547"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349"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411" w:type="pct"/>
            <w:vMerge w:val="continue"/>
            <w:noWrap w:val="0"/>
            <w:vAlign w:val="center"/>
          </w:tcPr>
          <w:p>
            <w:pPr>
              <w:widowControl/>
              <w:jc w:val="left"/>
              <w:rPr>
                <w:rFonts w:ascii="宋体" w:hAnsi="宋体" w:cs="宋体"/>
                <w:color w:val="000000"/>
                <w:kern w:val="0"/>
                <w:sz w:val="24"/>
                <w:highlight w:val="none"/>
                <w:lang w:bidi="ug-CN"/>
              </w:rPr>
            </w:pPr>
          </w:p>
        </w:tc>
        <w:tc>
          <w:tcPr>
            <w:tcW w:w="371" w:type="pct"/>
            <w:vMerge w:val="continue"/>
            <w:noWrap w:val="0"/>
            <w:vAlign w:val="center"/>
          </w:tcPr>
          <w:p>
            <w:pPr>
              <w:widowControl/>
              <w:jc w:val="left"/>
              <w:rPr>
                <w:rFonts w:ascii="宋体" w:hAnsi="宋体" w:cs="宋体"/>
                <w:color w:val="000000"/>
                <w:kern w:val="0"/>
                <w:sz w:val="24"/>
                <w:highlight w:val="none"/>
                <w:lang w:bidi="ug-CN"/>
              </w:rPr>
            </w:pPr>
          </w:p>
        </w:tc>
        <w:tc>
          <w:tcPr>
            <w:tcW w:w="303"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39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547" w:type="pct"/>
            <w:gridSpan w:val="2"/>
            <w:vMerge w:val="continue"/>
            <w:noWrap w:val="0"/>
            <w:vAlign w:val="center"/>
          </w:tcPr>
          <w:p>
            <w:pPr>
              <w:widowControl/>
              <w:jc w:val="left"/>
              <w:rPr>
                <w:rFonts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购买办公用品类别</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&gt;=10类</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13类</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校舍日常维修次数</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&gt;=6次</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7次</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支付水、电费用次数</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&lt;=12次</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9次</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购买办公用品质量合格率</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学校校舍日常维修改造质量达标率</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学校正常运转率</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每类办公用品采购成本</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&lt;=30000元</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20581元</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每次零星维修成本</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&lt;=60000元</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1433元</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学校其他日常公用支出</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&lt;=37000元</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122573元</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学校既有中学又有小学，有一部分中学日常公用支出由小学支付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水、电费用</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&lt;=30万元</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7.49万元</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提高学校教学水平、改善办学条件</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有效提高</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保障学校正常运转，完成教育教学活动和其他日常工作任务</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持续保障</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vMerge w:val="continue"/>
            <w:noWrap w:val="0"/>
            <w:vAlign w:val="center"/>
          </w:tcPr>
          <w:p>
            <w:pPr>
              <w:widowControl/>
              <w:jc w:val="left"/>
              <w:rPr>
                <w:rFonts w:ascii="宋体" w:hAnsi="宋体" w:cs="宋体"/>
                <w:color w:val="000000"/>
                <w:kern w:val="0"/>
                <w:sz w:val="24"/>
                <w:highlight w:val="none"/>
                <w:lang w:bidi="ug-CN"/>
              </w:rPr>
            </w:pP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349"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师生满意度</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95%</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47"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50"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87"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2"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7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5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4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6"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754"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0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9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95.00分</w:t>
            </w:r>
          </w:p>
        </w:tc>
        <w:tc>
          <w:tcPr>
            <w:tcW w:w="54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bl>
    <w:p>
      <w:pPr>
        <w:shd w:val="clear" w:color="auto" w:fill="FFFFFF"/>
        <w:spacing w:line="360" w:lineRule="auto"/>
        <w:ind w:firstLine="640"/>
        <w:rPr>
          <w:rFonts w:ascii="仿宋_GB2312" w:hAnsi="仿宋_GB2312" w:eastAsia="仿宋_GB2312"/>
          <w:kern w:val="0"/>
          <w:sz w:val="32"/>
          <w:highlight w:val="none"/>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gridCol w:w="373"/>
        <w:gridCol w:w="373"/>
        <w:gridCol w:w="1622"/>
        <w:gridCol w:w="1511"/>
        <w:gridCol w:w="850"/>
        <w:gridCol w:w="609"/>
        <w:gridCol w:w="531"/>
        <w:gridCol w:w="250"/>
        <w:gridCol w:w="276"/>
        <w:gridCol w:w="303"/>
        <w:gridCol w:w="466"/>
        <w:gridCol w:w="375"/>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561"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乌财科教[2021]109号关于提前下达2022年“三区”人才计划教师专项工作补助经费预算的通知（转移支付）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2919"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186"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118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9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84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33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9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8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89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84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2.00</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2.00</w:t>
            </w:r>
          </w:p>
        </w:tc>
        <w:tc>
          <w:tcPr>
            <w:tcW w:w="33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9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100.00%</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8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89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84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2</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2</w:t>
            </w:r>
          </w:p>
        </w:tc>
        <w:tc>
          <w:tcPr>
            <w:tcW w:w="33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9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8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89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84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3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9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9"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8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89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84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5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3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9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3138"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642"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3138"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我校选派1人支教教师支教一学年，一次性方法“三区”人才计划教师专项工作补助经费2万元；该经费专项用于向支教教师发放工作补助、交通差旅费用及购买意外保险费等补助；全面帮助受援学校提升教育教学质量，改善受援学校办学管理水平，进一步提升乡村教师队伍素质，切实推进新疆基础教育事业发展</w:t>
            </w:r>
          </w:p>
        </w:tc>
        <w:tc>
          <w:tcPr>
            <w:tcW w:w="1642"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一共发放南疆支边教师人数1人，主要涵盖12个月的工资专业技术级差额、生活补助及来回交通费，该经费测算完后于2022年12月发放至支教教师本人工资卡。资金发放符合各类制度要求，资金发放及时，符合补助政策教师全覆盖，教师们都很满意度。推动了受援学校教育教学质量，专款专用，严格按照资金使用具体实施条例严格支付流程，对自聘教师发放补助，做到资金金额发放准确，资金发放基本及时，资金使用效率高效，有效促进了临聘教师工作积极性，保障了学校的正常教育教学工作顺利进行，为社会闲散人员提供了就业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6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9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8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4"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81"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6"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2342"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3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312"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09"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48"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574"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342"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358" w:type="pct"/>
            <w:vMerge w:val="continue"/>
            <w:noWrap w:val="0"/>
            <w:vAlign w:val="center"/>
          </w:tcPr>
          <w:p>
            <w:pPr>
              <w:widowControl/>
              <w:jc w:val="left"/>
              <w:rPr>
                <w:rFonts w:ascii="宋体" w:hAnsi="宋体" w:cs="宋体"/>
                <w:color w:val="000000"/>
                <w:kern w:val="0"/>
                <w:sz w:val="24"/>
                <w:highlight w:val="none"/>
                <w:lang w:bidi="ug-CN"/>
              </w:rPr>
            </w:pPr>
          </w:p>
        </w:tc>
        <w:tc>
          <w:tcPr>
            <w:tcW w:w="312" w:type="pct"/>
            <w:vMerge w:val="continue"/>
            <w:noWrap w:val="0"/>
            <w:vAlign w:val="center"/>
          </w:tcPr>
          <w:p>
            <w:pPr>
              <w:widowControl/>
              <w:jc w:val="left"/>
              <w:rPr>
                <w:rFonts w:ascii="宋体" w:hAnsi="宋体" w:cs="宋体"/>
                <w:color w:val="000000"/>
                <w:kern w:val="0"/>
                <w:sz w:val="24"/>
                <w:highlight w:val="none"/>
                <w:lang w:bidi="ug-CN"/>
              </w:rPr>
            </w:pPr>
          </w:p>
        </w:tc>
        <w:tc>
          <w:tcPr>
            <w:tcW w:w="309"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448"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574" w:type="pct"/>
            <w:gridSpan w:val="2"/>
            <w:vMerge w:val="continue"/>
            <w:noWrap w:val="0"/>
            <w:vAlign w:val="center"/>
          </w:tcPr>
          <w:p>
            <w:pPr>
              <w:widowControl/>
              <w:jc w:val="left"/>
              <w:rPr>
                <w:rFonts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发放补助人数</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=1人</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1人</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发放补助次数</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=1次</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1次</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支教补助发放正确率</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发放补助成本</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=1万元/人/学期</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1万元/人/学期</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提升乡村教师队伍素质、切实推进基础教育事业发展</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有效提升</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完全达到预期效果</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提升受援学校教育教学质量、改善受援学校办学水平</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持续提高</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完全达到预期效果</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vMerge w:val="continue"/>
            <w:noWrap w:val="0"/>
            <w:vAlign w:val="center"/>
          </w:tcPr>
          <w:p>
            <w:pPr>
              <w:widowControl/>
              <w:jc w:val="left"/>
              <w:rPr>
                <w:rFonts w:ascii="宋体" w:hAnsi="宋体" w:cs="宋体"/>
                <w:color w:val="000000"/>
                <w:kern w:val="0"/>
                <w:sz w:val="24"/>
                <w:highlight w:val="none"/>
                <w:lang w:bidi="ug-CN"/>
              </w:rPr>
            </w:pP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342"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师生满意度</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74"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963"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95"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83"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44"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81"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16"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669"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0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44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100.00分</w:t>
            </w:r>
          </w:p>
        </w:tc>
        <w:tc>
          <w:tcPr>
            <w:tcW w:w="57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bl>
    <w:p>
      <w:pPr>
        <w:shd w:val="clear" w:color="auto" w:fill="FFFFFF"/>
        <w:spacing w:line="360" w:lineRule="auto"/>
        <w:ind w:firstLine="640"/>
        <w:rPr>
          <w:rFonts w:ascii="仿宋_GB2312" w:hAnsi="仿宋_GB2312" w:eastAsia="仿宋_GB2312"/>
          <w:kern w:val="0"/>
          <w:sz w:val="32"/>
          <w:highlight w:val="none"/>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
        <w:gridCol w:w="380"/>
        <w:gridCol w:w="380"/>
        <w:gridCol w:w="1488"/>
        <w:gridCol w:w="1393"/>
        <w:gridCol w:w="911"/>
        <w:gridCol w:w="707"/>
        <w:gridCol w:w="544"/>
        <w:gridCol w:w="349"/>
        <w:gridCol w:w="220"/>
        <w:gridCol w:w="286"/>
        <w:gridCol w:w="439"/>
        <w:gridCol w:w="419"/>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555"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乌财科教[2022]45号关于拨付2022年中小学和幼儿园自聘教师补助资金的通知（转移支付）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2867"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166"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110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9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29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50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8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9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41.02</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41.02</w:t>
            </w:r>
          </w:p>
        </w:tc>
        <w:tc>
          <w:tcPr>
            <w:tcW w:w="29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50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100.00%</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8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41.0248</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41.0248</w:t>
            </w:r>
          </w:p>
        </w:tc>
        <w:tc>
          <w:tcPr>
            <w:tcW w:w="29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50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8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29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50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45"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8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39"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5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295"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50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3090"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688"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3090"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保障中小学学校正常运转，完成教育教学活动。该经费的开支范围是发放临聘教师的工资，包括基础工资、绩效奖励工资。用以提高临聘教师对学校的满意度，提升工作热情和积极性，通过保障临聘教师的收入来激励临聘教师更充分的投入到教育教学活动中。</w:t>
            </w:r>
          </w:p>
        </w:tc>
        <w:tc>
          <w:tcPr>
            <w:tcW w:w="1688"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该项目资金使用完全合规合法，该项经费用于发放临聘教师的工资，包括基础工资、绩效奖励工资。临聘教师对学校的满意度提高，工作热情和积极性提升，通过保障临聘教师的收来激励了临聘教师更充分的投入到教育教学活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8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2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24"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2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4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67"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2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2228"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415"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319"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32"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24"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613"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28"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415" w:type="pct"/>
            <w:vMerge w:val="continue"/>
            <w:noWrap w:val="0"/>
            <w:vAlign w:val="center"/>
          </w:tcPr>
          <w:p>
            <w:pPr>
              <w:widowControl/>
              <w:jc w:val="left"/>
              <w:rPr>
                <w:rFonts w:ascii="宋体" w:hAnsi="宋体" w:cs="宋体"/>
                <w:color w:val="000000"/>
                <w:kern w:val="0"/>
                <w:sz w:val="24"/>
                <w:highlight w:val="none"/>
                <w:lang w:bidi="ug-CN"/>
              </w:rPr>
            </w:pPr>
          </w:p>
        </w:tc>
        <w:tc>
          <w:tcPr>
            <w:tcW w:w="319" w:type="pct"/>
            <w:vMerge w:val="continue"/>
            <w:noWrap w:val="0"/>
            <w:vAlign w:val="center"/>
          </w:tcPr>
          <w:p>
            <w:pPr>
              <w:widowControl/>
              <w:jc w:val="left"/>
              <w:rPr>
                <w:rFonts w:ascii="宋体" w:hAnsi="宋体" w:cs="宋体"/>
                <w:color w:val="000000"/>
                <w:kern w:val="0"/>
                <w:sz w:val="24"/>
                <w:highlight w:val="none"/>
                <w:lang w:bidi="ug-CN"/>
              </w:rPr>
            </w:pPr>
          </w:p>
        </w:tc>
        <w:tc>
          <w:tcPr>
            <w:tcW w:w="332"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424"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613" w:type="pct"/>
            <w:gridSpan w:val="2"/>
            <w:vMerge w:val="continue"/>
            <w:noWrap w:val="0"/>
            <w:vAlign w:val="center"/>
          </w:tcPr>
          <w:p>
            <w:pPr>
              <w:widowControl/>
              <w:jc w:val="left"/>
              <w:rPr>
                <w:rFonts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2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发放补助人数</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=76人</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82人</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发放补助次数</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&gt;=3次</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1次</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3.33</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项目计划分三次将资金发放到位，实际资金十二月份才到位，只能一次性发放了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资金发放准确率（%）</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补助发放及时率（%）</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&gt;=90%</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每人每次补助资金数</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&gt;=3000元/人/次</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5003元/人/次</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提高自聘教师队伍素质，推进基础教育事业发展</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有效提高</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帮助学校提升教育教学质量</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持续帮助</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完全达到预期目标</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15</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vMerge w:val="continue"/>
            <w:noWrap w:val="0"/>
            <w:vAlign w:val="center"/>
          </w:tcPr>
          <w:p>
            <w:pPr>
              <w:widowControl/>
              <w:jc w:val="left"/>
              <w:rPr>
                <w:rFonts w:ascii="宋体" w:hAnsi="宋体" w:cs="宋体"/>
                <w:color w:val="000000"/>
                <w:kern w:val="0"/>
                <w:sz w:val="24"/>
                <w:highlight w:val="none"/>
                <w:lang w:bidi="ug-CN"/>
              </w:rPr>
            </w:pP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228"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临聘教师满意度</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613"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2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82"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23"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24"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1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1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0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2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9"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4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67"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631"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3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42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93.33分</w:t>
            </w:r>
          </w:p>
        </w:tc>
        <w:tc>
          <w:tcPr>
            <w:tcW w:w="613"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bl>
    <w:p>
      <w:pPr>
        <w:shd w:val="clear" w:color="auto" w:fill="FFFFFF"/>
        <w:spacing w:line="360" w:lineRule="auto"/>
        <w:ind w:firstLine="640"/>
        <w:rPr>
          <w:rFonts w:ascii="仿宋_GB2312" w:hAnsi="仿宋_GB2312" w:eastAsia="仿宋_GB2312"/>
          <w:kern w:val="0"/>
          <w:sz w:val="32"/>
          <w:highlight w:val="none"/>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437"/>
        <w:gridCol w:w="437"/>
        <w:gridCol w:w="1457"/>
        <w:gridCol w:w="1343"/>
        <w:gridCol w:w="772"/>
        <w:gridCol w:w="881"/>
        <w:gridCol w:w="438"/>
        <w:gridCol w:w="295"/>
        <w:gridCol w:w="270"/>
        <w:gridCol w:w="309"/>
        <w:gridCol w:w="389"/>
        <w:gridCol w:w="39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14"/>
            <w:noWrap w:val="0"/>
            <w:vAlign w:val="center"/>
          </w:tcPr>
          <w:p>
            <w:pPr>
              <w:widowControl/>
              <w:jc w:val="center"/>
              <w:rPr>
                <w:rFonts w:ascii="宋体" w:hAnsi="宋体" w:cs="宋体"/>
                <w:b/>
                <w:bCs/>
                <w:color w:val="000000"/>
                <w:kern w:val="0"/>
                <w:sz w:val="32"/>
                <w:szCs w:val="32"/>
                <w:highlight w:val="none"/>
                <w:lang w:bidi="ug-CN"/>
              </w:rPr>
            </w:pPr>
            <w:r>
              <w:rPr>
                <w:rFonts w:hint="eastAsia" w:ascii="宋体" w:hAnsi="宋体" w:cs="宋体"/>
                <w:b/>
                <w:bCs/>
                <w:color w:val="000000"/>
                <w:kern w:val="0"/>
                <w:sz w:val="32"/>
                <w:szCs w:val="32"/>
                <w:highlight w:val="none"/>
                <w:lang w:bidi="ug-CN"/>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14"/>
            <w:noWrap w:val="0"/>
            <w:vAlign w:val="center"/>
          </w:tcPr>
          <w:p>
            <w:pPr>
              <w:widowControl/>
              <w:jc w:val="center"/>
              <w:rPr>
                <w:rFonts w:hint="eastAsia" w:ascii="宋体" w:hAnsi="宋体" w:cs="宋体"/>
                <w:color w:val="000000"/>
                <w:kern w:val="0"/>
                <w:sz w:val="20"/>
                <w:szCs w:val="20"/>
                <w:highlight w:val="none"/>
                <w:lang w:bidi="ug-CN"/>
              </w:rPr>
            </w:pPr>
            <w:r>
              <w:rPr>
                <w:rFonts w:hint="eastAsia" w:ascii="宋体" w:hAnsi="宋体" w:cs="宋体"/>
                <w:color w:val="000000"/>
                <w:kern w:val="0"/>
                <w:sz w:val="20"/>
                <w:szCs w:val="20"/>
                <w:highlight w:val="none"/>
                <w:lang w:bidi="ug-CN"/>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项目名称</w:t>
            </w:r>
          </w:p>
        </w:tc>
        <w:tc>
          <w:tcPr>
            <w:tcW w:w="4484" w:type="pct"/>
            <w:gridSpan w:val="1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乌财企[2021]93号关于提前下达2022年4月-2023年3月国有企业办中小学退休教师三项费用的通知（转移支付）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主管部门</w:t>
            </w:r>
          </w:p>
        </w:tc>
        <w:tc>
          <w:tcPr>
            <w:tcW w:w="2847"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实施单位</w:t>
            </w:r>
          </w:p>
        </w:tc>
        <w:tc>
          <w:tcPr>
            <w:tcW w:w="1204" w:type="pct"/>
            <w:gridSpan w:val="5"/>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乌鲁木齐市第八十七中学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项目资金</w:t>
            </w:r>
          </w:p>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（万元）</w:t>
            </w:r>
          </w:p>
        </w:tc>
        <w:tc>
          <w:tcPr>
            <w:tcW w:w="110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78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年初预算数</w:t>
            </w:r>
          </w:p>
        </w:tc>
        <w:tc>
          <w:tcPr>
            <w:tcW w:w="9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全年预算数</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全年执行数</w:t>
            </w:r>
          </w:p>
        </w:tc>
        <w:tc>
          <w:tcPr>
            <w:tcW w:w="35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6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执行率</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年度资金总额</w:t>
            </w:r>
          </w:p>
        </w:tc>
        <w:tc>
          <w:tcPr>
            <w:tcW w:w="78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9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0.10</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35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6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其中：当年财政拨款</w:t>
            </w:r>
          </w:p>
        </w:tc>
        <w:tc>
          <w:tcPr>
            <w:tcW w:w="78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0.1</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5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上年结转资金</w:t>
            </w:r>
          </w:p>
        </w:tc>
        <w:tc>
          <w:tcPr>
            <w:tcW w:w="78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5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1107"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xml:space="preserve">  其他资金</w:t>
            </w:r>
          </w:p>
        </w:tc>
        <w:tc>
          <w:tcPr>
            <w:tcW w:w="78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958"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434"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5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46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年度总体目标</w:t>
            </w:r>
          </w:p>
        </w:tc>
        <w:tc>
          <w:tcPr>
            <w:tcW w:w="3105" w:type="pct"/>
            <w:gridSpan w:val="6"/>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预期目标</w:t>
            </w:r>
          </w:p>
        </w:tc>
        <w:tc>
          <w:tcPr>
            <w:tcW w:w="1637" w:type="pct"/>
            <w:gridSpan w:val="7"/>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3105" w:type="pct"/>
            <w:gridSpan w:val="6"/>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该经费是企业退休教师书报费、独生子女费、活动费资金来源。该项目经费主要用于发放国有办企业退休教师的养老待遇，绩效目标是保障享受政策的人数达标，发放次数到位，资金使用合规，资金下达及时，退休教师满意度高。</w:t>
            </w:r>
          </w:p>
        </w:tc>
        <w:tc>
          <w:tcPr>
            <w:tcW w:w="1637" w:type="pct"/>
            <w:gridSpan w:val="7"/>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该项目资金于2022年12月追加拨付，尚未支付。此款项用于保障我单位企业退休教师从的三项费用，实际完成企退社保缴纳及活动费，其余于支付取暖费及独生子女费。该项目无招投标，属于经常性零星项目，由单位自行组织实施。通过实施该项目，可以提高我校企退教师的生活质量，让我校企退教师的晚年生活得到充分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49"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78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4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3"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76"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92"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30"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36"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85" w:type="pct"/>
            <w:noWrap w:val="0"/>
            <w:vAlign w:val="top"/>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一级指标</w:t>
            </w:r>
          </w:p>
        </w:tc>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二级指标</w:t>
            </w:r>
          </w:p>
        </w:tc>
        <w:tc>
          <w:tcPr>
            <w:tcW w:w="2076" w:type="pct"/>
            <w:gridSpan w:val="3"/>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三级指标</w:t>
            </w:r>
          </w:p>
        </w:tc>
        <w:tc>
          <w:tcPr>
            <w:tcW w:w="513"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年度指标值</w:t>
            </w:r>
          </w:p>
        </w:tc>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实际完成值</w:t>
            </w:r>
          </w:p>
        </w:tc>
        <w:tc>
          <w:tcPr>
            <w:tcW w:w="336"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分值</w:t>
            </w:r>
          </w:p>
        </w:tc>
        <w:tc>
          <w:tcPr>
            <w:tcW w:w="422"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得分</w:t>
            </w:r>
          </w:p>
        </w:tc>
        <w:tc>
          <w:tcPr>
            <w:tcW w:w="621" w:type="pct"/>
            <w:gridSpan w:val="2"/>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076" w:type="pct"/>
            <w:gridSpan w:val="3"/>
            <w:vMerge w:val="continue"/>
            <w:noWrap w:val="0"/>
            <w:vAlign w:val="center"/>
          </w:tcPr>
          <w:p>
            <w:pPr>
              <w:widowControl/>
              <w:jc w:val="left"/>
              <w:rPr>
                <w:rFonts w:ascii="宋体" w:hAnsi="宋体" w:cs="宋体"/>
                <w:color w:val="000000"/>
                <w:kern w:val="0"/>
                <w:sz w:val="24"/>
                <w:highlight w:val="none"/>
                <w:lang w:bidi="ug-CN"/>
              </w:rPr>
            </w:pPr>
          </w:p>
        </w:tc>
        <w:tc>
          <w:tcPr>
            <w:tcW w:w="513"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336"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422" w:type="pct"/>
            <w:gridSpan w:val="2"/>
            <w:vMerge w:val="continue"/>
            <w:noWrap w:val="0"/>
            <w:vAlign w:val="center"/>
          </w:tcPr>
          <w:p>
            <w:pPr>
              <w:widowControl/>
              <w:jc w:val="left"/>
              <w:rPr>
                <w:rFonts w:ascii="宋体" w:hAnsi="宋体" w:cs="宋体"/>
                <w:color w:val="000000"/>
                <w:kern w:val="0"/>
                <w:sz w:val="24"/>
                <w:highlight w:val="none"/>
                <w:lang w:bidi="ug-CN"/>
              </w:rPr>
            </w:pPr>
          </w:p>
        </w:tc>
        <w:tc>
          <w:tcPr>
            <w:tcW w:w="621" w:type="pct"/>
            <w:gridSpan w:val="2"/>
            <w:vMerge w:val="continue"/>
            <w:noWrap w:val="0"/>
            <w:vAlign w:val="center"/>
          </w:tcPr>
          <w:p>
            <w:pPr>
              <w:widowControl/>
              <w:jc w:val="left"/>
              <w:rPr>
                <w:rFonts w:ascii="宋体" w:hAnsi="宋体" w:cs="宋体"/>
                <w:color w:val="000000"/>
                <w:kern w:val="0"/>
                <w:sz w:val="24"/>
                <w:highlight w:val="none"/>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restart"/>
            <w:noWrap w:val="0"/>
            <w:vAlign w:val="center"/>
          </w:tcPr>
          <w:p>
            <w:pPr>
              <w:widowControl/>
              <w:jc w:val="center"/>
              <w:rPr>
                <w:rFonts w:ascii="宋体" w:hAnsi="宋体" w:cs="宋体"/>
                <w:color w:val="000000"/>
                <w:kern w:val="0"/>
                <w:sz w:val="24"/>
                <w:highlight w:val="none"/>
                <w:lang w:bidi="ug-CN"/>
              </w:rPr>
            </w:pPr>
            <w:r>
              <w:rPr>
                <w:rFonts w:hint="eastAsia" w:ascii="宋体" w:hAnsi="宋体" w:cs="宋体"/>
                <w:color w:val="000000"/>
                <w:kern w:val="0"/>
                <w:sz w:val="24"/>
                <w:highlight w:val="none"/>
                <w:lang w:bidi="ug-CN"/>
              </w:rPr>
              <w:t>年度绩效指标完成情况</w:t>
            </w:r>
          </w:p>
        </w:tc>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产出指标</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发放（补助）人数</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&gt;=20人</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0人</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数量指标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发放（补助）次数</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&gt;=2次</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0次</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质量指标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资金发放准确率（%）</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时效指标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资金发放及时率</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成本指标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每位教师每次发放（补助）资金数</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&lt;=2068元</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0元</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restar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效益指标</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经济效益指标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社会效益指标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持续提升企业退休教师幸福度</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持续提升</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未达到预期目标</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30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生态效益指标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可持续影响指标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vMerge w:val="continue"/>
            <w:noWrap w:val="0"/>
            <w:vAlign w:val="center"/>
          </w:tcPr>
          <w:p>
            <w:pPr>
              <w:widowControl/>
              <w:jc w:val="left"/>
              <w:rPr>
                <w:rFonts w:ascii="宋体" w:hAnsi="宋体" w:cs="宋体"/>
                <w:color w:val="000000"/>
                <w:kern w:val="0"/>
                <w:sz w:val="24"/>
                <w:highlight w:val="none"/>
                <w:lang w:bidi="ug-CN"/>
              </w:rPr>
            </w:pP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满意度指标</w:t>
            </w:r>
          </w:p>
        </w:tc>
        <w:tc>
          <w:tcPr>
            <w:tcW w:w="2076" w:type="pct"/>
            <w:gridSpan w:val="3"/>
            <w:noWrap/>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企业退休教师满意度</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&gt;=95%</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w:t>
            </w:r>
          </w:p>
        </w:tc>
        <w:tc>
          <w:tcPr>
            <w:tcW w:w="621" w:type="pct"/>
            <w:gridSpan w:val="2"/>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防控原因，款项尚未拨付，项目未实际开展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849"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782"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445" w:type="pct"/>
            <w:noWrap w:val="0"/>
            <w:vAlign w:val="center"/>
          </w:tcPr>
          <w:p>
            <w:pPr>
              <w:widowControl/>
              <w:jc w:val="left"/>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513"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58"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76"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6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192"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30"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236"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c>
          <w:tcPr>
            <w:tcW w:w="385" w:type="pct"/>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620" w:type="pct"/>
            <w:gridSpan w:val="8"/>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总分</w:t>
            </w:r>
          </w:p>
        </w:tc>
        <w:tc>
          <w:tcPr>
            <w:tcW w:w="336"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100</w:t>
            </w:r>
          </w:p>
        </w:tc>
        <w:tc>
          <w:tcPr>
            <w:tcW w:w="422"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0.00分</w:t>
            </w:r>
          </w:p>
        </w:tc>
        <w:tc>
          <w:tcPr>
            <w:tcW w:w="621" w:type="pct"/>
            <w:gridSpan w:val="2"/>
            <w:noWrap w:val="0"/>
            <w:vAlign w:val="center"/>
          </w:tcPr>
          <w:p>
            <w:pPr>
              <w:widowControl/>
              <w:jc w:val="center"/>
              <w:rPr>
                <w:rFonts w:hint="eastAsia" w:ascii="宋体" w:hAnsi="宋体" w:cs="宋体"/>
                <w:color w:val="000000"/>
                <w:kern w:val="0"/>
                <w:sz w:val="24"/>
                <w:highlight w:val="none"/>
                <w:lang w:bidi="ug-CN"/>
              </w:rPr>
            </w:pPr>
            <w:r>
              <w:rPr>
                <w:rFonts w:hint="eastAsia" w:ascii="宋体" w:hAnsi="宋体" w:cs="宋体"/>
                <w:color w:val="000000"/>
                <w:kern w:val="0"/>
                <w:sz w:val="24"/>
                <w:highlight w:val="none"/>
                <w:lang w:bidi="ug-CN"/>
              </w:rPr>
              <w:t>　</w:t>
            </w:r>
          </w:p>
        </w:tc>
      </w:tr>
    </w:tbl>
    <w:p>
      <w:pPr>
        <w:jc w:val="center"/>
        <w:outlineLvl w:val="0"/>
        <w:rPr>
          <w:rFonts w:hint="eastAsia" w:ascii="黑体" w:hAnsi="黑体" w:eastAsia="黑体"/>
          <w:sz w:val="32"/>
          <w:szCs w:val="32"/>
          <w:highlight w:val="none"/>
        </w:rPr>
      </w:pPr>
      <w:bookmarkStart w:id="34" w:name="_Toc3250"/>
      <w:bookmarkStart w:id="35"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ind w:firstLine="640" w:firstLineChars="200"/>
        <w:jc w:val="center"/>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ind w:firstLine="640" w:firstLineChars="200"/>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ind w:firstLine="640" w:firstLineChars="200"/>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ind w:firstLine="640" w:firstLineChars="200"/>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ind w:firstLine="640" w:firstLineChars="200"/>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ind w:firstLine="640" w:firstLineChars="200"/>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ind w:firstLine="640" w:firstLineChars="200"/>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ind w:firstLine="640" w:firstLineChars="200"/>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九、《国有资本经营预算财政拨款收入支出决算表》</w:t>
      </w:r>
    </w:p>
    <w:p>
      <w:pPr>
        <w:ind w:firstLine="640" w:firstLineChars="200"/>
        <w:outlineLvl w:val="1"/>
        <w:rPr>
          <w:rFonts w:hint="eastAsia" w:ascii="黑体" w:hAnsi="黑体" w:eastAsia="黑体" w:cs="宋体"/>
          <w:bCs/>
          <w:kern w:val="0"/>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33531F"/>
    <w:rsid w:val="00044900"/>
    <w:rsid w:val="00050F05"/>
    <w:rsid w:val="00081357"/>
    <w:rsid w:val="000E43F9"/>
    <w:rsid w:val="00190213"/>
    <w:rsid w:val="001B6A97"/>
    <w:rsid w:val="001C0C5D"/>
    <w:rsid w:val="001E7031"/>
    <w:rsid w:val="00223120"/>
    <w:rsid w:val="002609BC"/>
    <w:rsid w:val="00272DC0"/>
    <w:rsid w:val="00277EEA"/>
    <w:rsid w:val="002F7102"/>
    <w:rsid w:val="00303F15"/>
    <w:rsid w:val="0033531F"/>
    <w:rsid w:val="00382DE6"/>
    <w:rsid w:val="00390509"/>
    <w:rsid w:val="003E7AAE"/>
    <w:rsid w:val="003F1109"/>
    <w:rsid w:val="003F79F3"/>
    <w:rsid w:val="00400F1D"/>
    <w:rsid w:val="00453CB3"/>
    <w:rsid w:val="005B2612"/>
    <w:rsid w:val="00701055"/>
    <w:rsid w:val="00735648"/>
    <w:rsid w:val="007A10AB"/>
    <w:rsid w:val="007D3EC8"/>
    <w:rsid w:val="00813196"/>
    <w:rsid w:val="00864D08"/>
    <w:rsid w:val="0094516D"/>
    <w:rsid w:val="009825D6"/>
    <w:rsid w:val="00A2298F"/>
    <w:rsid w:val="00A5781A"/>
    <w:rsid w:val="00AA512B"/>
    <w:rsid w:val="00AE3641"/>
    <w:rsid w:val="00B0757E"/>
    <w:rsid w:val="00C27D5C"/>
    <w:rsid w:val="00C5206C"/>
    <w:rsid w:val="00C7442C"/>
    <w:rsid w:val="00CC4775"/>
    <w:rsid w:val="00CD79DA"/>
    <w:rsid w:val="00CF6FFF"/>
    <w:rsid w:val="00D67537"/>
    <w:rsid w:val="00D839D7"/>
    <w:rsid w:val="00D87598"/>
    <w:rsid w:val="00D91B30"/>
    <w:rsid w:val="00DD4585"/>
    <w:rsid w:val="00E57F97"/>
    <w:rsid w:val="00E66E87"/>
    <w:rsid w:val="00EA4AD6"/>
    <w:rsid w:val="00EF1E75"/>
    <w:rsid w:val="00F11D12"/>
    <w:rsid w:val="00F30D1D"/>
    <w:rsid w:val="00F37D15"/>
    <w:rsid w:val="00F53E0E"/>
    <w:rsid w:val="00FC0EAA"/>
    <w:rsid w:val="00FF1CFD"/>
    <w:rsid w:val="019422A6"/>
    <w:rsid w:val="01A01317"/>
    <w:rsid w:val="0216715F"/>
    <w:rsid w:val="023B31B5"/>
    <w:rsid w:val="02BC1AB4"/>
    <w:rsid w:val="02F73D26"/>
    <w:rsid w:val="034D4FEF"/>
    <w:rsid w:val="03773C2D"/>
    <w:rsid w:val="03BE185C"/>
    <w:rsid w:val="03C350C4"/>
    <w:rsid w:val="042518DB"/>
    <w:rsid w:val="043E5B56"/>
    <w:rsid w:val="04DF1A8A"/>
    <w:rsid w:val="04EA6DAD"/>
    <w:rsid w:val="05300538"/>
    <w:rsid w:val="055E50A5"/>
    <w:rsid w:val="06500E91"/>
    <w:rsid w:val="06792773"/>
    <w:rsid w:val="06C23411"/>
    <w:rsid w:val="06FC2DC7"/>
    <w:rsid w:val="079C0106"/>
    <w:rsid w:val="07C80EFB"/>
    <w:rsid w:val="07DB0C2F"/>
    <w:rsid w:val="08030185"/>
    <w:rsid w:val="08387E2F"/>
    <w:rsid w:val="08624EAC"/>
    <w:rsid w:val="087150EF"/>
    <w:rsid w:val="0A7B4867"/>
    <w:rsid w:val="0B1D155E"/>
    <w:rsid w:val="0B8C3ECC"/>
    <w:rsid w:val="0BAE0408"/>
    <w:rsid w:val="0C344DB1"/>
    <w:rsid w:val="0C4D5E73"/>
    <w:rsid w:val="0C7227A7"/>
    <w:rsid w:val="0D0C3638"/>
    <w:rsid w:val="0D156991"/>
    <w:rsid w:val="0DA6583B"/>
    <w:rsid w:val="0E3A41D5"/>
    <w:rsid w:val="0E545297"/>
    <w:rsid w:val="0E651252"/>
    <w:rsid w:val="0FF07241"/>
    <w:rsid w:val="100D26E5"/>
    <w:rsid w:val="10BB784F"/>
    <w:rsid w:val="12280F14"/>
    <w:rsid w:val="12802AFE"/>
    <w:rsid w:val="12FB3F33"/>
    <w:rsid w:val="133833D9"/>
    <w:rsid w:val="137D0DEC"/>
    <w:rsid w:val="13CC3B21"/>
    <w:rsid w:val="146E6986"/>
    <w:rsid w:val="14E05AD6"/>
    <w:rsid w:val="153E27FD"/>
    <w:rsid w:val="154D0C92"/>
    <w:rsid w:val="15A703A2"/>
    <w:rsid w:val="15E72E94"/>
    <w:rsid w:val="16B72867"/>
    <w:rsid w:val="16C60CFC"/>
    <w:rsid w:val="17AA23CB"/>
    <w:rsid w:val="17D9680D"/>
    <w:rsid w:val="18D21502"/>
    <w:rsid w:val="19A60971"/>
    <w:rsid w:val="1ACB1021"/>
    <w:rsid w:val="1CAD0994"/>
    <w:rsid w:val="1DAF458D"/>
    <w:rsid w:val="1F3D3E4E"/>
    <w:rsid w:val="20DD6197"/>
    <w:rsid w:val="210B0AA2"/>
    <w:rsid w:val="213827F6"/>
    <w:rsid w:val="21AD6D40"/>
    <w:rsid w:val="224A27E1"/>
    <w:rsid w:val="22D84291"/>
    <w:rsid w:val="23BC04D2"/>
    <w:rsid w:val="24B93C4E"/>
    <w:rsid w:val="24DD5B8E"/>
    <w:rsid w:val="251175E6"/>
    <w:rsid w:val="253D662D"/>
    <w:rsid w:val="275B0FEC"/>
    <w:rsid w:val="275F0ADD"/>
    <w:rsid w:val="279D1605"/>
    <w:rsid w:val="27CF2642"/>
    <w:rsid w:val="28773C04"/>
    <w:rsid w:val="2987431B"/>
    <w:rsid w:val="2A053397"/>
    <w:rsid w:val="2AD90BA6"/>
    <w:rsid w:val="2B0025D7"/>
    <w:rsid w:val="2B011EAB"/>
    <w:rsid w:val="2B65243A"/>
    <w:rsid w:val="2B7D3C27"/>
    <w:rsid w:val="2C567FD4"/>
    <w:rsid w:val="2CAE1BBE"/>
    <w:rsid w:val="2CD47877"/>
    <w:rsid w:val="2CFC72DD"/>
    <w:rsid w:val="2D102879"/>
    <w:rsid w:val="2D104627"/>
    <w:rsid w:val="2D1136DF"/>
    <w:rsid w:val="2DAE631A"/>
    <w:rsid w:val="2FD27414"/>
    <w:rsid w:val="300E12F2"/>
    <w:rsid w:val="302A1EA4"/>
    <w:rsid w:val="30403475"/>
    <w:rsid w:val="309537C1"/>
    <w:rsid w:val="31216E03"/>
    <w:rsid w:val="3179279B"/>
    <w:rsid w:val="31C63837"/>
    <w:rsid w:val="32496611"/>
    <w:rsid w:val="32C97752"/>
    <w:rsid w:val="33296443"/>
    <w:rsid w:val="33FC76B3"/>
    <w:rsid w:val="351A24E7"/>
    <w:rsid w:val="35B069A7"/>
    <w:rsid w:val="35ED7BFB"/>
    <w:rsid w:val="360B1E2F"/>
    <w:rsid w:val="36C721FA"/>
    <w:rsid w:val="387B329C"/>
    <w:rsid w:val="3914510A"/>
    <w:rsid w:val="39484527"/>
    <w:rsid w:val="396C52DB"/>
    <w:rsid w:val="39736669"/>
    <w:rsid w:val="39ED1F78"/>
    <w:rsid w:val="3D5275AC"/>
    <w:rsid w:val="3DC41242"/>
    <w:rsid w:val="3FA56E51"/>
    <w:rsid w:val="40834692"/>
    <w:rsid w:val="40A13ABC"/>
    <w:rsid w:val="42136DF7"/>
    <w:rsid w:val="43036368"/>
    <w:rsid w:val="43C024AB"/>
    <w:rsid w:val="43E50164"/>
    <w:rsid w:val="448C6831"/>
    <w:rsid w:val="452F78E8"/>
    <w:rsid w:val="45806396"/>
    <w:rsid w:val="45AD4CB1"/>
    <w:rsid w:val="46901EEE"/>
    <w:rsid w:val="469C74D2"/>
    <w:rsid w:val="476A2E5A"/>
    <w:rsid w:val="48396CD0"/>
    <w:rsid w:val="48CC18F2"/>
    <w:rsid w:val="4A225C6E"/>
    <w:rsid w:val="4B4C0111"/>
    <w:rsid w:val="4B904E59"/>
    <w:rsid w:val="4C003D8D"/>
    <w:rsid w:val="4C673E0C"/>
    <w:rsid w:val="4C9B5863"/>
    <w:rsid w:val="4CB37EDD"/>
    <w:rsid w:val="4CDD40CE"/>
    <w:rsid w:val="4DFA2A5E"/>
    <w:rsid w:val="4EEC684A"/>
    <w:rsid w:val="4F2E6E63"/>
    <w:rsid w:val="4F336227"/>
    <w:rsid w:val="50836D3A"/>
    <w:rsid w:val="50DB5F45"/>
    <w:rsid w:val="522E717A"/>
    <w:rsid w:val="52F92565"/>
    <w:rsid w:val="54462559"/>
    <w:rsid w:val="545253A1"/>
    <w:rsid w:val="545804DE"/>
    <w:rsid w:val="5463310B"/>
    <w:rsid w:val="54781929"/>
    <w:rsid w:val="56BE0ACC"/>
    <w:rsid w:val="57BF2D4E"/>
    <w:rsid w:val="583059FA"/>
    <w:rsid w:val="586438F5"/>
    <w:rsid w:val="58825B29"/>
    <w:rsid w:val="593E7CA2"/>
    <w:rsid w:val="59480B21"/>
    <w:rsid w:val="5A90452E"/>
    <w:rsid w:val="5A9C7376"/>
    <w:rsid w:val="5AF076C2"/>
    <w:rsid w:val="5B1213E7"/>
    <w:rsid w:val="5B9067AF"/>
    <w:rsid w:val="5B9B5880"/>
    <w:rsid w:val="5BB22BCA"/>
    <w:rsid w:val="5C49708A"/>
    <w:rsid w:val="5D423AD9"/>
    <w:rsid w:val="5FA17648"/>
    <w:rsid w:val="6126799A"/>
    <w:rsid w:val="61A46A97"/>
    <w:rsid w:val="61BF1B9C"/>
    <w:rsid w:val="62DD7D21"/>
    <w:rsid w:val="632E0D88"/>
    <w:rsid w:val="63316ACA"/>
    <w:rsid w:val="635B58F5"/>
    <w:rsid w:val="638C3D00"/>
    <w:rsid w:val="63BF40D6"/>
    <w:rsid w:val="646A4041"/>
    <w:rsid w:val="648669A1"/>
    <w:rsid w:val="651421FF"/>
    <w:rsid w:val="653B778C"/>
    <w:rsid w:val="65D97752"/>
    <w:rsid w:val="66065FEC"/>
    <w:rsid w:val="667E2026"/>
    <w:rsid w:val="66A91AA5"/>
    <w:rsid w:val="66B27F22"/>
    <w:rsid w:val="672F50CE"/>
    <w:rsid w:val="68DB0208"/>
    <w:rsid w:val="69AD798C"/>
    <w:rsid w:val="6A3F422B"/>
    <w:rsid w:val="6B68175F"/>
    <w:rsid w:val="6B8974A3"/>
    <w:rsid w:val="6CC30793"/>
    <w:rsid w:val="6CE26F8C"/>
    <w:rsid w:val="6CE40709"/>
    <w:rsid w:val="6D401DE3"/>
    <w:rsid w:val="6DA06D26"/>
    <w:rsid w:val="6E0F7A08"/>
    <w:rsid w:val="6E241705"/>
    <w:rsid w:val="6EBC36EB"/>
    <w:rsid w:val="6F321C00"/>
    <w:rsid w:val="6F9B1553"/>
    <w:rsid w:val="70E231B1"/>
    <w:rsid w:val="71063344"/>
    <w:rsid w:val="71473612"/>
    <w:rsid w:val="71752277"/>
    <w:rsid w:val="718F7F65"/>
    <w:rsid w:val="71E573FD"/>
    <w:rsid w:val="72037883"/>
    <w:rsid w:val="73FB6630"/>
    <w:rsid w:val="748C3B60"/>
    <w:rsid w:val="74E76DCD"/>
    <w:rsid w:val="753C37D8"/>
    <w:rsid w:val="75B23A9A"/>
    <w:rsid w:val="75E63744"/>
    <w:rsid w:val="776668EA"/>
    <w:rsid w:val="77B92EBE"/>
    <w:rsid w:val="77ED6F44"/>
    <w:rsid w:val="786C7F30"/>
    <w:rsid w:val="79921083"/>
    <w:rsid w:val="7C0E12FE"/>
    <w:rsid w:val="7C613B24"/>
    <w:rsid w:val="7C8617DD"/>
    <w:rsid w:val="7CB73744"/>
    <w:rsid w:val="7CF76237"/>
    <w:rsid w:val="7D847ACA"/>
    <w:rsid w:val="7E1A21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rFonts w:ascii="Times New Roman" w:hAnsi="Times New Roman" w:eastAsia="宋体" w:cs="Times New Roman"/>
      <w:lang w:val="en-US" w:eastAsia="zh-CN" w:bidi="ug-CN"/>
    </w:rPr>
  </w:style>
  <w:style w:type="paragraph" w:customStyle="1" w:styleId="11">
    <w:name w:val="WPSOffice手动目录 2"/>
    <w:autoRedefine/>
    <w:qFormat/>
    <w:uiPriority w:val="0"/>
    <w:pPr>
      <w:ind w:leftChars="200"/>
    </w:pPr>
    <w:rPr>
      <w:rFonts w:ascii="Times New Roman" w:hAnsi="Times New Roman" w:eastAsia="宋体" w:cs="Times New Roman"/>
      <w:lang w:val="en-US" w:eastAsia="zh-CN" w:bidi="ug-CN"/>
    </w:rPr>
  </w:style>
  <w:style w:type="paragraph" w:customStyle="1" w:styleId="12">
    <w:name w:val="WPSOffice手动目录 1"/>
    <w:autoRedefine/>
    <w:uiPriority w:val="0"/>
    <w:rPr>
      <w:rFonts w:ascii="Times New Roman" w:hAnsi="Times New Roman" w:eastAsia="宋体" w:cs="Times New Roman"/>
      <w:lang w:val="en-US" w:eastAsia="zh-CN" w:bidi="u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10561</Words>
  <Characters>11623</Characters>
  <Lines>102</Lines>
  <Paragraphs>28</Paragraphs>
  <TotalTime>2</TotalTime>
  <ScaleCrop>false</ScaleCrop>
  <LinksUpToDate>false</LinksUpToDate>
  <CharactersWithSpaces>12056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2024-02-18T09:57:21Z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478D4A41C4BA4E21B94295F489AAC551_13</vt:lpwstr>
  </property>
</Properties>
</file>