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p>
    <w:p>
      <w:pPr>
        <w:jc w:val="center"/>
        <w:rPr>
          <w:rFonts w:ascii="方正小标宋_GBK" w:hAnsi="宋体" w:eastAsia="方正小标宋_GBK"/>
          <w:sz w:val="44"/>
          <w:szCs w:val="44"/>
        </w:rPr>
      </w:pPr>
    </w:p>
    <w:p>
      <w:pPr>
        <w:jc w:val="center"/>
        <w:rPr>
          <w:rFonts w:ascii="方正小标宋_GBK" w:hAnsi="宋体" w:eastAsia="方正小标宋_GBK"/>
          <w:sz w:val="44"/>
          <w:szCs w:val="44"/>
        </w:rPr>
      </w:pPr>
    </w:p>
    <w:p>
      <w:pPr>
        <w:jc w:val="center"/>
        <w:rPr>
          <w:rFonts w:ascii="方正小标宋_GBK" w:hAnsi="宋体" w:eastAsia="方正小标宋_GBK"/>
          <w:sz w:val="44"/>
          <w:szCs w:val="44"/>
        </w:rPr>
      </w:pPr>
    </w:p>
    <w:p>
      <w:pPr>
        <w:jc w:val="center"/>
        <w:rPr>
          <w:rFonts w:ascii="方正小标宋_GBK" w:hAnsi="宋体" w:eastAsia="方正小标宋_GBK"/>
          <w:sz w:val="44"/>
          <w:szCs w:val="44"/>
        </w:rPr>
      </w:pPr>
    </w:p>
    <w:p>
      <w:pPr>
        <w:jc w:val="center"/>
        <w:rPr>
          <w:rFonts w:ascii="方正小标宋_GBK" w:eastAsia="方正小标宋_GBK" w:cs="方正小标宋_GBK"/>
          <w:sz w:val="44"/>
          <w:szCs w:val="44"/>
        </w:rPr>
      </w:pPr>
      <w:r>
        <w:rPr>
          <w:rFonts w:hint="eastAsia" w:ascii="方正小标宋_GBK" w:eastAsia="方正小标宋_GBK" w:cs="方正小标宋_GBK"/>
          <w:sz w:val="44"/>
          <w:szCs w:val="44"/>
        </w:rPr>
        <w:t>乌鲁木齐市</w:t>
      </w:r>
      <w:r>
        <w:rPr>
          <w:rFonts w:hint="eastAsia" w:ascii="方正小标宋_GBK" w:hAnsi="宋体" w:eastAsia="方正小标宋_GBK"/>
          <w:sz w:val="44"/>
          <w:szCs w:val="44"/>
        </w:rPr>
        <w:t>第九十一</w:t>
      </w:r>
      <w:r>
        <w:rPr>
          <w:rFonts w:hint="eastAsia" w:ascii="方正小标宋_GBK" w:eastAsia="方正小标宋_GBK" w:cs="方正小标宋_GBK"/>
          <w:sz w:val="44"/>
          <w:szCs w:val="44"/>
        </w:rPr>
        <w:t>中学</w:t>
      </w:r>
    </w:p>
    <w:p>
      <w:pPr>
        <w:jc w:val="center"/>
        <w:rPr>
          <w:rFonts w:ascii="方正小标宋_GBK" w:hAnsi="宋体" w:eastAsia="方正小标宋_GBK"/>
          <w:sz w:val="44"/>
          <w:szCs w:val="44"/>
        </w:rPr>
      </w:pPr>
      <w:r>
        <w:rPr>
          <w:rFonts w:hint="eastAsia" w:ascii="方正小标宋_GBK" w:hAnsi="宋体" w:eastAsia="方正小标宋_GBK"/>
          <w:sz w:val="44"/>
          <w:szCs w:val="44"/>
        </w:rPr>
        <w:t>2022年度</w:t>
      </w:r>
    </w:p>
    <w:p>
      <w:pPr>
        <w:autoSpaceDE w:val="0"/>
        <w:autoSpaceDN w:val="0"/>
        <w:adjustRightInd w:val="0"/>
        <w:jc w:val="center"/>
        <w:rPr>
          <w:rFonts w:ascii="方正小标宋_GBK" w:hAnsi="宋体" w:eastAsia="方正小标宋_GBK"/>
          <w:sz w:val="44"/>
          <w:szCs w:val="44"/>
        </w:rPr>
      </w:pPr>
      <w:r>
        <w:rPr>
          <w:rFonts w:hint="eastAsia" w:ascii="方正小标宋_GBK" w:hAnsi="宋体" w:eastAsia="方正小标宋_GBK"/>
          <w:sz w:val="44"/>
          <w:szCs w:val="44"/>
        </w:rPr>
        <w:t>部门决算公开说明</w:t>
      </w:r>
    </w:p>
    <w:p>
      <w:pPr>
        <w:jc w:val="center"/>
        <w:rPr>
          <w:rFonts w:ascii="仿宋_GB2312" w:hAnsi="仿宋_GB2312" w:eastAsia="仿宋_GB2312" w:cs="仿宋_GB2312"/>
          <w:bCs/>
          <w:kern w:val="0"/>
          <w:sz w:val="32"/>
          <w:szCs w:val="32"/>
        </w:rPr>
      </w:pPr>
      <w:r>
        <w:rPr>
          <w:rFonts w:hint="eastAsia" w:ascii="方正小标宋_GBK" w:hAnsi="宋体" w:eastAsia="方正小标宋_GBK"/>
          <w:sz w:val="44"/>
          <w:szCs w:val="44"/>
        </w:rPr>
        <w:br w:type="page"/>
      </w:r>
      <w:r>
        <w:rPr>
          <w:rFonts w:hint="eastAsia" w:ascii="仿宋_GB2312" w:hAnsi="仿宋_GB2312" w:eastAsia="仿宋_GB2312" w:cs="仿宋_GB2312"/>
          <w:b/>
          <w:kern w:val="0"/>
          <w:sz w:val="36"/>
          <w:szCs w:val="36"/>
        </w:rPr>
        <w:t>目  录</w:t>
      </w:r>
    </w:p>
    <w:p>
      <w:pPr>
        <w:pStyle w:val="6"/>
        <w:tabs>
          <w:tab w:val="right" w:pos="8306"/>
        </w:tabs>
        <w:rPr>
          <w:rFonts w:ascii="仿宋_GB2312" w:hAnsi="仿宋_GB2312" w:eastAsia="仿宋_GB2312" w:cs="仿宋_GB2312"/>
          <w:b/>
          <w:bCs/>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"1-3" \n  \h \u </w:instrText>
      </w:r>
      <w:r>
        <w:rPr>
          <w:rFonts w:hint="eastAsia" w:ascii="仿宋_GB2312" w:hAnsi="仿宋_GB2312" w:eastAsia="仿宋_GB2312" w:cs="仿宋_GB2312"/>
          <w:sz w:val="32"/>
          <w:szCs w:val="32"/>
        </w:rPr>
        <w:fldChar w:fldCharType="separate"/>
      </w:r>
      <w:r>
        <w:fldChar w:fldCharType="begin"/>
      </w:r>
      <w:r>
        <w:instrText xml:space="preserve"> HYPERLINK \l "_Toc32314" </w:instrText>
      </w:r>
      <w:r>
        <w:fldChar w:fldCharType="separate"/>
      </w:r>
      <w:r>
        <w:rPr>
          <w:rFonts w:hint="eastAsia" w:ascii="仿宋_GB2312" w:hAnsi="仿宋_GB2312" w:eastAsia="仿宋_GB2312" w:cs="仿宋_GB2312"/>
          <w:b/>
          <w:bCs/>
          <w:sz w:val="32"/>
          <w:szCs w:val="32"/>
        </w:rPr>
        <w:t>第一部分 单位概况</w:t>
      </w:r>
      <w:r>
        <w:rPr>
          <w:rFonts w:hint="eastAsia" w:ascii="仿宋_GB2312" w:hAnsi="仿宋_GB2312" w:eastAsia="仿宋_GB2312" w:cs="仿宋_GB2312"/>
          <w:b/>
          <w:bCs/>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"_Toc30567" </w:instrText>
      </w:r>
      <w:r>
        <w:fldChar w:fldCharType="separate"/>
      </w:r>
      <w:r>
        <w:rPr>
          <w:rFonts w:hint="eastAsia" w:ascii="仿宋_GB2312" w:hAnsi="仿宋_GB2312" w:eastAsia="仿宋_GB2312" w:cs="仿宋_GB2312"/>
          <w:bCs/>
          <w:kern w:val="0"/>
          <w:sz w:val="32"/>
          <w:szCs w:val="32"/>
        </w:rPr>
        <w:t>一、主要职能</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"_Toc2151" </w:instrText>
      </w:r>
      <w:r>
        <w:fldChar w:fldCharType="separate"/>
      </w:r>
      <w:r>
        <w:rPr>
          <w:rFonts w:hint="eastAsia" w:ascii="仿宋_GB2312" w:hAnsi="仿宋_GB2312" w:eastAsia="仿宋_GB2312" w:cs="仿宋_GB2312"/>
          <w:bCs/>
          <w:kern w:val="0"/>
          <w:sz w:val="32"/>
          <w:szCs w:val="32"/>
        </w:rPr>
        <w:t>二、机构设置及人员情况</w:t>
      </w:r>
      <w:r>
        <w:rPr>
          <w:rFonts w:hint="eastAsia" w:ascii="仿宋_GB2312" w:hAnsi="仿宋_GB2312" w:eastAsia="仿宋_GB2312" w:cs="仿宋_GB2312"/>
          <w:bCs/>
          <w:kern w:val="0"/>
          <w:sz w:val="32"/>
          <w:szCs w:val="32"/>
        </w:rPr>
        <w:fldChar w:fldCharType="end"/>
      </w:r>
    </w:p>
    <w:p>
      <w:pPr>
        <w:pStyle w:val="6"/>
        <w:tabs>
          <w:tab w:val="right" w:pos="8306"/>
        </w:tabs>
        <w:rPr>
          <w:rFonts w:ascii="仿宋_GB2312" w:hAnsi="仿宋_GB2312" w:eastAsia="仿宋_GB2312" w:cs="仿宋_GB2312"/>
          <w:b/>
          <w:bCs/>
          <w:sz w:val="32"/>
          <w:szCs w:val="32"/>
        </w:rPr>
      </w:pPr>
      <w:r>
        <w:fldChar w:fldCharType="begin"/>
      </w:r>
      <w:r>
        <w:instrText xml:space="preserve"> HYPERLINK \l "_Toc29374" </w:instrText>
      </w:r>
      <w:r>
        <w:fldChar w:fldCharType="separate"/>
      </w:r>
      <w:r>
        <w:rPr>
          <w:rFonts w:hint="eastAsia" w:ascii="仿宋_GB2312" w:hAnsi="仿宋_GB2312" w:eastAsia="仿宋_GB2312" w:cs="仿宋_GB2312"/>
          <w:b/>
          <w:bCs/>
          <w:sz w:val="32"/>
          <w:szCs w:val="32"/>
        </w:rPr>
        <w:t>第二部分 部门决算情况说明</w:t>
      </w:r>
      <w:r>
        <w:rPr>
          <w:rFonts w:hint="eastAsia" w:ascii="仿宋_GB2312" w:hAnsi="仿宋_GB2312" w:eastAsia="仿宋_GB2312" w:cs="仿宋_GB2312"/>
          <w:b/>
          <w:bCs/>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"_Toc25314" </w:instrText>
      </w:r>
      <w:r>
        <w:fldChar w:fldCharType="separate"/>
      </w:r>
      <w:r>
        <w:rPr>
          <w:rFonts w:hint="eastAsia" w:ascii="仿宋_GB2312" w:hAnsi="仿宋_GB2312" w:eastAsia="仿宋_GB2312" w:cs="仿宋_GB2312"/>
          <w:bCs/>
          <w:kern w:val="0"/>
          <w:sz w:val="32"/>
          <w:szCs w:val="32"/>
        </w:rPr>
        <w:t>一、收入支出决算总体情况说明</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"_Toc12142" </w:instrText>
      </w:r>
      <w:r>
        <w:fldChar w:fldCharType="separate"/>
      </w:r>
      <w:r>
        <w:rPr>
          <w:rFonts w:hint="eastAsia" w:ascii="仿宋_GB2312" w:hAnsi="仿宋_GB2312" w:eastAsia="仿宋_GB2312" w:cs="仿宋_GB2312"/>
          <w:bCs/>
          <w:kern w:val="0"/>
          <w:sz w:val="32"/>
          <w:szCs w:val="32"/>
        </w:rPr>
        <w:t>二、收入决算情况说明</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"_Toc13201" </w:instrText>
      </w:r>
      <w:r>
        <w:fldChar w:fldCharType="separate"/>
      </w:r>
      <w:r>
        <w:rPr>
          <w:rFonts w:hint="eastAsia" w:ascii="仿宋_GB2312" w:hAnsi="仿宋_GB2312" w:eastAsia="仿宋_GB2312" w:cs="仿宋_GB2312"/>
          <w:bCs/>
          <w:kern w:val="0"/>
          <w:sz w:val="32"/>
          <w:szCs w:val="32"/>
        </w:rPr>
        <w:t>三、支出决算情况说明</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"_Toc26564" </w:instrText>
      </w:r>
      <w:r>
        <w:fldChar w:fldCharType="separate"/>
      </w:r>
      <w:r>
        <w:rPr>
          <w:rFonts w:hint="eastAsia" w:ascii="仿宋_GB2312" w:hAnsi="仿宋_GB2312" w:eastAsia="仿宋_GB2312" w:cs="仿宋_GB2312"/>
          <w:bCs/>
          <w:kern w:val="0"/>
          <w:sz w:val="32"/>
          <w:szCs w:val="32"/>
        </w:rPr>
        <w:t>四、财政拨款收入支出决算总体情况说明</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"_Toc20360" </w:instrText>
      </w:r>
      <w:r>
        <w:fldChar w:fldCharType="separate"/>
      </w:r>
      <w:r>
        <w:rPr>
          <w:rFonts w:hint="eastAsia" w:ascii="仿宋_GB2312" w:hAnsi="仿宋_GB2312" w:eastAsia="仿宋_GB2312" w:cs="仿宋_GB2312"/>
          <w:bCs/>
          <w:kern w:val="0"/>
          <w:sz w:val="32"/>
          <w:szCs w:val="32"/>
        </w:rPr>
        <w:t>五、一般公共预算财政拨款支出决算情况说明</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"_Toc30870" </w:instrText>
      </w:r>
      <w:r>
        <w:fldChar w:fldCharType="separate"/>
      </w:r>
      <w:r>
        <w:rPr>
          <w:rFonts w:hint="eastAsia" w:ascii="仿宋_GB2312" w:hAnsi="仿宋_GB2312" w:eastAsia="仿宋_GB2312" w:cs="仿宋_GB2312"/>
          <w:bCs/>
          <w:kern w:val="0"/>
          <w:sz w:val="32"/>
          <w:szCs w:val="32"/>
        </w:rPr>
        <w:t>六、一般公共预算财政拨款基本支出决算情况说明</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"_Toc21518" </w:instrText>
      </w:r>
      <w:r>
        <w:fldChar w:fldCharType="separate"/>
      </w:r>
      <w:r>
        <w:rPr>
          <w:rFonts w:hint="eastAsia" w:ascii="仿宋_GB2312" w:hAnsi="仿宋_GB2312" w:eastAsia="仿宋_GB2312" w:cs="仿宋_GB2312"/>
          <w:bCs/>
          <w:kern w:val="0"/>
          <w:sz w:val="32"/>
          <w:szCs w:val="32"/>
        </w:rPr>
        <w:t>七、财政拨款“三公”经费支出决算情况说明</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"_Toc5810" </w:instrText>
      </w:r>
      <w:r>
        <w:fldChar w:fldCharType="separate"/>
      </w:r>
      <w:r>
        <w:rPr>
          <w:rFonts w:hint="eastAsia" w:ascii="仿宋_GB2312" w:hAnsi="仿宋_GB2312" w:eastAsia="仿宋_GB2312" w:cs="仿宋_GB2312"/>
          <w:bCs/>
          <w:kern w:val="0"/>
          <w:sz w:val="32"/>
          <w:szCs w:val="32"/>
        </w:rPr>
        <w:t>八、政府性基金预算财政拨款收入支出决算情况说明</w:t>
      </w:r>
      <w:r>
        <w:rPr>
          <w:rFonts w:hint="eastAsia" w:ascii="仿宋_GB2312" w:hAnsi="仿宋_GB2312" w:eastAsia="仿宋_GB2312" w:cs="仿宋_GB2312"/>
          <w:bCs/>
          <w:kern w:val="0"/>
          <w:sz w:val="32"/>
          <w:szCs w:val="32"/>
        </w:rPr>
        <w:fldChar w:fldCharType="end"/>
      </w:r>
    </w:p>
    <w:p>
      <w:r>
        <w:fldChar w:fldCharType="begin"/>
      </w:r>
      <w:r>
        <w:instrText xml:space="preserve"> HYPERLINK \l "_Toc5810" </w:instrText>
      </w:r>
      <w:r>
        <w:fldChar w:fldCharType="separate"/>
      </w:r>
      <w:r>
        <w:rPr>
          <w:rFonts w:hint="eastAsia" w:ascii="仿宋_GB2312" w:hAnsi="仿宋_GB2312" w:eastAsia="仿宋_GB2312" w:cs="仿宋_GB2312"/>
          <w:bCs/>
          <w:kern w:val="0"/>
          <w:sz w:val="32"/>
          <w:szCs w:val="32"/>
        </w:rPr>
        <w:t>九、国有资本经营预算财政拨款收入支出决算情况说明</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"_Toc1235" </w:instrText>
      </w:r>
      <w:r>
        <w:fldChar w:fldCharType="separate"/>
      </w:r>
      <w:r>
        <w:rPr>
          <w:rFonts w:hint="eastAsia" w:ascii="仿宋_GB2312" w:hAnsi="仿宋_GB2312" w:eastAsia="仿宋_GB2312" w:cs="仿宋_GB2312"/>
          <w:sz w:val="32"/>
          <w:szCs w:val="32"/>
        </w:rPr>
        <w:t>十</w:t>
      </w:r>
      <w:r>
        <w:rPr>
          <w:rFonts w:hint="eastAsia" w:ascii="仿宋_GB2312" w:hAnsi="仿宋_GB2312" w:eastAsia="仿宋_GB2312" w:cs="仿宋_GB2312"/>
          <w:bCs/>
          <w:kern w:val="0"/>
          <w:sz w:val="32"/>
          <w:szCs w:val="32"/>
        </w:rPr>
        <w:t>、其他重要事项的情况说明</w:t>
      </w:r>
      <w:r>
        <w:rPr>
          <w:rFonts w:hint="eastAsia" w:ascii="仿宋_GB2312" w:hAnsi="仿宋_GB2312" w:eastAsia="仿宋_GB2312" w:cs="仿宋_GB2312"/>
          <w:bCs/>
          <w:kern w:val="0"/>
          <w:sz w:val="32"/>
          <w:szCs w:val="32"/>
        </w:rPr>
        <w:fldChar w:fldCharType="end"/>
      </w:r>
    </w:p>
    <w:p>
      <w:pPr>
        <w:pStyle w:val="3"/>
        <w:tabs>
          <w:tab w:val="right" w:pos="8306"/>
        </w:tabs>
        <w:ind w:left="0" w:leftChars="0"/>
        <w:rPr>
          <w:rFonts w:ascii="仿宋_GB2312" w:hAnsi="仿宋_GB2312" w:eastAsia="仿宋_GB2312" w:cs="仿宋_GB2312"/>
          <w:sz w:val="32"/>
          <w:szCs w:val="32"/>
        </w:rPr>
      </w:pPr>
      <w:r>
        <w:fldChar w:fldCharType="begin"/>
      </w:r>
      <w:r>
        <w:instrText xml:space="preserve"> HYPERLINK \l "_Toc14519" </w:instrText>
      </w:r>
      <w:r>
        <w:fldChar w:fldCharType="separate"/>
      </w:r>
      <w:r>
        <w:rPr>
          <w:rFonts w:hint="eastAsia" w:ascii="仿宋_GB2312" w:hAnsi="仿宋_GB2312" w:eastAsia="仿宋_GB2312" w:cs="仿宋_GB2312"/>
          <w:sz w:val="32"/>
          <w:szCs w:val="32"/>
        </w:rPr>
        <w:t>（一）机关运行经费支出情况</w:t>
      </w:r>
      <w:r>
        <w:rPr>
          <w:rFonts w:hint="eastAsia" w:ascii="仿宋_GB2312" w:hAnsi="仿宋_GB2312" w:eastAsia="仿宋_GB2312" w:cs="仿宋_GB2312"/>
          <w:sz w:val="32"/>
          <w:szCs w:val="32"/>
        </w:rPr>
        <w:fldChar w:fldCharType="end"/>
      </w:r>
    </w:p>
    <w:p>
      <w:pPr>
        <w:pStyle w:val="3"/>
        <w:tabs>
          <w:tab w:val="right" w:pos="8306"/>
        </w:tabs>
        <w:ind w:left="0" w:leftChars="0"/>
        <w:rPr>
          <w:rFonts w:ascii="仿宋_GB2312" w:hAnsi="仿宋_GB2312" w:eastAsia="仿宋_GB2312" w:cs="仿宋_GB2312"/>
          <w:sz w:val="32"/>
          <w:szCs w:val="32"/>
        </w:rPr>
      </w:pPr>
      <w:r>
        <w:fldChar w:fldCharType="begin"/>
      </w:r>
      <w:r>
        <w:instrText xml:space="preserve"> HYPERLINK \l "_Toc227" </w:instrText>
      </w:r>
      <w:r>
        <w:fldChar w:fldCharType="separate"/>
      </w:r>
      <w:r>
        <w:rPr>
          <w:rFonts w:hint="eastAsia" w:ascii="仿宋_GB2312" w:hAnsi="仿宋_GB2312" w:eastAsia="仿宋_GB2312" w:cs="仿宋_GB2312"/>
          <w:sz w:val="32"/>
          <w:szCs w:val="32"/>
        </w:rPr>
        <w:t>（二）政府采购情况</w:t>
      </w:r>
      <w:r>
        <w:rPr>
          <w:rFonts w:hint="eastAsia" w:ascii="仿宋_GB2312" w:hAnsi="仿宋_GB2312" w:eastAsia="仿宋_GB2312" w:cs="仿宋_GB2312"/>
          <w:sz w:val="32"/>
          <w:szCs w:val="32"/>
        </w:rPr>
        <w:fldChar w:fldCharType="end"/>
      </w:r>
    </w:p>
    <w:p>
      <w:pPr>
        <w:pStyle w:val="3"/>
        <w:tabs>
          <w:tab w:val="right" w:pos="8306"/>
        </w:tabs>
        <w:ind w:left="0" w:leftChars="0"/>
        <w:rPr>
          <w:rFonts w:ascii="仿宋_GB2312" w:hAnsi="仿宋_GB2312" w:eastAsia="仿宋_GB2312" w:cs="仿宋_GB2312"/>
          <w:sz w:val="32"/>
          <w:szCs w:val="32"/>
        </w:rPr>
      </w:pPr>
      <w:r>
        <w:fldChar w:fldCharType="begin"/>
      </w:r>
      <w:r>
        <w:instrText xml:space="preserve"> HYPERLINK \l "_Toc8391" </w:instrText>
      </w:r>
      <w:r>
        <w:fldChar w:fldCharType="separate"/>
      </w:r>
      <w:r>
        <w:rPr>
          <w:rFonts w:hint="eastAsia" w:ascii="仿宋_GB2312" w:hAnsi="仿宋_GB2312" w:eastAsia="仿宋_GB2312" w:cs="仿宋_GB2312"/>
          <w:sz w:val="32"/>
          <w:szCs w:val="32"/>
        </w:rPr>
        <w:t>（三）国有资产占用情况说明</w:t>
      </w:r>
      <w:r>
        <w:rPr>
          <w:rFonts w:hint="eastAsia" w:ascii="仿宋_GB2312" w:hAnsi="仿宋_GB2312" w:eastAsia="仿宋_GB2312" w:cs="仿宋_GB2312"/>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"_Toc11283" </w:instrText>
      </w:r>
      <w:r>
        <w:fldChar w:fldCharType="separate"/>
      </w:r>
      <w:r>
        <w:rPr>
          <w:rFonts w:hint="eastAsia" w:ascii="仿宋_GB2312" w:hAnsi="仿宋_GB2312" w:eastAsia="仿宋_GB2312" w:cs="仿宋_GB2312"/>
          <w:bCs/>
          <w:kern w:val="0"/>
          <w:sz w:val="32"/>
          <w:szCs w:val="32"/>
        </w:rPr>
        <w:t>十一、预算绩效的情况说明</w:t>
      </w:r>
      <w:r>
        <w:rPr>
          <w:rFonts w:hint="eastAsia" w:ascii="仿宋_GB2312" w:hAnsi="仿宋_GB2312" w:eastAsia="仿宋_GB2312" w:cs="仿宋_GB2312"/>
          <w:bCs/>
          <w:kern w:val="0"/>
          <w:sz w:val="32"/>
          <w:szCs w:val="32"/>
        </w:rPr>
        <w:fldChar w:fldCharType="end"/>
      </w:r>
    </w:p>
    <w:p>
      <w:pPr>
        <w:pStyle w:val="6"/>
        <w:tabs>
          <w:tab w:val="right" w:pos="8306"/>
        </w:tabs>
        <w:rPr>
          <w:rFonts w:ascii="仿宋_GB2312" w:hAnsi="仿宋_GB2312" w:eastAsia="仿宋_GB2312" w:cs="仿宋_GB2312"/>
          <w:b/>
          <w:bCs/>
          <w:sz w:val="32"/>
          <w:szCs w:val="32"/>
        </w:rPr>
      </w:pPr>
      <w:r>
        <w:fldChar w:fldCharType="begin"/>
      </w:r>
      <w:r>
        <w:instrText xml:space="preserve"> HYPERLINK \l "_Toc3250" </w:instrText>
      </w:r>
      <w:r>
        <w:fldChar w:fldCharType="separate"/>
      </w:r>
      <w:r>
        <w:rPr>
          <w:rFonts w:hint="eastAsia" w:ascii="仿宋_GB2312" w:hAnsi="仿宋_GB2312" w:eastAsia="仿宋_GB2312" w:cs="仿宋_GB2312"/>
          <w:b/>
          <w:bCs/>
          <w:sz w:val="32"/>
          <w:szCs w:val="32"/>
        </w:rPr>
        <w:t>第三部分 专业名词解释</w:t>
      </w:r>
      <w:r>
        <w:rPr>
          <w:rFonts w:hint="eastAsia" w:ascii="仿宋_GB2312" w:hAnsi="仿宋_GB2312" w:eastAsia="仿宋_GB2312" w:cs="仿宋_GB2312"/>
          <w:b/>
          <w:bCs/>
          <w:sz w:val="32"/>
          <w:szCs w:val="32"/>
        </w:rPr>
        <w:fldChar w:fldCharType="end"/>
      </w:r>
    </w:p>
    <w:p>
      <w:pPr>
        <w:pStyle w:val="6"/>
        <w:tabs>
          <w:tab w:val="right" w:pos="8306"/>
        </w:tabs>
        <w:rPr>
          <w:rFonts w:ascii="仿宋_GB2312" w:hAnsi="仿宋_GB2312" w:eastAsia="仿宋_GB2312" w:cs="仿宋_GB2312"/>
          <w:b/>
          <w:bCs/>
          <w:sz w:val="32"/>
          <w:szCs w:val="32"/>
        </w:rPr>
      </w:pPr>
      <w:r>
        <w:fldChar w:fldCharType="begin"/>
      </w:r>
      <w:r>
        <w:instrText xml:space="preserve"> HYPERLINK \l "_Toc22784" </w:instrText>
      </w:r>
      <w:r>
        <w:fldChar w:fldCharType="separate"/>
      </w:r>
      <w:r>
        <w:rPr>
          <w:rFonts w:hint="eastAsia" w:ascii="仿宋_GB2312" w:hAnsi="仿宋_GB2312" w:eastAsia="仿宋_GB2312" w:cs="仿宋_GB2312"/>
          <w:b/>
          <w:bCs/>
          <w:sz w:val="32"/>
          <w:szCs w:val="32"/>
        </w:rPr>
        <w:t>第四部分 部门决算报表（见附表）</w:t>
      </w:r>
      <w:r>
        <w:rPr>
          <w:rFonts w:hint="eastAsia" w:ascii="仿宋_GB2312" w:hAnsi="仿宋_GB2312" w:eastAsia="仿宋_GB2312" w:cs="仿宋_GB2312"/>
          <w:b/>
          <w:bCs/>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"_Toc2183" </w:instrText>
      </w:r>
      <w:r>
        <w:fldChar w:fldCharType="separate"/>
      </w:r>
      <w:r>
        <w:rPr>
          <w:rFonts w:hint="eastAsia" w:ascii="仿宋_GB2312" w:hAnsi="仿宋_GB2312" w:eastAsia="仿宋_GB2312" w:cs="仿宋_GB2312"/>
          <w:bCs/>
          <w:kern w:val="0"/>
          <w:sz w:val="32"/>
          <w:szCs w:val="32"/>
        </w:rPr>
        <w:t>一、《收入支出决算总表》</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"_Toc24532" </w:instrText>
      </w:r>
      <w:r>
        <w:fldChar w:fldCharType="separate"/>
      </w:r>
      <w:r>
        <w:rPr>
          <w:rFonts w:hint="eastAsia" w:ascii="仿宋_GB2312" w:hAnsi="仿宋_GB2312" w:eastAsia="仿宋_GB2312" w:cs="仿宋_GB2312"/>
          <w:bCs/>
          <w:kern w:val="0"/>
          <w:sz w:val="32"/>
          <w:szCs w:val="32"/>
        </w:rPr>
        <w:t>二、《收入决算表》</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"_Toc32434" </w:instrText>
      </w:r>
      <w:r>
        <w:fldChar w:fldCharType="separate"/>
      </w:r>
      <w:r>
        <w:rPr>
          <w:rFonts w:hint="eastAsia" w:ascii="仿宋_GB2312" w:hAnsi="仿宋_GB2312" w:eastAsia="仿宋_GB2312" w:cs="仿宋_GB2312"/>
          <w:bCs/>
          <w:kern w:val="0"/>
          <w:sz w:val="32"/>
          <w:szCs w:val="32"/>
        </w:rPr>
        <w:t>三、《支出决算表》</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"_Toc28786" </w:instrText>
      </w:r>
      <w:r>
        <w:fldChar w:fldCharType="separate"/>
      </w:r>
      <w:r>
        <w:rPr>
          <w:rFonts w:hint="eastAsia" w:ascii="仿宋_GB2312" w:hAnsi="仿宋_GB2312" w:eastAsia="仿宋_GB2312" w:cs="仿宋_GB2312"/>
          <w:bCs/>
          <w:kern w:val="0"/>
          <w:sz w:val="32"/>
          <w:szCs w:val="32"/>
        </w:rPr>
        <w:t>四、《财政拨款收入支出决算总表》</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"_Toc14869" </w:instrText>
      </w:r>
      <w:r>
        <w:fldChar w:fldCharType="separate"/>
      </w:r>
      <w:r>
        <w:rPr>
          <w:rFonts w:hint="eastAsia" w:ascii="仿宋_GB2312" w:hAnsi="仿宋_GB2312" w:eastAsia="仿宋_GB2312" w:cs="仿宋_GB2312"/>
          <w:bCs/>
          <w:kern w:val="0"/>
          <w:sz w:val="32"/>
          <w:szCs w:val="32"/>
        </w:rPr>
        <w:t>五、《一般公共预算财政拨款支出决算表》</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"_Toc8884" </w:instrText>
      </w:r>
      <w:r>
        <w:fldChar w:fldCharType="separate"/>
      </w:r>
      <w:r>
        <w:rPr>
          <w:rFonts w:hint="eastAsia" w:ascii="仿宋_GB2312" w:hAnsi="仿宋_GB2312" w:eastAsia="仿宋_GB2312" w:cs="仿宋_GB2312"/>
          <w:bCs/>
          <w:kern w:val="0"/>
          <w:sz w:val="32"/>
          <w:szCs w:val="32"/>
        </w:rPr>
        <w:t>六、《一般公共预算财政拨款基本支出决算表》</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"_Toc29106" </w:instrText>
      </w:r>
      <w:r>
        <w:fldChar w:fldCharType="separate"/>
      </w:r>
      <w:r>
        <w:rPr>
          <w:rFonts w:hint="eastAsia" w:ascii="仿宋_GB2312" w:hAnsi="仿宋_GB2312" w:eastAsia="仿宋_GB2312" w:cs="仿宋_GB2312"/>
          <w:bCs/>
          <w:kern w:val="0"/>
          <w:sz w:val="32"/>
          <w:szCs w:val="32"/>
        </w:rPr>
        <w:t>七、《财政拨款“三公”经费支出决算表》</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bCs/>
          <w:kern w:val="0"/>
          <w:sz w:val="32"/>
          <w:szCs w:val="32"/>
        </w:rPr>
      </w:pPr>
      <w:r>
        <w:fldChar w:fldCharType="begin"/>
      </w:r>
      <w:r>
        <w:instrText xml:space="preserve"> HYPERLINK \l "_Toc7643" </w:instrText>
      </w:r>
      <w:r>
        <w:fldChar w:fldCharType="separate"/>
      </w:r>
      <w:r>
        <w:rPr>
          <w:rFonts w:hint="eastAsia" w:ascii="仿宋_GB2312" w:hAnsi="仿宋_GB2312" w:eastAsia="仿宋_GB2312" w:cs="仿宋_GB2312"/>
          <w:bCs/>
          <w:kern w:val="0"/>
          <w:sz w:val="32"/>
          <w:szCs w:val="32"/>
        </w:rPr>
        <w:t>八、《政府性基金预算财政拨款收入支出决算表》</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九、《国有资本经营预算财政拨款收入支出决算表》</w:t>
      </w:r>
    </w:p>
    <w:p>
      <w:r>
        <w:rPr>
          <w:rFonts w:hint="eastAsia" w:ascii="仿宋_GB2312" w:hAnsi="仿宋_GB2312" w:eastAsia="仿宋_GB2312" w:cs="仿宋_GB2312"/>
          <w:sz w:val="32"/>
          <w:szCs w:val="32"/>
        </w:rPr>
        <w:fldChar w:fldCharType="end"/>
      </w:r>
    </w:p>
    <w:p>
      <w:pPr>
        <w:ind w:firstLine="640" w:firstLineChars="200"/>
        <w:jc w:val="center"/>
        <w:outlineLvl w:val="0"/>
        <w:rPr>
          <w:rFonts w:ascii="黑体" w:hAnsi="黑体" w:eastAsia="黑体"/>
          <w:sz w:val="32"/>
          <w:szCs w:val="32"/>
        </w:rPr>
      </w:pPr>
      <w:r>
        <w:rPr>
          <w:rFonts w:hint="eastAsia" w:ascii="仿宋_GB2312" w:eastAsia="仿宋_GB2312"/>
          <w:sz w:val="32"/>
          <w:szCs w:val="32"/>
        </w:rPr>
        <w:br w:type="page"/>
      </w:r>
      <w:bookmarkStart w:id="0" w:name="_Toc24028"/>
      <w:bookmarkStart w:id="1" w:name="_Toc32314"/>
      <w:r>
        <w:rPr>
          <w:rFonts w:hint="eastAsia" w:ascii="黑体" w:hAnsi="黑体" w:eastAsia="黑体"/>
          <w:sz w:val="32"/>
          <w:szCs w:val="32"/>
        </w:rPr>
        <w:t>第一部分 单位概况</w:t>
      </w:r>
      <w:bookmarkEnd w:id="0"/>
      <w:bookmarkEnd w:id="1"/>
    </w:p>
    <w:p>
      <w:pPr>
        <w:ind w:firstLine="640" w:firstLineChars="200"/>
        <w:outlineLvl w:val="1"/>
        <w:rPr>
          <w:rFonts w:ascii="黑体" w:hAnsi="黑体" w:eastAsia="黑体" w:cs="宋体"/>
          <w:bCs/>
          <w:kern w:val="0"/>
          <w:sz w:val="32"/>
          <w:szCs w:val="32"/>
        </w:rPr>
      </w:pPr>
      <w:bookmarkStart w:id="2" w:name="_Toc30567"/>
      <w:bookmarkStart w:id="3" w:name="_Toc30738"/>
      <w:r>
        <w:rPr>
          <w:rFonts w:hint="eastAsia" w:ascii="黑体" w:hAnsi="黑体" w:eastAsia="黑体" w:cs="宋体"/>
          <w:bCs/>
          <w:kern w:val="0"/>
          <w:sz w:val="32"/>
          <w:szCs w:val="32"/>
        </w:rPr>
        <w:t>一、主要职能</w:t>
      </w:r>
      <w:bookmarkEnd w:id="2"/>
      <w:bookmarkEnd w:id="3"/>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ascii="仿宋_GB2312" w:eastAsia="仿宋_GB2312" w:cs="仿宋_GB2312"/>
          <w:kern w:val="0"/>
          <w:sz w:val="32"/>
          <w:szCs w:val="32"/>
        </w:rPr>
      </w:pPr>
      <w:r>
        <w:rPr>
          <w:rFonts w:hint="eastAsia" w:ascii="仿宋_GB2312" w:eastAsia="仿宋_GB2312" w:cs="仿宋_GB2312"/>
          <w:kern w:val="0"/>
          <w:sz w:val="32"/>
          <w:szCs w:val="32"/>
        </w:rPr>
        <w:t>乌鲁木齐市第九十一中学由乌鲁木齐市水磨沟区人民政府举办，主管部门是乌鲁木齐市水磨沟区教育局。</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ascii="仿宋_GB2312" w:eastAsia="仿宋_GB2312" w:cs="仿宋_GB2312"/>
          <w:kern w:val="0"/>
          <w:sz w:val="32"/>
          <w:szCs w:val="32"/>
        </w:rPr>
      </w:pPr>
      <w:r>
        <w:rPr>
          <w:rFonts w:hint="eastAsia" w:ascii="仿宋_GB2312" w:eastAsia="仿宋_GB2312" w:cs="仿宋_GB2312"/>
          <w:kern w:val="0"/>
          <w:sz w:val="32"/>
          <w:szCs w:val="32"/>
        </w:rPr>
        <w:t>学校为一所实施</w:t>
      </w:r>
      <w:r>
        <w:rPr>
          <w:rFonts w:ascii="仿宋_GB2312" w:eastAsia="仿宋_GB2312" w:cs="仿宋_GB2312"/>
          <w:kern w:val="0"/>
          <w:sz w:val="32"/>
          <w:szCs w:val="32"/>
        </w:rPr>
        <w:t>9</w:t>
      </w:r>
      <w:r>
        <w:rPr>
          <w:rFonts w:hint="eastAsia" w:ascii="仿宋_GB2312" w:eastAsia="仿宋_GB2312" w:cs="仿宋_GB2312"/>
          <w:kern w:val="0"/>
          <w:sz w:val="32"/>
          <w:szCs w:val="32"/>
        </w:rPr>
        <w:t>年制教育的公办全日制中小学。学校是非营利性教育事业单位，具有独立法人资格。认真贯彻落实党和国家的方针，政策；</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ascii="仿宋_GB2312" w:eastAsia="仿宋_GB2312" w:cs="仿宋_GB2312"/>
          <w:kern w:val="0"/>
          <w:sz w:val="32"/>
          <w:szCs w:val="32"/>
        </w:rPr>
      </w:pPr>
      <w:r>
        <w:rPr>
          <w:rFonts w:hint="eastAsia" w:ascii="仿宋_GB2312" w:eastAsia="仿宋_GB2312" w:cs="仿宋_GB2312"/>
          <w:kern w:val="0"/>
          <w:sz w:val="32"/>
          <w:szCs w:val="32"/>
        </w:rPr>
        <w:t>加强学校的科学化管理，制定和健全各项规章制度，规范办学行为，培养良好校风，逐步实现管理决策的科学化；负责教师队伍的建设工作，领导和组织学校的思想政治工作；</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ascii="仿宋_GB2312" w:eastAsia="仿宋_GB2312" w:cs="仿宋_GB2312"/>
          <w:kern w:val="0"/>
          <w:sz w:val="32"/>
          <w:szCs w:val="32"/>
        </w:rPr>
      </w:pPr>
      <w:r>
        <w:rPr>
          <w:rFonts w:hint="eastAsia" w:ascii="仿宋_GB2312" w:eastAsia="仿宋_GB2312" w:cs="仿宋_GB2312"/>
          <w:kern w:val="0"/>
          <w:sz w:val="32"/>
          <w:szCs w:val="32"/>
        </w:rPr>
        <w:t>负责领导和组织学校的教学工作；负责教学督导与质量评价，定期检查教学进度和教学质量，检查学习计划，实习计划和教师授课计划实施情况等。</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eastAsia="黑体"/>
          <w:sz w:val="32"/>
          <w:szCs w:val="32"/>
          <w:lang w:val="zh-CN"/>
        </w:rPr>
      </w:pPr>
      <w:r>
        <w:rPr>
          <w:rFonts w:hint="eastAsia" w:ascii="仿宋_GB2312" w:eastAsia="仿宋_GB2312" w:cs="仿宋_GB2312"/>
          <w:kern w:val="0"/>
          <w:sz w:val="32"/>
          <w:szCs w:val="32"/>
        </w:rPr>
        <w:t>组织教师经验交流和各种教学基本功竞赛，促进教师队伍建设，提出教学质量评价，并及时反馈信息。实施小学义务教育，确保普及九年义务教育工作成果，促进基础教育发展。</w:t>
      </w:r>
    </w:p>
    <w:p>
      <w:pPr>
        <w:ind w:firstLine="640" w:firstLineChars="200"/>
        <w:outlineLvl w:val="1"/>
        <w:rPr>
          <w:rFonts w:ascii="黑体" w:hAnsi="黑体" w:eastAsia="黑体" w:cs="宋体"/>
          <w:bCs/>
          <w:kern w:val="0"/>
          <w:sz w:val="32"/>
          <w:szCs w:val="32"/>
        </w:rPr>
      </w:pPr>
      <w:bookmarkStart w:id="4" w:name="_Toc31238"/>
      <w:bookmarkStart w:id="5" w:name="_Toc2151"/>
      <w:r>
        <w:rPr>
          <w:rFonts w:hint="eastAsia" w:ascii="黑体" w:hAnsi="黑体" w:eastAsia="黑体" w:cs="宋体"/>
          <w:bCs/>
          <w:kern w:val="0"/>
          <w:sz w:val="32"/>
          <w:szCs w:val="32"/>
        </w:rPr>
        <w:t>二、机构设置及</w:t>
      </w:r>
      <w:bookmarkEnd w:id="4"/>
      <w:r>
        <w:rPr>
          <w:rFonts w:hint="eastAsia" w:ascii="黑体" w:hAnsi="黑体" w:eastAsia="黑体" w:cs="宋体"/>
          <w:bCs/>
          <w:kern w:val="0"/>
          <w:sz w:val="32"/>
          <w:szCs w:val="32"/>
        </w:rPr>
        <w:t>人员情况</w:t>
      </w:r>
      <w:bookmarkEnd w:id="5"/>
    </w:p>
    <w:p>
      <w:pPr>
        <w:ind w:firstLine="640" w:firstLineChars="200"/>
        <w:rPr>
          <w:rFonts w:ascii="仿宋_GB2312" w:eastAsia="仿宋_GB2312"/>
          <w:sz w:val="32"/>
          <w:szCs w:val="32"/>
        </w:rPr>
      </w:pPr>
      <w:r>
        <w:rPr>
          <w:rFonts w:hint="eastAsia" w:ascii="仿宋_GB2312" w:eastAsia="仿宋_GB2312" w:cs="仿宋_GB2312"/>
          <w:kern w:val="0"/>
          <w:sz w:val="32"/>
          <w:szCs w:val="32"/>
        </w:rPr>
        <w:t>乌鲁木齐市第九十一中学</w:t>
      </w:r>
      <w:r>
        <w:rPr>
          <w:rFonts w:hint="eastAsia" w:ascii="仿宋_GB2312" w:eastAsia="仿宋_GB2312"/>
          <w:sz w:val="32"/>
          <w:szCs w:val="32"/>
        </w:rPr>
        <w:t>2022年度，实有人数82人，其中：在职人员67人，离休人员0人，退休人员15人。</w:t>
      </w:r>
    </w:p>
    <w:p>
      <w:pPr>
        <w:ind w:firstLine="640" w:firstLineChars="200"/>
        <w:rPr>
          <w:rFonts w:ascii="仿宋_GB2312" w:hAnsi="宋体" w:eastAsia="仿宋_GB2312" w:cs="宋体"/>
          <w:kern w:val="0"/>
          <w:sz w:val="32"/>
          <w:szCs w:val="32"/>
        </w:rPr>
      </w:pPr>
      <w:r>
        <w:rPr>
          <w:rFonts w:hint="eastAsia" w:ascii="仿宋_GB2312" w:eastAsia="仿宋_GB2312"/>
          <w:sz w:val="32"/>
          <w:szCs w:val="32"/>
        </w:rPr>
        <w:t>从部门决算单位构成看，</w:t>
      </w:r>
      <w:r>
        <w:rPr>
          <w:rFonts w:hint="eastAsia" w:ascii="仿宋_GB2312" w:eastAsia="仿宋_GB2312" w:cs="仿宋_GB2312"/>
          <w:kern w:val="0"/>
          <w:sz w:val="32"/>
          <w:szCs w:val="32"/>
        </w:rPr>
        <w:t>乌鲁木齐市第九十一中学</w:t>
      </w:r>
      <w:r>
        <w:rPr>
          <w:rFonts w:hint="eastAsia" w:ascii="仿宋_GB2312" w:eastAsia="仿宋_GB2312"/>
          <w:sz w:val="32"/>
          <w:szCs w:val="32"/>
        </w:rPr>
        <w:t>部门决算包括：</w:t>
      </w:r>
      <w:r>
        <w:rPr>
          <w:rFonts w:hint="eastAsia" w:ascii="仿宋_GB2312" w:eastAsia="仿宋_GB2312" w:cs="仿宋_GB2312"/>
          <w:kern w:val="0"/>
          <w:sz w:val="32"/>
          <w:szCs w:val="32"/>
        </w:rPr>
        <w:t>乌鲁木齐市第九十一中学</w:t>
      </w:r>
      <w:r>
        <w:rPr>
          <w:rFonts w:hint="eastAsia" w:ascii="仿宋_GB2312" w:eastAsia="仿宋_GB2312"/>
          <w:sz w:val="32"/>
          <w:szCs w:val="32"/>
        </w:rPr>
        <w:t>决算。</w:t>
      </w:r>
      <w:r>
        <w:rPr>
          <w:rFonts w:hint="eastAsia" w:ascii="仿宋_GB2312" w:hAnsi="黑体" w:eastAsia="仿宋_GB2312" w:cs="宋体"/>
          <w:bCs/>
          <w:kern w:val="0"/>
          <w:sz w:val="32"/>
          <w:szCs w:val="32"/>
        </w:rPr>
        <w:t>单位无下属预算单位，下设</w:t>
      </w:r>
      <w:r>
        <w:rPr>
          <w:rFonts w:hint="eastAsia" w:ascii="仿宋_GB2312" w:eastAsia="仿宋_GB2312"/>
          <w:sz w:val="32"/>
          <w:szCs w:val="32"/>
        </w:rPr>
        <w:t>6</w:t>
      </w:r>
      <w:r>
        <w:rPr>
          <w:rFonts w:hint="eastAsia" w:ascii="仿宋_GB2312" w:hAnsi="黑体" w:eastAsia="仿宋_GB2312" w:cs="宋体"/>
          <w:bCs/>
          <w:kern w:val="0"/>
          <w:sz w:val="32"/>
          <w:szCs w:val="32"/>
        </w:rPr>
        <w:t>个处室，分别是：</w:t>
      </w:r>
      <w:r>
        <w:rPr>
          <w:rFonts w:hint="eastAsia" w:ascii="仿宋_GB2312" w:eastAsia="仿宋_GB2312" w:cs="仿宋_GB2312"/>
          <w:kern w:val="0"/>
          <w:sz w:val="32"/>
          <w:szCs w:val="32"/>
          <w:lang w:val="zh-CN"/>
        </w:rPr>
        <w:t>党政办公室、德育处、教务处、教科研室、总务办公室，保卫科</w:t>
      </w:r>
      <w:r>
        <w:rPr>
          <w:rFonts w:hint="eastAsia" w:ascii="仿宋_GB2312" w:hAnsi="宋体" w:eastAsia="仿宋_GB2312" w:cs="宋体"/>
          <w:kern w:val="0"/>
          <w:sz w:val="32"/>
          <w:szCs w:val="32"/>
        </w:rPr>
        <w:t>。</w:t>
      </w:r>
    </w:p>
    <w:p>
      <w:pPr>
        <w:ind w:firstLine="640" w:firstLineChars="200"/>
        <w:jc w:val="center"/>
        <w:outlineLvl w:val="0"/>
        <w:rPr>
          <w:rFonts w:ascii="黑体" w:hAnsi="黑体" w:eastAsia="黑体"/>
          <w:sz w:val="32"/>
          <w:szCs w:val="32"/>
        </w:rPr>
      </w:pPr>
      <w:bookmarkStart w:id="6" w:name="_Toc29374"/>
      <w:bookmarkStart w:id="7" w:name="_Toc3092"/>
      <w:r>
        <w:rPr>
          <w:rFonts w:hint="eastAsia" w:ascii="黑体" w:hAnsi="黑体" w:eastAsia="黑体"/>
          <w:sz w:val="32"/>
          <w:szCs w:val="32"/>
        </w:rPr>
        <w:br w:type="page"/>
      </w:r>
      <w:r>
        <w:rPr>
          <w:rFonts w:hint="eastAsia" w:ascii="黑体" w:hAnsi="黑体" w:eastAsia="黑体"/>
          <w:sz w:val="32"/>
          <w:szCs w:val="32"/>
        </w:rPr>
        <w:t>第二部分 部门决算情况说明</w:t>
      </w:r>
      <w:bookmarkEnd w:id="6"/>
      <w:bookmarkEnd w:id="7"/>
    </w:p>
    <w:p>
      <w:pPr>
        <w:ind w:firstLine="640" w:firstLineChars="200"/>
        <w:outlineLvl w:val="1"/>
        <w:rPr>
          <w:rFonts w:ascii="黑体" w:hAnsi="黑体" w:eastAsia="黑体" w:cs="宋体"/>
          <w:bCs/>
          <w:kern w:val="0"/>
          <w:sz w:val="32"/>
          <w:szCs w:val="32"/>
        </w:rPr>
      </w:pPr>
      <w:bookmarkStart w:id="8" w:name="_Toc25314"/>
      <w:bookmarkStart w:id="9" w:name="_Toc12566"/>
      <w:r>
        <w:rPr>
          <w:rFonts w:hint="eastAsia" w:ascii="黑体" w:hAnsi="黑体" w:eastAsia="黑体" w:cs="宋体"/>
          <w:bCs/>
          <w:kern w:val="0"/>
          <w:sz w:val="32"/>
          <w:szCs w:val="32"/>
        </w:rPr>
        <w:t>一、收入支出决算总体情况说明</w:t>
      </w:r>
      <w:bookmarkEnd w:id="8"/>
      <w:bookmarkEnd w:id="9"/>
    </w:p>
    <w:p>
      <w:pPr>
        <w:ind w:firstLine="640" w:firstLineChars="200"/>
        <w:rPr>
          <w:rFonts w:ascii="仿宋_GB2312" w:eastAsia="仿宋_GB2312"/>
          <w:sz w:val="32"/>
          <w:szCs w:val="32"/>
        </w:rPr>
      </w:pPr>
      <w:r>
        <w:rPr>
          <w:rFonts w:hint="eastAsia" w:ascii="仿宋_GB2312" w:eastAsia="仿宋_GB2312"/>
          <w:sz w:val="32"/>
          <w:szCs w:val="32"/>
        </w:rPr>
        <w:t>2022年度收入总计</w:t>
      </w:r>
      <w:r>
        <w:rPr>
          <w:rFonts w:ascii="仿宋_GB2312" w:eastAsia="仿宋_GB2312"/>
          <w:sz w:val="32"/>
          <w:szCs w:val="32"/>
        </w:rPr>
        <w:t>1309.86</w:t>
      </w:r>
      <w:r>
        <w:rPr>
          <w:rFonts w:hint="eastAsia" w:ascii="仿宋_GB2312" w:eastAsia="仿宋_GB2312"/>
          <w:sz w:val="32"/>
          <w:szCs w:val="32"/>
        </w:rPr>
        <w:t>万元，其中：本年收入合计</w:t>
      </w:r>
      <w:r>
        <w:rPr>
          <w:rFonts w:ascii="仿宋_GB2312" w:eastAsia="仿宋_GB2312"/>
          <w:sz w:val="32"/>
          <w:szCs w:val="32"/>
        </w:rPr>
        <w:t>1240.96</w:t>
      </w:r>
      <w:r>
        <w:rPr>
          <w:rFonts w:hint="eastAsia" w:ascii="仿宋_GB2312" w:eastAsia="仿宋_GB2312"/>
          <w:sz w:val="32"/>
          <w:szCs w:val="32"/>
        </w:rPr>
        <w:t>万元，使用非财政拨款结余0万元，年初结转和结余</w:t>
      </w:r>
      <w:r>
        <w:rPr>
          <w:rFonts w:ascii="仿宋_GB2312" w:eastAsia="仿宋_GB2312"/>
          <w:sz w:val="32"/>
          <w:szCs w:val="32"/>
        </w:rPr>
        <w:t>68.9</w:t>
      </w:r>
      <w:r>
        <w:rPr>
          <w:rFonts w:hint="eastAsia" w:ascii="仿宋_GB2312" w:eastAsia="仿宋_GB2312"/>
          <w:sz w:val="32"/>
          <w:szCs w:val="32"/>
        </w:rPr>
        <w:t>万元。收入总计与上年相比，减少161.36万元，下降10.97%，主要原因是，2022年临时聘用人员经费调为预拨经费，学生人数减少，公用经费减少。</w:t>
      </w:r>
    </w:p>
    <w:p>
      <w:pPr>
        <w:ind w:firstLine="640" w:firstLineChars="200"/>
        <w:rPr>
          <w:rFonts w:ascii="仿宋_GB2312" w:eastAsia="仿宋_GB2312"/>
          <w:sz w:val="32"/>
          <w:szCs w:val="32"/>
        </w:rPr>
      </w:pPr>
      <w:r>
        <w:rPr>
          <w:rFonts w:hint="eastAsia" w:ascii="仿宋_GB2312" w:eastAsia="仿宋_GB2312"/>
          <w:sz w:val="32"/>
          <w:szCs w:val="32"/>
        </w:rPr>
        <w:t>本年支出总计</w:t>
      </w:r>
      <w:r>
        <w:rPr>
          <w:rFonts w:ascii="仿宋_GB2312" w:eastAsia="仿宋_GB2312"/>
          <w:sz w:val="32"/>
          <w:szCs w:val="32"/>
        </w:rPr>
        <w:t>1309.86</w:t>
      </w:r>
      <w:r>
        <w:rPr>
          <w:rFonts w:hint="eastAsia" w:ascii="仿宋_GB2312" w:eastAsia="仿宋_GB2312"/>
          <w:sz w:val="32"/>
          <w:szCs w:val="32"/>
        </w:rPr>
        <w:t>万元，其中：本年支出合计</w:t>
      </w:r>
      <w:r>
        <w:rPr>
          <w:rFonts w:ascii="仿宋_GB2312" w:eastAsia="仿宋_GB2312"/>
          <w:sz w:val="32"/>
          <w:szCs w:val="32"/>
        </w:rPr>
        <w:t>1278.52</w:t>
      </w:r>
      <w:r>
        <w:rPr>
          <w:rFonts w:hint="eastAsia" w:ascii="仿宋_GB2312" w:eastAsia="仿宋_GB2312"/>
          <w:sz w:val="32"/>
          <w:szCs w:val="32"/>
        </w:rPr>
        <w:t>万元，结余分配0万元，年末结转和结余</w:t>
      </w:r>
      <w:r>
        <w:rPr>
          <w:rFonts w:ascii="仿宋_GB2312" w:eastAsia="仿宋_GB2312"/>
          <w:sz w:val="32"/>
          <w:szCs w:val="32"/>
        </w:rPr>
        <w:t>31.34</w:t>
      </w:r>
      <w:r>
        <w:rPr>
          <w:rFonts w:hint="eastAsia" w:ascii="仿宋_GB2312" w:eastAsia="仿宋_GB2312"/>
          <w:sz w:val="32"/>
          <w:szCs w:val="32"/>
        </w:rPr>
        <w:t>万元。支出总计与上年相比，减少161.36万元，下降10.97%，主要原因是：2022年临时聘用人员经费调为预拨经费，学生人数减少，公用经费拨款减少，支出减少。</w:t>
      </w:r>
    </w:p>
    <w:p>
      <w:pPr>
        <w:ind w:firstLine="640" w:firstLineChars="200"/>
        <w:outlineLvl w:val="1"/>
        <w:rPr>
          <w:rFonts w:ascii="黑体" w:hAnsi="黑体" w:eastAsia="黑体" w:cs="宋体"/>
          <w:bCs/>
          <w:kern w:val="0"/>
          <w:sz w:val="32"/>
          <w:szCs w:val="32"/>
        </w:rPr>
      </w:pPr>
      <w:bookmarkStart w:id="10" w:name="_Toc1979"/>
      <w:bookmarkStart w:id="11" w:name="_Toc12142"/>
      <w:r>
        <w:rPr>
          <w:rFonts w:hint="eastAsia" w:ascii="黑体" w:hAnsi="黑体" w:eastAsia="黑体" w:cs="宋体"/>
          <w:bCs/>
          <w:kern w:val="0"/>
          <w:sz w:val="32"/>
          <w:szCs w:val="32"/>
        </w:rPr>
        <w:t>二、收入决算情况说明</w:t>
      </w:r>
      <w:bookmarkEnd w:id="10"/>
      <w:bookmarkEnd w:id="11"/>
    </w:p>
    <w:p>
      <w:pPr>
        <w:ind w:firstLine="640" w:firstLineChars="200"/>
        <w:rPr>
          <w:rFonts w:ascii="仿宋_GB2312" w:eastAsia="仿宋_GB2312"/>
          <w:sz w:val="32"/>
          <w:szCs w:val="32"/>
        </w:rPr>
      </w:pPr>
      <w:r>
        <w:rPr>
          <w:rFonts w:hint="eastAsia" w:ascii="仿宋_GB2312" w:eastAsia="仿宋_GB2312"/>
          <w:sz w:val="32"/>
          <w:szCs w:val="32"/>
        </w:rPr>
        <w:t>2022年度本年收入</w:t>
      </w:r>
      <w:r>
        <w:rPr>
          <w:rFonts w:ascii="仿宋_GB2312" w:eastAsia="仿宋_GB2312"/>
          <w:sz w:val="32"/>
          <w:szCs w:val="32"/>
        </w:rPr>
        <w:t>1240.96</w:t>
      </w:r>
      <w:r>
        <w:rPr>
          <w:rFonts w:hint="eastAsia" w:ascii="仿宋_GB2312" w:eastAsia="仿宋_GB2312"/>
          <w:sz w:val="32"/>
          <w:szCs w:val="32"/>
        </w:rPr>
        <w:t>万元，其中：财政拨款收入</w:t>
      </w:r>
      <w:r>
        <w:rPr>
          <w:rFonts w:ascii="仿宋_GB2312" w:eastAsia="仿宋_GB2312"/>
          <w:sz w:val="32"/>
          <w:szCs w:val="32"/>
        </w:rPr>
        <w:t>1166.45</w:t>
      </w:r>
      <w:r>
        <w:rPr>
          <w:rFonts w:hint="eastAsia" w:ascii="仿宋_GB2312" w:eastAsia="仿宋_GB2312"/>
          <w:sz w:val="32"/>
          <w:szCs w:val="32"/>
        </w:rPr>
        <w:t>万元，占94</w:t>
      </w:r>
      <w:r>
        <w:rPr>
          <w:rFonts w:hint="eastAsia" w:ascii="仿宋_GB2312" w:eastAsia="仿宋_GB2312"/>
          <w:sz w:val="32"/>
          <w:szCs w:val="32"/>
          <w:lang w:val="en-US" w:eastAsia="zh-CN"/>
        </w:rPr>
        <w:t>.00</w:t>
      </w:r>
      <w:r>
        <w:rPr>
          <w:rFonts w:hint="eastAsia" w:ascii="仿宋_GB2312" w:eastAsia="仿宋_GB2312"/>
          <w:sz w:val="32"/>
          <w:szCs w:val="32"/>
        </w:rPr>
        <w:t>%；上级补助收入0万元，占0%；事业收入0万元，占0%；经营收入0万元，占0%；附属单位上缴收入0万元，占0%；其他收入</w:t>
      </w:r>
      <w:r>
        <w:rPr>
          <w:rFonts w:ascii="仿宋_GB2312" w:eastAsia="仿宋_GB2312"/>
          <w:sz w:val="32"/>
          <w:szCs w:val="32"/>
        </w:rPr>
        <w:t>74.51</w:t>
      </w:r>
      <w:r>
        <w:rPr>
          <w:rFonts w:hint="eastAsia" w:ascii="仿宋_GB2312" w:eastAsia="仿宋_GB2312"/>
          <w:sz w:val="32"/>
          <w:szCs w:val="32"/>
        </w:rPr>
        <w:t>万元，占6</w:t>
      </w:r>
      <w:r>
        <w:rPr>
          <w:rFonts w:hint="eastAsia" w:ascii="仿宋_GB2312" w:eastAsia="仿宋_GB2312"/>
          <w:sz w:val="32"/>
          <w:szCs w:val="32"/>
          <w:lang w:val="en-US" w:eastAsia="zh-CN"/>
        </w:rPr>
        <w:t>.00</w:t>
      </w:r>
      <w:r>
        <w:rPr>
          <w:rFonts w:hint="eastAsia" w:ascii="仿宋_GB2312" w:eastAsia="仿宋_GB2312"/>
          <w:sz w:val="32"/>
          <w:szCs w:val="32"/>
        </w:rPr>
        <w:t>%。</w:t>
      </w:r>
    </w:p>
    <w:p>
      <w:pPr>
        <w:ind w:firstLine="640" w:firstLineChars="200"/>
        <w:outlineLvl w:val="1"/>
        <w:rPr>
          <w:rFonts w:ascii="黑体" w:hAnsi="黑体" w:eastAsia="黑体" w:cs="宋体"/>
          <w:bCs/>
          <w:kern w:val="0"/>
          <w:sz w:val="32"/>
          <w:szCs w:val="32"/>
        </w:rPr>
      </w:pPr>
      <w:bookmarkStart w:id="12" w:name="_Toc27961"/>
      <w:bookmarkStart w:id="13" w:name="_Toc13201"/>
      <w:r>
        <w:rPr>
          <w:rFonts w:hint="eastAsia" w:ascii="黑体" w:hAnsi="黑体" w:eastAsia="黑体" w:cs="宋体"/>
          <w:bCs/>
          <w:kern w:val="0"/>
          <w:sz w:val="32"/>
          <w:szCs w:val="32"/>
        </w:rPr>
        <w:t>三、支出决算情况说明</w:t>
      </w:r>
      <w:bookmarkEnd w:id="12"/>
      <w:bookmarkEnd w:id="13"/>
    </w:p>
    <w:p>
      <w:pPr>
        <w:ind w:firstLine="640" w:firstLineChars="200"/>
        <w:rPr>
          <w:rFonts w:ascii="仿宋_GB2312" w:eastAsia="仿宋_GB2312"/>
          <w:sz w:val="32"/>
          <w:szCs w:val="32"/>
        </w:rPr>
      </w:pPr>
      <w:r>
        <w:rPr>
          <w:rFonts w:hint="eastAsia" w:ascii="仿宋_GB2312" w:eastAsia="仿宋_GB2312"/>
          <w:sz w:val="32"/>
          <w:szCs w:val="32"/>
        </w:rPr>
        <w:t>2022年度本年支出</w:t>
      </w:r>
      <w:r>
        <w:rPr>
          <w:rFonts w:ascii="仿宋_GB2312" w:eastAsia="仿宋_GB2312"/>
          <w:sz w:val="32"/>
          <w:szCs w:val="32"/>
        </w:rPr>
        <w:t>1278.52</w:t>
      </w:r>
      <w:r>
        <w:rPr>
          <w:rFonts w:hint="eastAsia" w:ascii="仿宋_GB2312" w:eastAsia="仿宋_GB2312"/>
          <w:sz w:val="32"/>
          <w:szCs w:val="32"/>
        </w:rPr>
        <w:t>万元，其中：基本支出</w:t>
      </w:r>
      <w:r>
        <w:rPr>
          <w:rFonts w:ascii="仿宋_GB2312" w:eastAsia="仿宋_GB2312"/>
          <w:sz w:val="32"/>
          <w:szCs w:val="32"/>
        </w:rPr>
        <w:t>1115.59</w:t>
      </w:r>
      <w:r>
        <w:rPr>
          <w:rFonts w:hint="eastAsia" w:ascii="仿宋_GB2312" w:eastAsia="仿宋_GB2312"/>
          <w:sz w:val="32"/>
          <w:szCs w:val="32"/>
        </w:rPr>
        <w:t>万元，占87.26%；项目支出</w:t>
      </w:r>
      <w:r>
        <w:rPr>
          <w:rFonts w:ascii="仿宋_GB2312" w:eastAsia="仿宋_GB2312"/>
          <w:sz w:val="32"/>
          <w:szCs w:val="32"/>
        </w:rPr>
        <w:t>162.93</w:t>
      </w:r>
      <w:r>
        <w:rPr>
          <w:rFonts w:hint="eastAsia" w:ascii="仿宋_GB2312" w:eastAsia="仿宋_GB2312"/>
          <w:sz w:val="32"/>
          <w:szCs w:val="32"/>
        </w:rPr>
        <w:t>万元，占12.74%；上缴上级支出0万元，占0%；经营支出0万元，占0%；对附属单位补助支出0万元，占0%。</w:t>
      </w:r>
    </w:p>
    <w:p>
      <w:pPr>
        <w:ind w:firstLine="640" w:firstLineChars="200"/>
        <w:outlineLvl w:val="1"/>
        <w:rPr>
          <w:rFonts w:ascii="黑体" w:hAnsi="黑体" w:eastAsia="黑体" w:cs="宋体"/>
          <w:bCs/>
          <w:kern w:val="0"/>
          <w:sz w:val="32"/>
          <w:szCs w:val="32"/>
        </w:rPr>
      </w:pPr>
      <w:bookmarkStart w:id="14" w:name="_Toc26564"/>
      <w:bookmarkStart w:id="15" w:name="_Toc4393"/>
      <w:r>
        <w:rPr>
          <w:rFonts w:hint="eastAsia" w:ascii="黑体" w:hAnsi="黑体" w:eastAsia="黑体" w:cs="宋体"/>
          <w:bCs/>
          <w:kern w:val="0"/>
          <w:sz w:val="32"/>
          <w:szCs w:val="32"/>
        </w:rPr>
        <w:t>四、财政拨款收入支出决算总体情况说明</w:t>
      </w:r>
      <w:bookmarkEnd w:id="14"/>
      <w:bookmarkEnd w:id="15"/>
    </w:p>
    <w:p>
      <w:pPr>
        <w:ind w:firstLine="640" w:firstLineChars="200"/>
        <w:rPr>
          <w:rFonts w:ascii="仿宋_GB2312" w:eastAsia="仿宋_GB2312"/>
          <w:sz w:val="32"/>
          <w:szCs w:val="32"/>
        </w:rPr>
      </w:pPr>
      <w:r>
        <w:rPr>
          <w:rFonts w:hint="eastAsia" w:ascii="仿宋_GB2312" w:eastAsia="仿宋_GB2312"/>
          <w:sz w:val="32"/>
          <w:szCs w:val="32"/>
        </w:rPr>
        <w:t>2022年度财政拨款收入总计</w:t>
      </w:r>
      <w:r>
        <w:rPr>
          <w:rFonts w:ascii="仿宋_GB2312" w:eastAsia="仿宋_GB2312"/>
          <w:sz w:val="32"/>
          <w:szCs w:val="32"/>
        </w:rPr>
        <w:t>1211.05</w:t>
      </w:r>
      <w:r>
        <w:rPr>
          <w:rFonts w:hint="eastAsia" w:ascii="仿宋_GB2312" w:eastAsia="仿宋_GB2312"/>
          <w:sz w:val="32"/>
          <w:szCs w:val="32"/>
        </w:rPr>
        <w:t>万元，其中：年初财政拨款结转和结余</w:t>
      </w:r>
      <w:r>
        <w:rPr>
          <w:rFonts w:ascii="仿宋_GB2312" w:eastAsia="仿宋_GB2312"/>
          <w:sz w:val="32"/>
          <w:szCs w:val="32"/>
        </w:rPr>
        <w:t>44.6</w:t>
      </w:r>
      <w:r>
        <w:rPr>
          <w:rFonts w:hint="eastAsia" w:ascii="仿宋_GB2312" w:eastAsia="仿宋_GB2312"/>
          <w:sz w:val="32"/>
          <w:szCs w:val="32"/>
        </w:rPr>
        <w:t>万元，财政拨款本年收入</w:t>
      </w:r>
      <w:r>
        <w:rPr>
          <w:rFonts w:ascii="仿宋_GB2312" w:eastAsia="仿宋_GB2312"/>
          <w:sz w:val="32"/>
          <w:szCs w:val="32"/>
        </w:rPr>
        <w:t>1166.45</w:t>
      </w:r>
      <w:r>
        <w:rPr>
          <w:rFonts w:hint="eastAsia" w:ascii="仿宋_GB2312" w:eastAsia="仿宋_GB2312"/>
          <w:sz w:val="32"/>
          <w:szCs w:val="32"/>
        </w:rPr>
        <w:t>万元。财政拨款收入总计与上年相比，减少208.12万元，下降14.66%，主要原因是：2022年临时聘用人员经费调为预拨经费，学生人数减少，公用经费减少。</w:t>
      </w:r>
    </w:p>
    <w:p>
      <w:pPr>
        <w:ind w:firstLine="640" w:firstLineChars="200"/>
        <w:rPr>
          <w:rFonts w:ascii="仿宋_GB2312" w:eastAsia="仿宋_GB2312"/>
          <w:sz w:val="32"/>
          <w:szCs w:val="32"/>
        </w:rPr>
      </w:pPr>
      <w:r>
        <w:rPr>
          <w:rFonts w:hint="eastAsia" w:ascii="仿宋_GB2312" w:eastAsia="仿宋_GB2312"/>
          <w:sz w:val="32"/>
          <w:szCs w:val="32"/>
        </w:rPr>
        <w:t>财政拨款支出总计</w:t>
      </w:r>
      <w:r>
        <w:rPr>
          <w:rFonts w:ascii="仿宋_GB2312" w:eastAsia="仿宋_GB2312"/>
          <w:sz w:val="32"/>
          <w:szCs w:val="32"/>
        </w:rPr>
        <w:t>1211.05</w:t>
      </w:r>
      <w:r>
        <w:rPr>
          <w:rFonts w:hint="eastAsia" w:ascii="仿宋_GB2312" w:eastAsia="仿宋_GB2312"/>
          <w:sz w:val="32"/>
          <w:szCs w:val="32"/>
        </w:rPr>
        <w:t>万元，其中：年末财政拨款结转和结余</w:t>
      </w:r>
      <w:r>
        <w:rPr>
          <w:rFonts w:ascii="仿宋_GB2312" w:eastAsia="仿宋_GB2312"/>
          <w:sz w:val="32"/>
          <w:szCs w:val="32"/>
        </w:rPr>
        <w:t>10.63</w:t>
      </w:r>
      <w:r>
        <w:rPr>
          <w:rFonts w:hint="eastAsia" w:ascii="仿宋_GB2312" w:eastAsia="仿宋_GB2312"/>
          <w:sz w:val="32"/>
          <w:szCs w:val="32"/>
        </w:rPr>
        <w:t>万元，财政拨款本年支出</w:t>
      </w:r>
      <w:r>
        <w:rPr>
          <w:rFonts w:hint="eastAsia" w:ascii="仿宋_GB2312" w:eastAsia="仿宋_GB2312"/>
          <w:sz w:val="32"/>
          <w:szCs w:val="32"/>
          <w:lang w:val="en-US" w:eastAsia="zh-CN"/>
        </w:rPr>
        <w:t>1211.05</w:t>
      </w:r>
      <w:r>
        <w:rPr>
          <w:rFonts w:hint="eastAsia" w:ascii="仿宋_GB2312" w:eastAsia="仿宋_GB2312"/>
          <w:sz w:val="32"/>
          <w:szCs w:val="32"/>
        </w:rPr>
        <w:t>万元。财政拨款支出总计与上年相比，减少208.12万元，下降</w:t>
      </w:r>
      <w:r>
        <w:rPr>
          <w:rFonts w:hint="eastAsia" w:ascii="仿宋_GB2312" w:eastAsia="仿宋_GB2312"/>
          <w:sz w:val="32"/>
          <w:szCs w:val="32"/>
          <w:lang w:val="en-US" w:eastAsia="zh-CN"/>
        </w:rPr>
        <w:t>14.66</w:t>
      </w:r>
      <w:r>
        <w:rPr>
          <w:rFonts w:hint="eastAsia" w:ascii="仿宋_GB2312" w:eastAsia="仿宋_GB2312"/>
          <w:sz w:val="32"/>
          <w:szCs w:val="32"/>
        </w:rPr>
        <w:t>%，主要原因是：当年经费采用预拨经费，支出减少。2022年退休2人，人员经费减少。</w:t>
      </w:r>
    </w:p>
    <w:p>
      <w:pPr>
        <w:ind w:firstLine="640" w:firstLineChars="200"/>
        <w:rPr>
          <w:rFonts w:ascii="仿宋_GB2312" w:eastAsia="仿宋_GB2312"/>
          <w:sz w:val="32"/>
          <w:szCs w:val="32"/>
        </w:rPr>
      </w:pPr>
      <w:r>
        <w:rPr>
          <w:rFonts w:hint="eastAsia" w:ascii="仿宋_GB2312" w:eastAsia="仿宋_GB2312"/>
          <w:sz w:val="32"/>
          <w:szCs w:val="32"/>
        </w:rPr>
        <w:t>与年初预算数相比情况：财政拨款收入总计年初预算数1240.74万元，决算数1211.05万元，预决算差异率-2.39%，主要原因是：年中追减城乡义务教育保障经费。财政拨款支出总计年初预算数1240.74万元，决算数1211.05万元，预决算差异率-2.39%，主要原因是：年中追减城乡义务教育保障经费。</w:t>
      </w:r>
    </w:p>
    <w:p>
      <w:pPr>
        <w:ind w:firstLine="640" w:firstLineChars="200"/>
        <w:outlineLvl w:val="1"/>
        <w:rPr>
          <w:rFonts w:ascii="黑体" w:hAnsi="黑体" w:eastAsia="黑体" w:cs="宋体"/>
          <w:bCs/>
          <w:kern w:val="0"/>
          <w:sz w:val="32"/>
          <w:szCs w:val="32"/>
        </w:rPr>
      </w:pPr>
      <w:bookmarkStart w:id="16" w:name="_Toc13833"/>
      <w:bookmarkStart w:id="17" w:name="_Toc20360"/>
      <w:r>
        <w:rPr>
          <w:rFonts w:hint="eastAsia" w:ascii="黑体" w:hAnsi="黑体" w:eastAsia="黑体" w:cs="宋体"/>
          <w:bCs/>
          <w:kern w:val="0"/>
          <w:sz w:val="32"/>
          <w:szCs w:val="32"/>
        </w:rPr>
        <w:t>五、一般公共预算财政拨款支出决算情况说明</w:t>
      </w:r>
      <w:bookmarkEnd w:id="16"/>
      <w:bookmarkEnd w:id="17"/>
    </w:p>
    <w:p>
      <w:pPr>
        <w:ind w:firstLine="640" w:firstLineChars="200"/>
        <w:outlineLvl w:val="2"/>
        <w:rPr>
          <w:rFonts w:ascii="黑体" w:hAnsi="黑体" w:eastAsia="黑体"/>
          <w:sz w:val="32"/>
          <w:szCs w:val="32"/>
        </w:rPr>
      </w:pPr>
      <w:r>
        <w:rPr>
          <w:rFonts w:hint="eastAsia" w:ascii="黑体" w:hAnsi="黑体" w:eastAsia="黑体"/>
          <w:sz w:val="32"/>
          <w:szCs w:val="32"/>
        </w:rPr>
        <w:t>（一）一般公共预算财政拨款支出决算总体情况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2022年度一般公共预算财政拨款支出1200.42万元，占本年支出合计的93.89%，与上年相比，减少174.15万元，下降12.67%，主要原因是：年中追减城乡义务教育保障经费 。</w:t>
      </w:r>
    </w:p>
    <w:p>
      <w:pPr>
        <w:ind w:firstLine="640" w:firstLineChars="200"/>
        <w:outlineLvl w:val="2"/>
        <w:rPr>
          <w:rFonts w:ascii="黑体" w:hAnsi="黑体" w:eastAsia="黑体"/>
          <w:sz w:val="32"/>
          <w:szCs w:val="32"/>
        </w:rPr>
      </w:pPr>
      <w:r>
        <w:rPr>
          <w:rFonts w:hint="eastAsia" w:ascii="黑体" w:hAnsi="黑体" w:eastAsia="黑体"/>
          <w:sz w:val="32"/>
          <w:szCs w:val="32"/>
        </w:rPr>
        <w:t>（二）一般公共预算财政拨款支出决算结构情况</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1. 教育支出（类）</w:t>
      </w:r>
      <w:r>
        <w:rPr>
          <w:rFonts w:hint="eastAsia" w:ascii="仿宋_GB2312" w:eastAsia="仿宋_GB2312"/>
          <w:bCs/>
          <w:sz w:val="32"/>
          <w:szCs w:val="32"/>
        </w:rPr>
        <w:t>1198.21</w:t>
      </w:r>
      <w:r>
        <w:rPr>
          <w:rFonts w:hint="eastAsia" w:ascii="仿宋_GB2312" w:hAnsi="仿宋_GB2312" w:eastAsia="仿宋_GB2312" w:cs="仿宋_GB2312"/>
          <w:kern w:val="0"/>
          <w:sz w:val="32"/>
          <w:szCs w:val="32"/>
        </w:rPr>
        <w:t>万元，占</w:t>
      </w:r>
      <w:r>
        <w:rPr>
          <w:rFonts w:hint="eastAsia" w:ascii="仿宋_GB2312" w:eastAsia="仿宋_GB2312"/>
          <w:sz w:val="32"/>
          <w:szCs w:val="32"/>
        </w:rPr>
        <w:t>99.82</w:t>
      </w:r>
      <w:r>
        <w:rPr>
          <w:rFonts w:hint="eastAsia" w:ascii="仿宋_GB2312" w:hAnsi="仿宋_GB2312" w:eastAsia="仿宋_GB2312" w:cs="仿宋_GB2312"/>
          <w:kern w:val="0"/>
          <w:sz w:val="32"/>
          <w:szCs w:val="32"/>
        </w:rPr>
        <w:t>%。</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 社会保障和就业支出</w:t>
      </w:r>
      <w:r>
        <w:rPr>
          <w:rFonts w:hint="eastAsia" w:ascii="仿宋_GB2312" w:hAnsi="仿宋_GB2312" w:eastAsia="仿宋_GB2312" w:cs="仿宋_GB2312"/>
          <w:sz w:val="32"/>
          <w:szCs w:val="32"/>
        </w:rPr>
        <w:t>（类）</w:t>
      </w:r>
      <w:r>
        <w:rPr>
          <w:rFonts w:hint="eastAsia" w:ascii="仿宋_GB2312" w:hAnsi="仿宋_GB2312" w:eastAsia="仿宋_GB2312" w:cs="仿宋_GB2312"/>
          <w:kern w:val="0"/>
          <w:sz w:val="32"/>
          <w:szCs w:val="32"/>
        </w:rPr>
        <w:t>2.21万元，占0.18%。</w:t>
      </w:r>
    </w:p>
    <w:p>
      <w:pPr>
        <w:ind w:firstLine="640" w:firstLineChars="200"/>
        <w:outlineLvl w:val="2"/>
        <w:rPr>
          <w:rFonts w:ascii="黑体" w:hAnsi="黑体" w:eastAsia="黑体"/>
          <w:sz w:val="32"/>
          <w:szCs w:val="32"/>
        </w:rPr>
      </w:pPr>
      <w:r>
        <w:rPr>
          <w:rFonts w:hint="eastAsia" w:ascii="黑体" w:hAnsi="黑体" w:eastAsia="黑体"/>
          <w:sz w:val="32"/>
          <w:szCs w:val="32"/>
        </w:rPr>
        <w:t>（三）一般公共预算财政拨款支出决算具体情况</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1.教育支出（类）普通教育（款）小学教育（项）:支出决算数为535.48万元，比上年决算增加112.96万元，增长26.73%，主要原因是：小学人数增加，经费支出增加。     </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2.教育支出（类）普通教育（款）初中教育（项）:支出决算数为662.72万元，比上年决算减少206.78万元，下降23.78%，主要原因是：中学人数减少，经费支出减少。</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sz w:val="32"/>
          <w:szCs w:val="32"/>
        </w:rPr>
        <w:t xml:space="preserve"> 社会保障和就业支出</w:t>
      </w:r>
      <w:r>
        <w:rPr>
          <w:rFonts w:hint="eastAsia" w:ascii="仿宋_GB2312" w:hAnsi="仿宋_GB2312" w:eastAsia="仿宋_GB2312" w:cs="仿宋_GB2312"/>
          <w:kern w:val="0"/>
          <w:sz w:val="32"/>
          <w:szCs w:val="32"/>
        </w:rPr>
        <w:t>（类）企业改革补助（款）其他企业改革发展补助（项）:支出决算数为2.21万元，比上年决算减少9.91万元，下降81.77%，主要原因是：企退教师活动次数减少，经费支出减少。</w:t>
      </w:r>
    </w:p>
    <w:p>
      <w:pPr>
        <w:spacing w:line="60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0"/>
          <w:sz w:val="32"/>
          <w:szCs w:val="32"/>
          <w:lang w:val="en-US" w:eastAsia="zh-CN"/>
        </w:rPr>
        <w:t>4.社会保障和就业支出（类）行政事业单位养老支出（款）机关事业单位基本养老保险缴费支出（项）：支出决算数为0万元，比上年决算减少65.66万元，下降100%，主要原因是：</w:t>
      </w:r>
      <w:r>
        <w:rPr>
          <w:rFonts w:hint="eastAsia" w:ascii="仿宋_GB2312" w:hAnsi="仿宋_GB2312" w:eastAsia="仿宋_GB2312" w:cs="仿宋_GB2312"/>
          <w:sz w:val="32"/>
          <w:szCs w:val="32"/>
          <w:highlight w:val="none"/>
          <w:lang w:val="en-US" w:eastAsia="zh-CN"/>
        </w:rPr>
        <w:t>2022年机关事业单位基本养老保险缴费支出纳入小学教育功能科目核算，故大幅度下降。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kern w:val="0"/>
          <w:sz w:val="32"/>
          <w:szCs w:val="32"/>
          <w:lang w:val="en-US" w:eastAsia="zh-CN"/>
        </w:rPr>
        <w:t>社会保障和就业支出（类）行政事业单位养老支出（款）机关事业单位职业年金缴费支出（项）：支出决算数为0万元，比上年决算减少4.77万元，下降100%，主要原因是：</w:t>
      </w:r>
      <w:r>
        <w:rPr>
          <w:rFonts w:hint="default" w:ascii="仿宋_GB2312" w:hAnsi="仿宋_GB2312" w:eastAsia="仿宋_GB2312" w:cs="仿宋_GB2312"/>
          <w:sz w:val="32"/>
          <w:szCs w:val="32"/>
          <w:highlight w:val="none"/>
        </w:rPr>
        <w:t>2022年度年初预算</w:t>
      </w:r>
      <w:r>
        <w:rPr>
          <w:rFonts w:hint="eastAsia" w:ascii="仿宋_GB2312" w:hAnsi="仿宋_GB2312" w:eastAsia="仿宋_GB2312" w:cs="仿宋_GB2312"/>
          <w:sz w:val="32"/>
          <w:szCs w:val="32"/>
          <w:highlight w:val="none"/>
          <w:lang w:val="en-US" w:eastAsia="zh-CN"/>
        </w:rPr>
        <w:t>未安排此款项支出。</w:t>
      </w:r>
    </w:p>
    <w:p>
      <w:pPr>
        <w:ind w:firstLine="640" w:firstLineChars="200"/>
        <w:outlineLvl w:val="1"/>
        <w:rPr>
          <w:rFonts w:ascii="黑体" w:hAnsi="黑体" w:eastAsia="黑体" w:cs="宋体"/>
          <w:bCs/>
          <w:kern w:val="0"/>
          <w:sz w:val="32"/>
          <w:szCs w:val="32"/>
        </w:rPr>
      </w:pPr>
      <w:bookmarkStart w:id="18" w:name="_Toc11146"/>
      <w:bookmarkStart w:id="19" w:name="_Toc30870"/>
      <w:r>
        <w:rPr>
          <w:rFonts w:hint="eastAsia" w:ascii="黑体" w:hAnsi="黑体" w:eastAsia="黑体" w:cs="宋体"/>
          <w:bCs/>
          <w:kern w:val="0"/>
          <w:sz w:val="32"/>
          <w:szCs w:val="32"/>
        </w:rPr>
        <w:t>六、一般公共预算财政拨款基本支出决算情况说明</w:t>
      </w:r>
      <w:bookmarkEnd w:id="18"/>
      <w:bookmarkEnd w:id="19"/>
    </w:p>
    <w:p>
      <w:pPr>
        <w:ind w:firstLine="640" w:firstLineChars="200"/>
        <w:rPr>
          <w:rFonts w:ascii="仿宋_GB2312" w:eastAsia="仿宋_GB2312"/>
          <w:sz w:val="32"/>
          <w:szCs w:val="32"/>
        </w:rPr>
      </w:pPr>
      <w:r>
        <w:rPr>
          <w:rFonts w:hint="eastAsia" w:ascii="仿宋_GB2312" w:eastAsia="仿宋_GB2312"/>
          <w:sz w:val="32"/>
          <w:szCs w:val="32"/>
        </w:rPr>
        <w:t>2022年度一般公共预算财政拨款基本支出</w:t>
      </w:r>
      <w:r>
        <w:rPr>
          <w:rFonts w:ascii="仿宋_GB2312" w:eastAsia="仿宋_GB2312"/>
          <w:sz w:val="32"/>
          <w:szCs w:val="32"/>
        </w:rPr>
        <w:t>1115.52</w:t>
      </w:r>
      <w:r>
        <w:rPr>
          <w:rFonts w:hint="eastAsia" w:ascii="仿宋_GB2312" w:eastAsia="仿宋_GB2312"/>
          <w:sz w:val="32"/>
          <w:szCs w:val="32"/>
        </w:rPr>
        <w:t>万元，其中：</w:t>
      </w:r>
    </w:p>
    <w:p>
      <w:pPr>
        <w:ind w:firstLine="640" w:firstLineChars="200"/>
        <w:rPr>
          <w:rFonts w:ascii="仿宋_GB2312" w:eastAsia="仿宋_GB2312"/>
          <w:sz w:val="32"/>
          <w:szCs w:val="32"/>
        </w:rPr>
      </w:pPr>
      <w:r>
        <w:rPr>
          <w:rFonts w:hint="eastAsia" w:ascii="仿宋_GB2312" w:eastAsia="仿宋_GB2312"/>
          <w:sz w:val="32"/>
          <w:szCs w:val="32"/>
        </w:rPr>
        <w:t>人员经费</w:t>
      </w:r>
      <w:r>
        <w:rPr>
          <w:rFonts w:ascii="仿宋_GB2312" w:eastAsia="仿宋_GB2312"/>
          <w:sz w:val="32"/>
          <w:szCs w:val="32"/>
        </w:rPr>
        <w:t>1084.8</w:t>
      </w:r>
      <w:r>
        <w:rPr>
          <w:rFonts w:hint="eastAsia" w:ascii="仿宋_GB2312" w:eastAsia="仿宋_GB2312"/>
          <w:sz w:val="32"/>
          <w:szCs w:val="32"/>
        </w:rPr>
        <w:t>万元，包括：基本工资、津贴补贴、奖金、绩效工资、机关事业单位基本养老保险缴费、职业年金缴费、职工基本医疗保险缴费、公务员医疗补助缴费、其他社会保障缴费、住房公积金、其他工资福利支出、退休费、抚恤金、奖励金。</w:t>
      </w:r>
    </w:p>
    <w:p>
      <w:pPr>
        <w:ind w:firstLine="640" w:firstLineChars="200"/>
        <w:rPr>
          <w:rFonts w:ascii="仿宋_GB2312" w:eastAsia="仿宋_GB2312"/>
          <w:sz w:val="32"/>
          <w:szCs w:val="32"/>
        </w:rPr>
      </w:pPr>
      <w:r>
        <w:rPr>
          <w:rFonts w:hint="eastAsia" w:ascii="仿宋_GB2312" w:eastAsia="仿宋_GB2312"/>
          <w:sz w:val="32"/>
          <w:szCs w:val="32"/>
        </w:rPr>
        <w:t>公用经费</w:t>
      </w:r>
      <w:r>
        <w:rPr>
          <w:rFonts w:ascii="仿宋_GB2312" w:eastAsia="仿宋_GB2312"/>
          <w:sz w:val="32"/>
          <w:szCs w:val="32"/>
        </w:rPr>
        <w:t>30.72</w:t>
      </w:r>
      <w:r>
        <w:rPr>
          <w:rFonts w:hint="eastAsia" w:ascii="仿宋_GB2312" w:eastAsia="仿宋_GB2312"/>
          <w:sz w:val="32"/>
          <w:szCs w:val="32"/>
        </w:rPr>
        <w:t>万元，包括：办公费，印刷费，咨询费，水费，电费、邮电费、取暖费、物业管理费、维修费，租赁费，专用材料费，劳务费、工会经费，福利费，其他商品和福利费。</w:t>
      </w:r>
    </w:p>
    <w:p>
      <w:pPr>
        <w:ind w:firstLine="640" w:firstLineChars="200"/>
        <w:outlineLvl w:val="1"/>
        <w:rPr>
          <w:rFonts w:ascii="黑体" w:hAnsi="黑体" w:eastAsia="黑体" w:cs="宋体"/>
          <w:bCs/>
          <w:kern w:val="0"/>
          <w:sz w:val="32"/>
          <w:szCs w:val="32"/>
        </w:rPr>
      </w:pPr>
      <w:bookmarkStart w:id="20" w:name="_Toc21518"/>
      <w:bookmarkStart w:id="21" w:name="_Toc7190"/>
      <w:r>
        <w:rPr>
          <w:rFonts w:hint="eastAsia" w:ascii="黑体" w:hAnsi="黑体" w:eastAsia="黑体" w:cs="宋体"/>
          <w:bCs/>
          <w:kern w:val="0"/>
          <w:sz w:val="32"/>
          <w:szCs w:val="32"/>
        </w:rPr>
        <w:t>七、财政拨款“三公”经费支出决算情况说明</w:t>
      </w:r>
      <w:bookmarkEnd w:id="20"/>
      <w:bookmarkEnd w:id="21"/>
    </w:p>
    <w:p>
      <w:pPr>
        <w:ind w:firstLine="640" w:firstLineChars="200"/>
        <w:rPr>
          <w:rFonts w:hint="eastAsia" w:ascii="仿宋_GB2312" w:eastAsia="仿宋_GB2312"/>
          <w:sz w:val="32"/>
          <w:szCs w:val="32"/>
        </w:rPr>
      </w:pPr>
      <w:r>
        <w:rPr>
          <w:rFonts w:hint="eastAsia" w:ascii="仿宋_GB2312" w:eastAsia="仿宋_GB2312"/>
          <w:sz w:val="32"/>
          <w:szCs w:val="32"/>
        </w:rPr>
        <w:t>2022年度财政拨款“三公”经费支出决算0万元，比上年增加0万元，增长0%，主要原因是：我单位无相关支出。其中：因公出国（境）费</w:t>
      </w:r>
      <w:bookmarkStart w:id="54" w:name="_GoBack"/>
      <w:r>
        <w:rPr>
          <w:rFonts w:hint="eastAsia" w:ascii="仿宋_GB2312" w:eastAsia="仿宋_GB2312"/>
          <w:sz w:val="32"/>
          <w:szCs w:val="32"/>
          <w:highlight w:val="none"/>
        </w:rPr>
        <w:t>支出0万元，占0%，比上年增加0万元，增长0%，主要原因是：我单位</w:t>
      </w:r>
      <w:r>
        <w:rPr>
          <w:rFonts w:hint="eastAsia" w:ascii="仿宋_GB2312" w:eastAsia="仿宋_GB2312"/>
          <w:sz w:val="32"/>
          <w:szCs w:val="32"/>
          <w:highlight w:val="none"/>
          <w:lang w:val="en-US" w:eastAsia="zh-CN"/>
        </w:rPr>
        <w:t>本年无“三公”经费支出</w:t>
      </w:r>
      <w:r>
        <w:rPr>
          <w:rFonts w:hint="eastAsia" w:ascii="仿宋_GB2312" w:eastAsia="仿宋_GB2312"/>
          <w:sz w:val="32"/>
          <w:szCs w:val="32"/>
          <w:highlight w:val="none"/>
        </w:rPr>
        <w:t>；公务用车购置及运行维护费支出0万元，占0%，比上年增加0万元，增长0%，主要原因是：我单位</w:t>
      </w:r>
      <w:r>
        <w:rPr>
          <w:rFonts w:hint="eastAsia" w:ascii="仿宋_GB2312" w:eastAsia="仿宋_GB2312"/>
          <w:sz w:val="32"/>
          <w:szCs w:val="32"/>
          <w:highlight w:val="none"/>
          <w:lang w:val="en-US" w:eastAsia="zh-CN"/>
        </w:rPr>
        <w:t>本年度无</w:t>
      </w:r>
      <w:r>
        <w:rPr>
          <w:rFonts w:hint="eastAsia" w:ascii="仿宋_GB2312" w:eastAsia="仿宋_GB2312"/>
          <w:sz w:val="32"/>
          <w:szCs w:val="32"/>
          <w:highlight w:val="none"/>
        </w:rPr>
        <w:t>公务用车购置及运行维护费支出；公务接待费支出0万元，占0%，</w:t>
      </w:r>
      <w:bookmarkEnd w:id="54"/>
      <w:r>
        <w:rPr>
          <w:rFonts w:hint="eastAsia" w:ascii="仿宋_GB2312" w:eastAsia="仿宋_GB2312"/>
          <w:sz w:val="32"/>
          <w:szCs w:val="32"/>
        </w:rPr>
        <w:t>比上年增加0万元，增长0%，主要原因是：我单位</w:t>
      </w:r>
      <w:r>
        <w:rPr>
          <w:rFonts w:hint="eastAsia" w:ascii="仿宋_GB2312" w:eastAsia="仿宋_GB2312"/>
          <w:sz w:val="32"/>
          <w:szCs w:val="32"/>
          <w:lang w:val="en-US" w:eastAsia="zh-CN"/>
        </w:rPr>
        <w:t>本年度无</w:t>
      </w:r>
      <w:r>
        <w:rPr>
          <w:rFonts w:hint="eastAsia" w:ascii="仿宋_GB2312" w:eastAsia="仿宋_GB2312"/>
          <w:sz w:val="32"/>
          <w:szCs w:val="32"/>
        </w:rPr>
        <w:t>公务接待费支出。具体情况如下：</w:t>
      </w:r>
    </w:p>
    <w:p>
      <w:pPr>
        <w:ind w:firstLine="640" w:firstLineChars="200"/>
        <w:rPr>
          <w:rFonts w:ascii="仿宋_GB2312" w:eastAsia="仿宋_GB2312"/>
          <w:sz w:val="32"/>
          <w:szCs w:val="32"/>
        </w:rPr>
      </w:pPr>
      <w:r>
        <w:rPr>
          <w:rFonts w:hint="eastAsia" w:ascii="仿宋_GB2312" w:eastAsia="仿宋_GB2312"/>
          <w:sz w:val="32"/>
          <w:szCs w:val="32"/>
        </w:rPr>
        <w:t>因公出国（境）费支出0万元，开支内容包括本年单位无因公出国（境）费支出。单位全年安排的因公出国（境）团组0个，因公出国（境）0人次。</w:t>
      </w:r>
    </w:p>
    <w:p>
      <w:pPr>
        <w:ind w:firstLine="640" w:firstLineChars="200"/>
        <w:rPr>
          <w:rFonts w:ascii="仿宋_GB2312" w:eastAsia="仿宋_GB2312"/>
          <w:sz w:val="32"/>
          <w:szCs w:val="32"/>
        </w:rPr>
      </w:pPr>
      <w:r>
        <w:rPr>
          <w:rFonts w:hint="eastAsia" w:ascii="仿宋_GB2312" w:eastAsia="仿宋_GB2312"/>
          <w:sz w:val="32"/>
          <w:szCs w:val="32"/>
        </w:rPr>
        <w:t>公务用车购置及运行维护费0万元，其中：公务用车购置费0万元，公务用车运行维护费0万元。公务用车运行维护费开支内容包括无。公务用车购置数0辆，公务用车保有量0辆。</w:t>
      </w:r>
    </w:p>
    <w:p>
      <w:pPr>
        <w:ind w:firstLine="640" w:firstLineChars="200"/>
        <w:rPr>
          <w:rFonts w:ascii="仿宋_GB2312" w:eastAsia="仿宋_GB2312"/>
          <w:sz w:val="32"/>
          <w:szCs w:val="32"/>
        </w:rPr>
      </w:pPr>
      <w:r>
        <w:rPr>
          <w:rFonts w:hint="eastAsia" w:ascii="仿宋_GB2312" w:eastAsia="仿宋_GB2312"/>
          <w:sz w:val="32"/>
          <w:szCs w:val="32"/>
        </w:rPr>
        <w:t>公务接待费0万元，开支内容包括本单位无公务接待费支出。单位全年安排的国内公务接待0批次，0人次。</w:t>
      </w:r>
    </w:p>
    <w:p>
      <w:pPr>
        <w:ind w:firstLine="640" w:firstLineChars="200"/>
        <w:rPr>
          <w:rFonts w:ascii="仿宋_GB2312" w:eastAsia="仿宋_GB2312"/>
          <w:sz w:val="32"/>
          <w:szCs w:val="32"/>
        </w:rPr>
      </w:pPr>
      <w:r>
        <w:rPr>
          <w:rFonts w:hint="eastAsia" w:ascii="仿宋_GB2312" w:eastAsia="仿宋_GB2312"/>
          <w:sz w:val="32"/>
          <w:szCs w:val="32"/>
        </w:rPr>
        <w:t>与全年预算数相比情况：“三公”经费支出全年预算数0.63万元，决算数0万元，预决算差异率-</w:t>
      </w:r>
      <w:r>
        <w:rPr>
          <w:rFonts w:ascii="仿宋_GB2312" w:eastAsia="仿宋_GB2312" w:cs="仿宋_GB2312"/>
          <w:kern w:val="0"/>
          <w:sz w:val="32"/>
          <w:szCs w:val="32"/>
        </w:rPr>
        <w:t>100.00</w:t>
      </w:r>
      <w:r>
        <w:rPr>
          <w:rFonts w:hint="eastAsia" w:ascii="仿宋_GB2312" w:eastAsia="仿宋_GB2312"/>
          <w:sz w:val="32"/>
          <w:szCs w:val="32"/>
        </w:rPr>
        <w:t>%，主要原因是：</w:t>
      </w:r>
      <w:r>
        <w:rPr>
          <w:rFonts w:hint="eastAsia" w:ascii="仿宋_GB2312" w:eastAsia="仿宋_GB2312"/>
          <w:sz w:val="32"/>
          <w:szCs w:val="32"/>
          <w:highlight w:val="none"/>
        </w:rPr>
        <w:t>我单位</w:t>
      </w:r>
      <w:r>
        <w:rPr>
          <w:rFonts w:hint="eastAsia" w:ascii="仿宋_GB2312" w:eastAsia="仿宋_GB2312"/>
          <w:sz w:val="32"/>
          <w:szCs w:val="32"/>
          <w:highlight w:val="none"/>
          <w:lang w:val="en-US" w:eastAsia="zh-CN"/>
        </w:rPr>
        <w:t>本年无“三公”经费支出</w:t>
      </w:r>
      <w:r>
        <w:rPr>
          <w:rFonts w:hint="eastAsia" w:ascii="仿宋_GB2312" w:eastAsia="仿宋_GB2312"/>
          <w:sz w:val="32"/>
          <w:szCs w:val="32"/>
          <w:highlight w:val="none"/>
        </w:rPr>
        <w:t>。</w:t>
      </w:r>
      <w:r>
        <w:rPr>
          <w:rFonts w:hint="eastAsia" w:ascii="仿宋_GB2312" w:hAnsi="宋体" w:eastAsia="仿宋_GB2312" w:cs="宋体"/>
          <w:kern w:val="0"/>
          <w:sz w:val="32"/>
          <w:szCs w:val="32"/>
        </w:rPr>
        <w:t>其中：因公出国（境）费全年预算数</w:t>
      </w:r>
      <w:r>
        <w:rPr>
          <w:rFonts w:hint="eastAsia" w:ascii="仿宋_GB2312" w:eastAsia="仿宋_GB2312"/>
          <w:sz w:val="32"/>
          <w:szCs w:val="32"/>
        </w:rPr>
        <w:t>0万元，决算数0万元，预决算差异率0%，主要原因是：本年单位无因公出国（境）费支出；</w:t>
      </w:r>
      <w:r>
        <w:rPr>
          <w:rFonts w:hint="eastAsia" w:ascii="仿宋_GB2312" w:hAnsi="宋体" w:eastAsia="仿宋_GB2312" w:cs="宋体"/>
          <w:kern w:val="0"/>
          <w:sz w:val="32"/>
          <w:szCs w:val="32"/>
        </w:rPr>
        <w:t>公务用车购置</w:t>
      </w:r>
      <w:r>
        <w:rPr>
          <w:rFonts w:hint="eastAsia" w:ascii="仿宋_GB2312" w:eastAsia="仿宋_GB2312"/>
          <w:sz w:val="32"/>
          <w:szCs w:val="32"/>
        </w:rPr>
        <w:t>费全年预算数0万元，决算数0万元，预决算差异率0%，主要原因是：本年单位无因公出国（境）费支出；</w:t>
      </w:r>
      <w:r>
        <w:rPr>
          <w:rFonts w:hint="eastAsia" w:ascii="仿宋_GB2312" w:hAnsi="宋体" w:eastAsia="仿宋_GB2312" w:cs="宋体"/>
          <w:kern w:val="0"/>
          <w:sz w:val="32"/>
          <w:szCs w:val="32"/>
        </w:rPr>
        <w:t>公务用车运行费全年</w:t>
      </w:r>
      <w:r>
        <w:rPr>
          <w:rFonts w:hint="eastAsia" w:ascii="仿宋_GB2312" w:eastAsia="仿宋_GB2312"/>
          <w:sz w:val="32"/>
          <w:szCs w:val="32"/>
        </w:rPr>
        <w:t>预算数0万元，决算数0万元，预决算差异率0%，主要原因是：本年单位无因公出国（境）费支出；</w:t>
      </w:r>
      <w:r>
        <w:rPr>
          <w:rFonts w:hint="eastAsia" w:ascii="仿宋_GB2312" w:hAnsi="宋体" w:eastAsia="仿宋_GB2312" w:cs="宋体"/>
          <w:kern w:val="0"/>
          <w:sz w:val="32"/>
          <w:szCs w:val="32"/>
        </w:rPr>
        <w:t>公务接待费全年</w:t>
      </w:r>
      <w:r>
        <w:rPr>
          <w:rFonts w:hint="eastAsia" w:ascii="仿宋_GB2312" w:eastAsia="仿宋_GB2312"/>
          <w:sz w:val="32"/>
          <w:szCs w:val="32"/>
        </w:rPr>
        <w:t>预算数0.63万元，决算数0万元，预决算差异率</w:t>
      </w:r>
      <w:r>
        <w:rPr>
          <w:rFonts w:ascii="仿宋_GB2312" w:eastAsia="仿宋_GB2312" w:cs="仿宋_GB2312"/>
          <w:kern w:val="0"/>
          <w:sz w:val="32"/>
          <w:szCs w:val="32"/>
        </w:rPr>
        <w:t>-100.00</w:t>
      </w:r>
      <w:r>
        <w:rPr>
          <w:rFonts w:hint="eastAsia" w:ascii="仿宋_GB2312" w:eastAsia="仿宋_GB2312"/>
          <w:sz w:val="32"/>
          <w:szCs w:val="32"/>
        </w:rPr>
        <w:t>%，主要原因是：我单位未安排三公经费支出。</w:t>
      </w:r>
    </w:p>
    <w:p>
      <w:pPr>
        <w:ind w:firstLine="640" w:firstLineChars="200"/>
        <w:outlineLvl w:val="1"/>
        <w:rPr>
          <w:rFonts w:ascii="黑体" w:hAnsi="黑体" w:eastAsia="黑体" w:cs="宋体"/>
          <w:bCs/>
          <w:kern w:val="0"/>
          <w:sz w:val="32"/>
          <w:szCs w:val="32"/>
        </w:rPr>
      </w:pPr>
      <w:bookmarkStart w:id="22" w:name="_Toc5810"/>
      <w:bookmarkStart w:id="23" w:name="_Toc7927"/>
      <w:r>
        <w:rPr>
          <w:rFonts w:hint="eastAsia" w:ascii="黑体" w:hAnsi="黑体" w:eastAsia="黑体" w:cs="宋体"/>
          <w:bCs/>
          <w:kern w:val="0"/>
          <w:sz w:val="32"/>
          <w:szCs w:val="32"/>
        </w:rPr>
        <w:t>八、政府性基金预算财政拨款收入支出决算情况说明</w:t>
      </w:r>
      <w:bookmarkEnd w:id="22"/>
      <w:bookmarkEnd w:id="23"/>
    </w:p>
    <w:p>
      <w:pPr>
        <w:ind w:firstLine="640" w:firstLineChars="200"/>
        <w:rPr>
          <w:rFonts w:ascii="仿宋_GB2312" w:eastAsia="仿宋_GB2312"/>
          <w:sz w:val="32"/>
          <w:szCs w:val="32"/>
        </w:rPr>
      </w:pPr>
      <w:r>
        <w:rPr>
          <w:rFonts w:hint="eastAsia" w:ascii="仿宋_GB2312" w:eastAsia="仿宋_GB2312"/>
          <w:sz w:val="32"/>
          <w:szCs w:val="32"/>
        </w:rPr>
        <w:t>我单位本年度无政府性基金预算财政拨款收入、支出及结转和结余，政府性基金预算财政拨款收入支出决算表为空表。</w:t>
      </w:r>
    </w:p>
    <w:p>
      <w:pPr>
        <w:ind w:firstLine="640" w:firstLineChars="200"/>
        <w:outlineLvl w:val="1"/>
        <w:rPr>
          <w:rFonts w:ascii="黑体" w:hAnsi="黑体" w:eastAsia="黑体" w:cs="宋体"/>
          <w:bCs/>
          <w:kern w:val="0"/>
          <w:sz w:val="32"/>
          <w:szCs w:val="32"/>
        </w:rPr>
      </w:pPr>
      <w:r>
        <w:rPr>
          <w:rFonts w:hint="eastAsia" w:ascii="黑体" w:hAnsi="黑体" w:eastAsia="黑体" w:cs="宋体"/>
          <w:bCs/>
          <w:kern w:val="0"/>
          <w:sz w:val="32"/>
          <w:szCs w:val="32"/>
        </w:rPr>
        <w:t>九、国有资本经营预算财政拨款收入支出决算情况说明</w:t>
      </w:r>
    </w:p>
    <w:p>
      <w:pPr>
        <w:ind w:firstLine="640" w:firstLineChars="200"/>
        <w:rPr>
          <w:rFonts w:ascii="仿宋_GB2312" w:eastAsia="仿宋_GB2312"/>
          <w:sz w:val="32"/>
          <w:szCs w:val="32"/>
        </w:rPr>
      </w:pPr>
      <w:r>
        <w:rPr>
          <w:rFonts w:hint="eastAsia" w:ascii="仿宋_GB2312" w:eastAsia="仿宋_GB2312"/>
          <w:sz w:val="32"/>
          <w:szCs w:val="32"/>
        </w:rPr>
        <w:t>我单位本年度无国有资本经营预算财政拨款收入、支出及结转和结余，国有资本经营预算财政拨款收入支出决算表为空表。</w:t>
      </w:r>
    </w:p>
    <w:p>
      <w:pPr>
        <w:ind w:firstLine="640" w:firstLineChars="200"/>
        <w:outlineLvl w:val="1"/>
        <w:rPr>
          <w:rFonts w:ascii="黑体" w:hAnsi="黑体" w:eastAsia="黑体" w:cs="宋体"/>
          <w:bCs/>
          <w:kern w:val="0"/>
          <w:sz w:val="32"/>
          <w:szCs w:val="32"/>
        </w:rPr>
      </w:pPr>
      <w:bookmarkStart w:id="24" w:name="_Toc1235"/>
      <w:bookmarkStart w:id="25" w:name="_Toc7314"/>
      <w:r>
        <w:rPr>
          <w:rFonts w:hint="eastAsia" w:ascii="黑体" w:hAnsi="黑体" w:eastAsia="黑体" w:cs="宋体"/>
          <w:bCs/>
          <w:kern w:val="0"/>
          <w:sz w:val="32"/>
          <w:szCs w:val="32"/>
        </w:rPr>
        <w:t>十、其他重要事项的情况说明</w:t>
      </w:r>
      <w:bookmarkEnd w:id="24"/>
      <w:bookmarkEnd w:id="25"/>
    </w:p>
    <w:p>
      <w:pPr>
        <w:ind w:firstLine="640" w:firstLineChars="200"/>
        <w:outlineLvl w:val="2"/>
        <w:rPr>
          <w:rFonts w:ascii="黑体" w:hAnsi="黑体" w:eastAsia="黑体"/>
          <w:sz w:val="32"/>
          <w:szCs w:val="32"/>
        </w:rPr>
      </w:pPr>
      <w:bookmarkStart w:id="26" w:name="_Toc13105"/>
      <w:bookmarkStart w:id="27" w:name="_Toc14519"/>
      <w:r>
        <w:rPr>
          <w:rFonts w:hint="eastAsia" w:ascii="黑体" w:hAnsi="黑体" w:eastAsia="黑体"/>
          <w:sz w:val="32"/>
          <w:szCs w:val="32"/>
        </w:rPr>
        <w:t>（一）机关运行经费支出情况</w:t>
      </w:r>
      <w:bookmarkEnd w:id="26"/>
      <w:bookmarkEnd w:id="27"/>
    </w:p>
    <w:p>
      <w:pPr>
        <w:ind w:firstLine="640" w:firstLineChars="200"/>
        <w:rPr>
          <w:rFonts w:ascii="仿宋_GB2312" w:eastAsia="仿宋_GB2312"/>
          <w:sz w:val="32"/>
          <w:szCs w:val="32"/>
        </w:rPr>
      </w:pPr>
      <w:r>
        <w:rPr>
          <w:rFonts w:hint="eastAsia" w:ascii="仿宋_GB2312" w:eastAsia="仿宋_GB2312"/>
          <w:sz w:val="32"/>
          <w:szCs w:val="32"/>
        </w:rPr>
        <w:t>2022年度乌鲁木齐市第九十一中学（事业单位）公用经费</w:t>
      </w:r>
      <w:r>
        <w:rPr>
          <w:rFonts w:ascii="仿宋_GB2312" w:eastAsia="仿宋_GB2312"/>
          <w:sz w:val="32"/>
          <w:szCs w:val="32"/>
        </w:rPr>
        <w:t>30.72</w:t>
      </w:r>
      <w:r>
        <w:rPr>
          <w:rFonts w:hint="eastAsia" w:ascii="仿宋_GB2312" w:eastAsia="仿宋_GB2312"/>
          <w:sz w:val="32"/>
          <w:szCs w:val="32"/>
        </w:rPr>
        <w:t>万元，比上年减少149.73万元，下降82.98%，主要原因是：年中追减城乡义务教育保障经费。</w:t>
      </w:r>
    </w:p>
    <w:p>
      <w:pPr>
        <w:ind w:firstLine="640" w:firstLineChars="200"/>
        <w:outlineLvl w:val="2"/>
        <w:rPr>
          <w:rFonts w:ascii="黑体" w:hAnsi="黑体" w:eastAsia="黑体"/>
          <w:sz w:val="32"/>
          <w:szCs w:val="32"/>
        </w:rPr>
      </w:pPr>
      <w:bookmarkStart w:id="28" w:name="_Toc26704"/>
      <w:bookmarkStart w:id="29" w:name="_Toc227"/>
      <w:r>
        <w:rPr>
          <w:rFonts w:hint="eastAsia" w:ascii="黑体" w:hAnsi="黑体" w:eastAsia="黑体"/>
          <w:sz w:val="32"/>
          <w:szCs w:val="32"/>
        </w:rPr>
        <w:t>（二）政府采购情况</w:t>
      </w:r>
      <w:bookmarkEnd w:id="28"/>
      <w:bookmarkEnd w:id="29"/>
    </w:p>
    <w:p>
      <w:pPr>
        <w:ind w:firstLine="640" w:firstLineChars="200"/>
        <w:rPr>
          <w:rFonts w:ascii="仿宋_GB2312" w:eastAsia="仿宋_GB2312"/>
          <w:sz w:val="32"/>
          <w:szCs w:val="32"/>
        </w:rPr>
      </w:pPr>
      <w:r>
        <w:rPr>
          <w:rFonts w:hint="eastAsia" w:ascii="仿宋_GB2312" w:eastAsia="仿宋_GB2312"/>
          <w:sz w:val="32"/>
          <w:szCs w:val="32"/>
        </w:rPr>
        <w:t>2022年度政府采购支出总额0万元，其中：政府采购货物支出0万元、政府采购工程支出0万元、政府采购服务支出0万元。</w:t>
      </w:r>
    </w:p>
    <w:p>
      <w:pPr>
        <w:ind w:firstLine="640" w:firstLineChars="200"/>
        <w:rPr>
          <w:rFonts w:ascii="仿宋_GB2312" w:eastAsia="仿宋_GB2312"/>
          <w:sz w:val="32"/>
          <w:szCs w:val="32"/>
        </w:rPr>
      </w:pPr>
      <w:r>
        <w:rPr>
          <w:rFonts w:hint="eastAsia" w:ascii="仿宋_GB2312" w:eastAsia="仿宋_GB2312"/>
          <w:sz w:val="32"/>
          <w:szCs w:val="32"/>
        </w:rPr>
        <w:t>授予中小企业合同金额0万元，占政府采购支出总额的0%，其中：授予小微企业合同金额0万元，占政府采购支出总额的0%。</w:t>
      </w:r>
    </w:p>
    <w:p>
      <w:pPr>
        <w:ind w:firstLine="640" w:firstLineChars="200"/>
        <w:outlineLvl w:val="2"/>
        <w:rPr>
          <w:rFonts w:ascii="黑体" w:hAnsi="黑体" w:eastAsia="黑体"/>
          <w:sz w:val="32"/>
          <w:szCs w:val="32"/>
        </w:rPr>
      </w:pPr>
      <w:bookmarkStart w:id="30" w:name="_Toc4591"/>
      <w:bookmarkStart w:id="31" w:name="_Toc8391"/>
      <w:r>
        <w:rPr>
          <w:rFonts w:hint="eastAsia" w:ascii="黑体" w:hAnsi="黑体" w:eastAsia="黑体"/>
          <w:sz w:val="32"/>
          <w:szCs w:val="32"/>
        </w:rPr>
        <w:t>（三）国有资产占用情况说明</w:t>
      </w:r>
      <w:bookmarkEnd w:id="30"/>
      <w:bookmarkEnd w:id="31"/>
    </w:p>
    <w:p>
      <w:pPr>
        <w:ind w:firstLine="640" w:firstLineChars="200"/>
        <w:rPr>
          <w:rFonts w:ascii="仿宋_GB2312" w:eastAsia="仿宋_GB2312"/>
          <w:sz w:val="32"/>
          <w:szCs w:val="32"/>
        </w:rPr>
      </w:pPr>
      <w:r>
        <w:rPr>
          <w:rFonts w:hint="eastAsia" w:ascii="仿宋_GB2312" w:eastAsia="仿宋_GB2312"/>
          <w:sz w:val="32"/>
          <w:szCs w:val="32"/>
        </w:rPr>
        <w:t>截止2022年12月31日，固定资产原值2598.17万元，房屋</w:t>
      </w:r>
      <w:r>
        <w:rPr>
          <w:rFonts w:ascii="仿宋_GB2312" w:eastAsia="仿宋_GB2312" w:cs="仿宋_GB2312"/>
          <w:kern w:val="0"/>
          <w:sz w:val="32"/>
          <w:szCs w:val="32"/>
        </w:rPr>
        <w:t>7,911.65</w:t>
      </w:r>
      <w:r>
        <w:rPr>
          <w:rFonts w:hint="eastAsia" w:ascii="仿宋_GB2312" w:eastAsia="仿宋_GB2312"/>
          <w:sz w:val="32"/>
          <w:szCs w:val="32"/>
        </w:rPr>
        <w:t>平方米，价值</w:t>
      </w:r>
      <w:r>
        <w:rPr>
          <w:rFonts w:ascii="仿宋_GB2312" w:eastAsia="仿宋_GB2312" w:cs="仿宋_GB2312"/>
          <w:kern w:val="0"/>
          <w:sz w:val="32"/>
          <w:szCs w:val="32"/>
        </w:rPr>
        <w:t>1,653.84</w:t>
      </w:r>
      <w:r>
        <w:rPr>
          <w:rFonts w:hint="eastAsia" w:ascii="仿宋_GB2312" w:eastAsia="仿宋_GB2312"/>
          <w:sz w:val="32"/>
          <w:szCs w:val="32"/>
        </w:rPr>
        <w:t>万元。车辆0辆，价值0万元，其中：副部（省）级及以上领导用车0辆、主要领导干部用车0辆、机要通信用车0辆、应急保障用车0辆、执法执勤用车0辆、特种专业技术用车0辆、离退休干部用车0辆、其他用车0辆，其他用车主要是：无；单价100万元（含）以上设备（不含车辆）0台（套）。</w:t>
      </w:r>
    </w:p>
    <w:p>
      <w:pPr>
        <w:ind w:firstLine="640" w:firstLineChars="200"/>
        <w:outlineLvl w:val="1"/>
        <w:rPr>
          <w:rFonts w:ascii="黑体" w:hAnsi="黑体" w:eastAsia="黑体" w:cs="宋体"/>
          <w:bCs/>
          <w:kern w:val="0"/>
          <w:sz w:val="32"/>
          <w:szCs w:val="32"/>
        </w:rPr>
      </w:pPr>
      <w:bookmarkStart w:id="32" w:name="_Toc11283"/>
      <w:bookmarkStart w:id="33" w:name="_Toc435"/>
      <w:r>
        <w:rPr>
          <w:rFonts w:hint="eastAsia" w:ascii="黑体" w:hAnsi="黑体" w:eastAsia="黑体" w:cs="宋体"/>
          <w:bCs/>
          <w:kern w:val="0"/>
          <w:sz w:val="32"/>
          <w:szCs w:val="32"/>
        </w:rPr>
        <w:t>十一、预算绩效的情况说明</w:t>
      </w:r>
      <w:bookmarkEnd w:id="32"/>
      <w:bookmarkEnd w:id="33"/>
    </w:p>
    <w:p>
      <w:pPr>
        <w:ind w:firstLine="640" w:firstLineChars="200"/>
        <w:rPr>
          <w:rFonts w:hint="eastAsia" w:ascii="仿宋_GB2312" w:eastAsia="仿宋_GB2312"/>
          <w:sz w:val="32"/>
          <w:szCs w:val="32"/>
        </w:rPr>
      </w:pPr>
      <w:r>
        <w:rPr>
          <w:rFonts w:hint="eastAsia" w:ascii="仿宋_GB2312" w:eastAsia="仿宋_GB2312"/>
          <w:sz w:val="32"/>
          <w:szCs w:val="32"/>
        </w:rPr>
        <w:t>根据预算绩效管理要求，我单位</w:t>
      </w:r>
      <w:r>
        <w:rPr>
          <w:rFonts w:ascii="仿宋_GB2312" w:eastAsia="仿宋_GB2312"/>
          <w:sz w:val="32"/>
          <w:szCs w:val="32"/>
        </w:rPr>
        <w:t>2022</w:t>
      </w:r>
      <w:r>
        <w:rPr>
          <w:rFonts w:hint="eastAsia" w:ascii="仿宋_GB2312" w:eastAsia="仿宋_GB2312"/>
          <w:sz w:val="32"/>
          <w:szCs w:val="32"/>
        </w:rPr>
        <w:t>年度开展预算绩效评价项目4个，全年预算数</w:t>
      </w:r>
      <w:r>
        <w:rPr>
          <w:rFonts w:hint="eastAsia" w:ascii="仿宋_GB2312" w:eastAsia="仿宋_GB2312"/>
          <w:sz w:val="32"/>
          <w:szCs w:val="32"/>
          <w:highlight w:val="none"/>
          <w:lang w:val="en-US" w:eastAsia="zh-CN"/>
        </w:rPr>
        <w:t>102.41</w:t>
      </w:r>
      <w:r>
        <w:rPr>
          <w:rFonts w:hint="eastAsia" w:ascii="仿宋_GB2312" w:eastAsia="仿宋_GB2312"/>
          <w:sz w:val="32"/>
          <w:szCs w:val="32"/>
          <w:highlight w:val="none"/>
        </w:rPr>
        <w:t>万元，全年执行数</w:t>
      </w:r>
      <w:r>
        <w:rPr>
          <w:rFonts w:hint="eastAsia" w:ascii="仿宋_GB2312" w:eastAsia="仿宋_GB2312"/>
          <w:sz w:val="32"/>
          <w:szCs w:val="32"/>
          <w:highlight w:val="none"/>
          <w:lang w:val="en-US" w:eastAsia="zh-CN"/>
        </w:rPr>
        <w:t>58.67</w:t>
      </w:r>
      <w:r>
        <w:rPr>
          <w:rFonts w:hint="eastAsia" w:ascii="仿宋_GB2312" w:eastAsia="仿宋_GB2312"/>
          <w:sz w:val="32"/>
          <w:szCs w:val="32"/>
        </w:rPr>
        <w:t>万元。预算绩效管理取得的成效：一是严格按照项目资金管理办法对资金进行计划申请、划拨、使用，及时、规范对收支进行账务处理和会计核算。专项资金专项使用，严格执行项目资金批准的使用计划和项目批复内容，不准擅自调项、扩项、缩项、挪用、挤占和随意扣压，资金拨付动向按不同专项资金的要求执行，不准任意改变；二是专项资金报账拨付要附真实、有效、合法的凭证。加强审计监督，对专项资金要定期或不定期进行督查，确保项目资金转款专用，要全程参与项目验收和采购项目接交。发现的问题及原因：一是项目预算不够细化，没有合理化、科学化、规范化的预算编制；二是没有建立专项资金管理小组，最大限度的提升对专项资金的使用与管理。下一步改进措施：一是预算编制时考虑单位各个项目的收支情况，协调好各个部门，各个岗位之间的责任，这样才能保障预算方案可以有效执行；二是要有合理化的、科学化、规范化的预算编制，采用动态化预算编制方法，缩短预算执行周期，建立专门的专项经费管理小组，最大限度提升对专项经费的管理与使用。三是加强预算管理，完善专项资金管理办法，提高领导干部的依法行政意识，完善跟踪检查制度，及时督促落实。加强日常办公经费，常态化活动经费 的管理制度建设。具体项目自评情况附项目支出绩效自评表。</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ascii="仿宋_GB2312" w:eastAsia="仿宋_GB2312"/>
          <w:sz w:val="32"/>
          <w:szCs w:val="32"/>
        </w:rPr>
      </w:pPr>
    </w:p>
    <w:tbl>
      <w:tblPr>
        <w:tblStyle w:val="8"/>
        <w:tblW w:w="5000" w:type="pct"/>
        <w:tblInd w:w="0" w:type="dxa"/>
        <w:tblLayout w:type="autofit"/>
        <w:tblCellMar>
          <w:top w:w="0" w:type="dxa"/>
          <w:left w:w="108" w:type="dxa"/>
          <w:bottom w:w="0" w:type="dxa"/>
          <w:right w:w="108" w:type="dxa"/>
        </w:tblCellMar>
      </w:tblPr>
      <w:tblGrid>
        <w:gridCol w:w="364"/>
        <w:gridCol w:w="364"/>
        <w:gridCol w:w="364"/>
        <w:gridCol w:w="957"/>
        <w:gridCol w:w="2606"/>
        <w:gridCol w:w="588"/>
        <w:gridCol w:w="736"/>
        <w:gridCol w:w="587"/>
        <w:gridCol w:w="240"/>
        <w:gridCol w:w="237"/>
        <w:gridCol w:w="260"/>
        <w:gridCol w:w="365"/>
        <w:gridCol w:w="340"/>
        <w:gridCol w:w="514"/>
      </w:tblGrid>
      <w:tr>
        <w:tblPrEx>
          <w:tblCellMar>
            <w:top w:w="0" w:type="dxa"/>
            <w:left w:w="108" w:type="dxa"/>
            <w:bottom w:w="0" w:type="dxa"/>
            <w:right w:w="108" w:type="dxa"/>
          </w:tblCellMar>
        </w:tblPrEx>
        <w:trPr>
          <w:trHeight w:val="405" w:hRule="atLeast"/>
        </w:trPr>
        <w:tc>
          <w:tcPr>
            <w:tcW w:w="5000" w:type="pct"/>
            <w:gridSpan w:val="14"/>
            <w:tcBorders>
              <w:top w:val="nil"/>
              <w:left w:val="nil"/>
              <w:bottom w:val="nil"/>
              <w:right w:val="nil"/>
            </w:tcBorders>
            <w:shd w:val="clear" w:color="auto" w:fill="auto"/>
            <w:vAlign w:val="center"/>
          </w:tcPr>
          <w:p>
            <w:pPr>
              <w:widowControl/>
              <w:jc w:val="center"/>
              <w:rPr>
                <w:rFonts w:ascii="宋体" w:hAnsi="宋体" w:cs="宋体"/>
                <w:b/>
                <w:bCs/>
                <w:color w:val="000000"/>
                <w:kern w:val="0"/>
                <w:sz w:val="18"/>
                <w:szCs w:val="32"/>
              </w:rPr>
            </w:pPr>
            <w:r>
              <w:rPr>
                <w:rFonts w:hint="eastAsia" w:ascii="宋体" w:hAnsi="宋体" w:cs="宋体"/>
                <w:b/>
                <w:bCs/>
                <w:color w:val="000000"/>
                <w:kern w:val="0"/>
                <w:sz w:val="18"/>
                <w:szCs w:val="32"/>
              </w:rPr>
              <w:t>项目支出绩效自评表</w:t>
            </w:r>
          </w:p>
        </w:tc>
      </w:tr>
      <w:tr>
        <w:tblPrEx>
          <w:tblCellMar>
            <w:top w:w="0" w:type="dxa"/>
            <w:left w:w="108" w:type="dxa"/>
            <w:bottom w:w="0" w:type="dxa"/>
            <w:right w:w="108" w:type="dxa"/>
          </w:tblCellMar>
        </w:tblPrEx>
        <w:trPr>
          <w:trHeight w:val="270" w:hRule="atLeast"/>
        </w:trPr>
        <w:tc>
          <w:tcPr>
            <w:tcW w:w="5000" w:type="pct"/>
            <w:gridSpan w:val="14"/>
            <w:tcBorders>
              <w:top w:val="nil"/>
              <w:left w:val="nil"/>
              <w:bottom w:val="nil"/>
              <w:right w:val="nil"/>
            </w:tcBorders>
            <w:shd w:val="clear" w:color="auto" w:fill="auto"/>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(2022年度)</w:t>
            </w:r>
          </w:p>
        </w:tc>
      </w:tr>
      <w:tr>
        <w:tblPrEx>
          <w:tblCellMar>
            <w:top w:w="0" w:type="dxa"/>
            <w:left w:w="108" w:type="dxa"/>
            <w:bottom w:w="0" w:type="dxa"/>
            <w:right w:w="108" w:type="dxa"/>
          </w:tblCellMar>
        </w:tblPrEx>
        <w:trPr>
          <w:trHeight w:val="540" w:hRule="atLeast"/>
        </w:trPr>
        <w:tc>
          <w:tcPr>
            <w:tcW w:w="42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项目名称</w:t>
            </w:r>
          </w:p>
        </w:tc>
        <w:tc>
          <w:tcPr>
            <w:tcW w:w="4571" w:type="pct"/>
            <w:gridSpan w:val="1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乌财科教[2021]96号关于提前下达2022年城乡义务教育项目直达资金的通知（公用经费）（小学）</w:t>
            </w:r>
          </w:p>
        </w:tc>
      </w:tr>
      <w:tr>
        <w:tblPrEx>
          <w:tblCellMar>
            <w:top w:w="0" w:type="dxa"/>
            <w:left w:w="108" w:type="dxa"/>
            <w:bottom w:w="0" w:type="dxa"/>
            <w:right w:w="108" w:type="dxa"/>
          </w:tblCellMar>
        </w:tblPrEx>
        <w:trPr>
          <w:trHeight w:val="398" w:hRule="atLeast"/>
        </w:trPr>
        <w:tc>
          <w:tcPr>
            <w:tcW w:w="42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主管部门</w:t>
            </w:r>
          </w:p>
        </w:tc>
        <w:tc>
          <w:tcPr>
            <w:tcW w:w="3069" w:type="pct"/>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乌鲁木齐市第九十一中学</w:t>
            </w:r>
          </w:p>
        </w:tc>
        <w:tc>
          <w:tcPr>
            <w:tcW w:w="48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实施单位</w:t>
            </w:r>
          </w:p>
        </w:tc>
        <w:tc>
          <w:tcPr>
            <w:tcW w:w="1016" w:type="pct"/>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乌鲁木齐市第九十一中学</w:t>
            </w:r>
          </w:p>
        </w:tc>
      </w:tr>
      <w:tr>
        <w:tblPrEx>
          <w:tblCellMar>
            <w:top w:w="0" w:type="dxa"/>
            <w:left w:w="108" w:type="dxa"/>
            <w:bottom w:w="0" w:type="dxa"/>
            <w:right w:w="108" w:type="dxa"/>
          </w:tblCellMar>
        </w:tblPrEx>
        <w:trPr>
          <w:trHeight w:val="630" w:hRule="atLeast"/>
        </w:trPr>
        <w:tc>
          <w:tcPr>
            <w:tcW w:w="429"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项目资金</w:t>
            </w:r>
            <w:r>
              <w:rPr>
                <w:rFonts w:hint="eastAsia" w:ascii="宋体" w:hAnsi="宋体" w:cs="宋体"/>
                <w:color w:val="000000"/>
                <w:kern w:val="0"/>
                <w:sz w:val="18"/>
              </w:rPr>
              <w:br w:type="textWrapping"/>
            </w:r>
            <w:r>
              <w:rPr>
                <w:rFonts w:hint="eastAsia" w:ascii="宋体" w:hAnsi="宋体" w:cs="宋体"/>
                <w:color w:val="000000"/>
                <w:kern w:val="0"/>
                <w:sz w:val="18"/>
              </w:rPr>
              <w:t>（万元）</w:t>
            </w:r>
          </w:p>
        </w:tc>
        <w:tc>
          <w:tcPr>
            <w:tcW w:w="76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c>
          <w:tcPr>
            <w:tcW w:w="154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年初预算数</w:t>
            </w:r>
          </w:p>
        </w:tc>
        <w:tc>
          <w:tcPr>
            <w:tcW w:w="761"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全年预算数</w:t>
            </w:r>
          </w:p>
        </w:tc>
        <w:tc>
          <w:tcPr>
            <w:tcW w:w="48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全年执行数</w:t>
            </w:r>
          </w:p>
        </w:tc>
        <w:tc>
          <w:tcPr>
            <w:tcW w:w="289"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分值</w:t>
            </w:r>
          </w:p>
        </w:tc>
        <w:tc>
          <w:tcPr>
            <w:tcW w:w="42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执行率</w:t>
            </w:r>
          </w:p>
        </w:tc>
        <w:tc>
          <w:tcPr>
            <w:tcW w:w="30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得分</w:t>
            </w:r>
          </w:p>
        </w:tc>
      </w:tr>
      <w:tr>
        <w:tblPrEx>
          <w:tblCellMar>
            <w:top w:w="0" w:type="dxa"/>
            <w:left w:w="108" w:type="dxa"/>
            <w:bottom w:w="0" w:type="dxa"/>
            <w:right w:w="108" w:type="dxa"/>
          </w:tblCellMar>
        </w:tblPrEx>
        <w:trPr>
          <w:trHeight w:val="398" w:hRule="atLeast"/>
        </w:trPr>
        <w:tc>
          <w:tcPr>
            <w:tcW w:w="429"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76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年度资金总额</w:t>
            </w:r>
          </w:p>
        </w:tc>
        <w:tc>
          <w:tcPr>
            <w:tcW w:w="154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42.51</w:t>
            </w:r>
          </w:p>
        </w:tc>
        <w:tc>
          <w:tcPr>
            <w:tcW w:w="761"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42.51</w:t>
            </w:r>
          </w:p>
        </w:tc>
        <w:tc>
          <w:tcPr>
            <w:tcW w:w="48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27.77</w:t>
            </w:r>
          </w:p>
        </w:tc>
        <w:tc>
          <w:tcPr>
            <w:tcW w:w="289"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10</w:t>
            </w:r>
          </w:p>
        </w:tc>
        <w:tc>
          <w:tcPr>
            <w:tcW w:w="42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65.33%</w:t>
            </w:r>
          </w:p>
        </w:tc>
        <w:tc>
          <w:tcPr>
            <w:tcW w:w="30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6.53分</w:t>
            </w:r>
          </w:p>
        </w:tc>
      </w:tr>
      <w:tr>
        <w:tblPrEx>
          <w:tblCellMar>
            <w:top w:w="0" w:type="dxa"/>
            <w:left w:w="108" w:type="dxa"/>
            <w:bottom w:w="0" w:type="dxa"/>
            <w:right w:w="108" w:type="dxa"/>
          </w:tblCellMar>
        </w:tblPrEx>
        <w:trPr>
          <w:trHeight w:val="585" w:hRule="atLeast"/>
        </w:trPr>
        <w:tc>
          <w:tcPr>
            <w:tcW w:w="429"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76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其中：当年财政拨款</w:t>
            </w:r>
          </w:p>
        </w:tc>
        <w:tc>
          <w:tcPr>
            <w:tcW w:w="154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42.51</w:t>
            </w:r>
          </w:p>
        </w:tc>
        <w:tc>
          <w:tcPr>
            <w:tcW w:w="761"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42.51</w:t>
            </w:r>
          </w:p>
        </w:tc>
        <w:tc>
          <w:tcPr>
            <w:tcW w:w="48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27.77</w:t>
            </w:r>
          </w:p>
        </w:tc>
        <w:tc>
          <w:tcPr>
            <w:tcW w:w="289"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w:t>
            </w:r>
          </w:p>
        </w:tc>
        <w:tc>
          <w:tcPr>
            <w:tcW w:w="42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w:t>
            </w:r>
          </w:p>
        </w:tc>
        <w:tc>
          <w:tcPr>
            <w:tcW w:w="30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w:t>
            </w:r>
          </w:p>
        </w:tc>
      </w:tr>
      <w:tr>
        <w:tblPrEx>
          <w:tblCellMar>
            <w:top w:w="0" w:type="dxa"/>
            <w:left w:w="108" w:type="dxa"/>
            <w:bottom w:w="0" w:type="dxa"/>
            <w:right w:w="108" w:type="dxa"/>
          </w:tblCellMar>
        </w:tblPrEx>
        <w:trPr>
          <w:trHeight w:val="398" w:hRule="atLeast"/>
        </w:trPr>
        <w:tc>
          <w:tcPr>
            <w:tcW w:w="429"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76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xml:space="preserve">      上年结转资金</w:t>
            </w:r>
          </w:p>
        </w:tc>
        <w:tc>
          <w:tcPr>
            <w:tcW w:w="154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0</w:t>
            </w:r>
          </w:p>
        </w:tc>
        <w:tc>
          <w:tcPr>
            <w:tcW w:w="761"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0</w:t>
            </w:r>
          </w:p>
        </w:tc>
        <w:tc>
          <w:tcPr>
            <w:tcW w:w="48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0</w:t>
            </w:r>
          </w:p>
        </w:tc>
        <w:tc>
          <w:tcPr>
            <w:tcW w:w="289"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w:t>
            </w:r>
          </w:p>
        </w:tc>
        <w:tc>
          <w:tcPr>
            <w:tcW w:w="42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w:t>
            </w:r>
          </w:p>
        </w:tc>
        <w:tc>
          <w:tcPr>
            <w:tcW w:w="30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w:t>
            </w:r>
          </w:p>
        </w:tc>
      </w:tr>
      <w:tr>
        <w:tblPrEx>
          <w:tblCellMar>
            <w:top w:w="0" w:type="dxa"/>
            <w:left w:w="108" w:type="dxa"/>
            <w:bottom w:w="0" w:type="dxa"/>
            <w:right w:w="108" w:type="dxa"/>
          </w:tblCellMar>
        </w:tblPrEx>
        <w:trPr>
          <w:trHeight w:val="398" w:hRule="atLeast"/>
        </w:trPr>
        <w:tc>
          <w:tcPr>
            <w:tcW w:w="429"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76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xml:space="preserve">  其他资金</w:t>
            </w:r>
          </w:p>
        </w:tc>
        <w:tc>
          <w:tcPr>
            <w:tcW w:w="154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0</w:t>
            </w:r>
          </w:p>
        </w:tc>
        <w:tc>
          <w:tcPr>
            <w:tcW w:w="761"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0</w:t>
            </w:r>
          </w:p>
        </w:tc>
        <w:tc>
          <w:tcPr>
            <w:tcW w:w="48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0</w:t>
            </w:r>
          </w:p>
        </w:tc>
        <w:tc>
          <w:tcPr>
            <w:tcW w:w="289"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w:t>
            </w:r>
          </w:p>
        </w:tc>
        <w:tc>
          <w:tcPr>
            <w:tcW w:w="42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w:t>
            </w:r>
          </w:p>
        </w:tc>
        <w:tc>
          <w:tcPr>
            <w:tcW w:w="30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w:t>
            </w:r>
          </w:p>
        </w:tc>
      </w:tr>
      <w:tr>
        <w:tblPrEx>
          <w:tblCellMar>
            <w:top w:w="0" w:type="dxa"/>
            <w:left w:w="108" w:type="dxa"/>
            <w:bottom w:w="0" w:type="dxa"/>
            <w:right w:w="108" w:type="dxa"/>
          </w:tblCellMar>
        </w:tblPrEx>
        <w:trPr>
          <w:trHeight w:val="398" w:hRule="atLeast"/>
        </w:trPr>
        <w:tc>
          <w:tcPr>
            <w:tcW w:w="21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年度总体目标</w:t>
            </w:r>
          </w:p>
        </w:tc>
        <w:tc>
          <w:tcPr>
            <w:tcW w:w="3283" w:type="pct"/>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预期目标</w:t>
            </w:r>
          </w:p>
        </w:tc>
        <w:tc>
          <w:tcPr>
            <w:tcW w:w="1502" w:type="pct"/>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实际完成情况</w:t>
            </w:r>
          </w:p>
        </w:tc>
      </w:tr>
      <w:tr>
        <w:tblPrEx>
          <w:tblCellMar>
            <w:top w:w="0" w:type="dxa"/>
            <w:left w:w="108" w:type="dxa"/>
            <w:bottom w:w="0" w:type="dxa"/>
            <w:right w:w="108" w:type="dxa"/>
          </w:tblCellMar>
        </w:tblPrEx>
        <w:trPr>
          <w:trHeight w:val="2715" w:hRule="atLeast"/>
        </w:trPr>
        <w:tc>
          <w:tcPr>
            <w:tcW w:w="21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3283" w:type="pct"/>
            <w:gridSpan w:val="6"/>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18"/>
              </w:rPr>
            </w:pPr>
            <w:r>
              <w:rPr>
                <w:rFonts w:hint="eastAsia" w:ascii="宋体" w:hAnsi="宋体" w:cs="宋体"/>
                <w:color w:val="000000"/>
                <w:kern w:val="0"/>
                <w:sz w:val="18"/>
              </w:rPr>
              <w:t>保障学校日常的教育教学活动正常运行，提高教育教学条件，改善校园环境，改进教学设备；该经费主要用于办公、会议、印刷、教师培训、文体活动、水电、取暖、交通差旅、邮电、教育信息化网络费用、仪器设备及图书资料等购置、校园内道路、围墙、大门、运动场地、教室内教师讲台及仪器设备的日常维修维护，学校勤工俭学购买生产设备和工具、校园绿化美化、校园文化建设、学生健康体检、校方责任保险等</w:t>
            </w:r>
          </w:p>
        </w:tc>
        <w:tc>
          <w:tcPr>
            <w:tcW w:w="1502" w:type="pct"/>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18"/>
              </w:rPr>
            </w:pPr>
            <w:r>
              <w:rPr>
                <w:rFonts w:hint="eastAsia" w:ascii="宋体" w:hAnsi="宋体" w:cs="宋体"/>
                <w:color w:val="000000"/>
                <w:kern w:val="0"/>
                <w:sz w:val="18"/>
              </w:rPr>
              <w:t>该项目服务人数达到小学及初中1164人，资金使用完全合规合法，资金有结余，该项经费用于办公费、水电费、学校教学业务与管理、教师培训、文体活动、水电、取暖、交通差旅、仪器设备及图书资料等购置、房屋建筑物仪器设备的日常维修等相关开支。购置办公用品合格率很高，参加培训的教师都能合格结业。合理合规完的完成当年资金的支出，有效保障了学校正常运转，完成了教育教学活动和其他日常工作任务等。从而实现了该项目的社会效益，提高了学校教学水平、改善了办学条件。</w:t>
            </w:r>
          </w:p>
        </w:tc>
      </w:tr>
      <w:tr>
        <w:tblPrEx>
          <w:tblCellMar>
            <w:top w:w="0" w:type="dxa"/>
            <w:left w:w="108" w:type="dxa"/>
            <w:bottom w:w="0" w:type="dxa"/>
            <w:right w:w="108" w:type="dxa"/>
          </w:tblCellMar>
        </w:tblPrEx>
        <w:trPr>
          <w:trHeight w:val="398" w:hRule="atLeast"/>
        </w:trPr>
        <w:tc>
          <w:tcPr>
            <w:tcW w:w="21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c>
          <w:tcPr>
            <w:tcW w:w="215" w:type="pct"/>
            <w:tcBorders>
              <w:top w:val="nil"/>
              <w:left w:val="nil"/>
              <w:bottom w:val="single" w:color="auto" w:sz="4" w:space="0"/>
              <w:right w:val="nil"/>
            </w:tcBorders>
            <w:shd w:val="clear" w:color="auto" w:fill="auto"/>
          </w:tcPr>
          <w:p>
            <w:pPr>
              <w:widowControl/>
              <w:jc w:val="left"/>
              <w:rPr>
                <w:rFonts w:ascii="宋体" w:hAnsi="宋体" w:cs="宋体"/>
                <w:color w:val="000000"/>
                <w:kern w:val="0"/>
                <w:sz w:val="18"/>
              </w:rPr>
            </w:pPr>
            <w:r>
              <w:rPr>
                <w:rFonts w:hint="eastAsia" w:ascii="宋体" w:hAnsi="宋体" w:cs="宋体"/>
                <w:color w:val="000000"/>
                <w:kern w:val="0"/>
                <w:sz w:val="18"/>
              </w:rPr>
              <w:t>　</w:t>
            </w:r>
          </w:p>
        </w:tc>
        <w:tc>
          <w:tcPr>
            <w:tcW w:w="215" w:type="pct"/>
            <w:tcBorders>
              <w:top w:val="nil"/>
              <w:left w:val="nil"/>
              <w:bottom w:val="single" w:color="auto" w:sz="4" w:space="0"/>
              <w:right w:val="nil"/>
            </w:tcBorders>
            <w:shd w:val="clear" w:color="auto" w:fill="auto"/>
          </w:tcPr>
          <w:p>
            <w:pPr>
              <w:widowControl/>
              <w:jc w:val="left"/>
              <w:rPr>
                <w:rFonts w:ascii="宋体" w:hAnsi="宋体" w:cs="宋体"/>
                <w:color w:val="000000"/>
                <w:kern w:val="0"/>
                <w:sz w:val="18"/>
              </w:rPr>
            </w:pPr>
            <w:r>
              <w:rPr>
                <w:rFonts w:hint="eastAsia" w:ascii="宋体" w:hAnsi="宋体" w:cs="宋体"/>
                <w:color w:val="000000"/>
                <w:kern w:val="0"/>
                <w:sz w:val="18"/>
              </w:rPr>
              <w:t>　</w:t>
            </w:r>
          </w:p>
        </w:tc>
        <w:tc>
          <w:tcPr>
            <w:tcW w:w="552" w:type="pct"/>
            <w:tcBorders>
              <w:top w:val="nil"/>
              <w:left w:val="nil"/>
              <w:bottom w:val="single" w:color="auto" w:sz="4" w:space="0"/>
              <w:right w:val="nil"/>
            </w:tcBorders>
            <w:shd w:val="clear" w:color="auto" w:fill="auto"/>
          </w:tcPr>
          <w:p>
            <w:pPr>
              <w:widowControl/>
              <w:jc w:val="left"/>
              <w:rPr>
                <w:rFonts w:ascii="宋体" w:hAnsi="宋体" w:cs="宋体"/>
                <w:color w:val="000000"/>
                <w:kern w:val="0"/>
                <w:sz w:val="18"/>
              </w:rPr>
            </w:pPr>
            <w:r>
              <w:rPr>
                <w:rFonts w:hint="eastAsia" w:ascii="宋体" w:hAnsi="宋体" w:cs="宋体"/>
                <w:color w:val="000000"/>
                <w:kern w:val="0"/>
                <w:sz w:val="18"/>
              </w:rPr>
              <w:t>　</w:t>
            </w:r>
          </w:p>
        </w:tc>
        <w:tc>
          <w:tcPr>
            <w:tcW w:w="1541" w:type="pct"/>
            <w:tcBorders>
              <w:top w:val="nil"/>
              <w:left w:val="nil"/>
              <w:bottom w:val="single" w:color="auto" w:sz="4" w:space="0"/>
              <w:right w:val="nil"/>
            </w:tcBorders>
            <w:shd w:val="clear" w:color="auto" w:fill="auto"/>
          </w:tcPr>
          <w:p>
            <w:pPr>
              <w:widowControl/>
              <w:jc w:val="left"/>
              <w:rPr>
                <w:rFonts w:ascii="宋体" w:hAnsi="宋体" w:cs="宋体"/>
                <w:color w:val="000000"/>
                <w:kern w:val="0"/>
                <w:sz w:val="18"/>
              </w:rPr>
            </w:pPr>
            <w:r>
              <w:rPr>
                <w:rFonts w:hint="eastAsia" w:ascii="宋体" w:hAnsi="宋体" w:cs="宋体"/>
                <w:color w:val="000000"/>
                <w:kern w:val="0"/>
                <w:sz w:val="18"/>
              </w:rPr>
              <w:t>　</w:t>
            </w:r>
          </w:p>
        </w:tc>
        <w:tc>
          <w:tcPr>
            <w:tcW w:w="330" w:type="pct"/>
            <w:tcBorders>
              <w:top w:val="nil"/>
              <w:left w:val="nil"/>
              <w:bottom w:val="single" w:color="auto" w:sz="4" w:space="0"/>
              <w:right w:val="nil"/>
            </w:tcBorders>
            <w:shd w:val="clear" w:color="auto" w:fill="auto"/>
          </w:tcPr>
          <w:p>
            <w:pPr>
              <w:widowControl/>
              <w:jc w:val="left"/>
              <w:rPr>
                <w:rFonts w:ascii="宋体" w:hAnsi="宋体" w:cs="宋体"/>
                <w:color w:val="000000"/>
                <w:kern w:val="0"/>
                <w:sz w:val="18"/>
              </w:rPr>
            </w:pPr>
            <w:r>
              <w:rPr>
                <w:rFonts w:hint="eastAsia" w:ascii="宋体" w:hAnsi="宋体" w:cs="宋体"/>
                <w:color w:val="000000"/>
                <w:kern w:val="0"/>
                <w:sz w:val="18"/>
              </w:rPr>
              <w:t>　</w:t>
            </w:r>
          </w:p>
        </w:tc>
        <w:tc>
          <w:tcPr>
            <w:tcW w:w="431" w:type="pct"/>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 w:val="18"/>
              </w:rPr>
            </w:pPr>
            <w:r>
              <w:rPr>
                <w:rFonts w:hint="eastAsia" w:ascii="宋体" w:hAnsi="宋体" w:cs="宋体"/>
                <w:color w:val="000000"/>
                <w:kern w:val="0"/>
                <w:sz w:val="18"/>
              </w:rPr>
              <w:t>　</w:t>
            </w:r>
          </w:p>
        </w:tc>
        <w:tc>
          <w:tcPr>
            <w:tcW w:w="344" w:type="pct"/>
            <w:tcBorders>
              <w:top w:val="nil"/>
              <w:left w:val="nil"/>
              <w:bottom w:val="single" w:color="auto" w:sz="4" w:space="0"/>
              <w:right w:val="nil"/>
            </w:tcBorders>
            <w:shd w:val="clear" w:color="auto" w:fill="auto"/>
          </w:tcPr>
          <w:p>
            <w:pPr>
              <w:widowControl/>
              <w:jc w:val="left"/>
              <w:rPr>
                <w:rFonts w:ascii="宋体" w:hAnsi="宋体" w:cs="宋体"/>
                <w:color w:val="000000"/>
                <w:kern w:val="0"/>
                <w:sz w:val="18"/>
              </w:rPr>
            </w:pPr>
            <w:r>
              <w:rPr>
                <w:rFonts w:hint="eastAsia" w:ascii="宋体" w:hAnsi="宋体" w:cs="宋体"/>
                <w:color w:val="000000"/>
                <w:kern w:val="0"/>
                <w:sz w:val="18"/>
              </w:rPr>
              <w:t>　</w:t>
            </w:r>
          </w:p>
        </w:tc>
        <w:tc>
          <w:tcPr>
            <w:tcW w:w="142" w:type="pct"/>
            <w:tcBorders>
              <w:top w:val="nil"/>
              <w:left w:val="nil"/>
              <w:bottom w:val="single" w:color="auto" w:sz="4" w:space="0"/>
              <w:right w:val="nil"/>
            </w:tcBorders>
            <w:shd w:val="clear" w:color="auto" w:fill="auto"/>
          </w:tcPr>
          <w:p>
            <w:pPr>
              <w:widowControl/>
              <w:jc w:val="left"/>
              <w:rPr>
                <w:rFonts w:ascii="宋体" w:hAnsi="宋体" w:cs="宋体"/>
                <w:color w:val="000000"/>
                <w:kern w:val="0"/>
                <w:sz w:val="18"/>
              </w:rPr>
            </w:pPr>
            <w:r>
              <w:rPr>
                <w:rFonts w:hint="eastAsia" w:ascii="宋体" w:hAnsi="宋体" w:cs="宋体"/>
                <w:color w:val="000000"/>
                <w:kern w:val="0"/>
                <w:sz w:val="18"/>
              </w:rPr>
              <w:t>　</w:t>
            </w:r>
          </w:p>
        </w:tc>
        <w:tc>
          <w:tcPr>
            <w:tcW w:w="140" w:type="pct"/>
            <w:tcBorders>
              <w:top w:val="nil"/>
              <w:left w:val="nil"/>
              <w:bottom w:val="single" w:color="auto" w:sz="4" w:space="0"/>
              <w:right w:val="nil"/>
            </w:tcBorders>
            <w:shd w:val="clear" w:color="auto" w:fill="auto"/>
          </w:tcPr>
          <w:p>
            <w:pPr>
              <w:widowControl/>
              <w:jc w:val="left"/>
              <w:rPr>
                <w:rFonts w:ascii="宋体" w:hAnsi="宋体" w:cs="宋体"/>
                <w:color w:val="000000"/>
                <w:kern w:val="0"/>
                <w:sz w:val="18"/>
              </w:rPr>
            </w:pPr>
            <w:r>
              <w:rPr>
                <w:rFonts w:hint="eastAsia" w:ascii="宋体" w:hAnsi="宋体" w:cs="宋体"/>
                <w:color w:val="000000"/>
                <w:kern w:val="0"/>
                <w:sz w:val="18"/>
              </w:rPr>
              <w:t>　</w:t>
            </w:r>
          </w:p>
        </w:tc>
        <w:tc>
          <w:tcPr>
            <w:tcW w:w="149" w:type="pct"/>
            <w:tcBorders>
              <w:top w:val="nil"/>
              <w:left w:val="nil"/>
              <w:bottom w:val="single" w:color="auto" w:sz="4" w:space="0"/>
              <w:right w:val="nil"/>
            </w:tcBorders>
            <w:shd w:val="clear" w:color="auto" w:fill="auto"/>
          </w:tcPr>
          <w:p>
            <w:pPr>
              <w:widowControl/>
              <w:jc w:val="left"/>
              <w:rPr>
                <w:rFonts w:ascii="宋体" w:hAnsi="宋体" w:cs="宋体"/>
                <w:color w:val="000000"/>
                <w:kern w:val="0"/>
                <w:sz w:val="18"/>
              </w:rPr>
            </w:pPr>
            <w:r>
              <w:rPr>
                <w:rFonts w:hint="eastAsia" w:ascii="宋体" w:hAnsi="宋体" w:cs="宋体"/>
                <w:color w:val="000000"/>
                <w:kern w:val="0"/>
                <w:sz w:val="18"/>
              </w:rPr>
              <w:t>　</w:t>
            </w:r>
          </w:p>
        </w:tc>
        <w:tc>
          <w:tcPr>
            <w:tcW w:w="220" w:type="pct"/>
            <w:tcBorders>
              <w:top w:val="nil"/>
              <w:left w:val="nil"/>
              <w:bottom w:val="single" w:color="auto" w:sz="4" w:space="0"/>
              <w:right w:val="nil"/>
            </w:tcBorders>
            <w:shd w:val="clear" w:color="auto" w:fill="auto"/>
          </w:tcPr>
          <w:p>
            <w:pPr>
              <w:widowControl/>
              <w:jc w:val="left"/>
              <w:rPr>
                <w:rFonts w:ascii="宋体" w:hAnsi="宋体" w:cs="宋体"/>
                <w:color w:val="000000"/>
                <w:kern w:val="0"/>
                <w:sz w:val="18"/>
              </w:rPr>
            </w:pPr>
            <w:r>
              <w:rPr>
                <w:rFonts w:hint="eastAsia" w:ascii="宋体" w:hAnsi="宋体" w:cs="宋体"/>
                <w:color w:val="000000"/>
                <w:kern w:val="0"/>
                <w:sz w:val="18"/>
              </w:rPr>
              <w:t>　</w:t>
            </w:r>
          </w:p>
        </w:tc>
        <w:tc>
          <w:tcPr>
            <w:tcW w:w="206" w:type="pct"/>
            <w:tcBorders>
              <w:top w:val="nil"/>
              <w:left w:val="nil"/>
              <w:bottom w:val="single" w:color="auto" w:sz="4" w:space="0"/>
              <w:right w:val="nil"/>
            </w:tcBorders>
            <w:shd w:val="clear" w:color="auto" w:fill="auto"/>
          </w:tcPr>
          <w:p>
            <w:pPr>
              <w:widowControl/>
              <w:jc w:val="left"/>
              <w:rPr>
                <w:rFonts w:ascii="宋体" w:hAnsi="宋体" w:cs="宋体"/>
                <w:color w:val="000000"/>
                <w:kern w:val="0"/>
                <w:sz w:val="18"/>
              </w:rPr>
            </w:pPr>
            <w:r>
              <w:rPr>
                <w:rFonts w:hint="eastAsia" w:ascii="宋体" w:hAnsi="宋体" w:cs="宋体"/>
                <w:color w:val="000000"/>
                <w:kern w:val="0"/>
                <w:sz w:val="18"/>
              </w:rPr>
              <w:t>　</w:t>
            </w:r>
          </w:p>
        </w:tc>
        <w:tc>
          <w:tcPr>
            <w:tcW w:w="301" w:type="pct"/>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 w:val="18"/>
              </w:rPr>
            </w:pPr>
            <w:r>
              <w:rPr>
                <w:rFonts w:hint="eastAsia" w:ascii="宋体" w:hAnsi="宋体" w:cs="宋体"/>
                <w:color w:val="000000"/>
                <w:kern w:val="0"/>
                <w:sz w:val="18"/>
              </w:rPr>
              <w:t>　</w:t>
            </w:r>
          </w:p>
        </w:tc>
      </w:tr>
      <w:tr>
        <w:tblPrEx>
          <w:tblCellMar>
            <w:top w:w="0" w:type="dxa"/>
            <w:left w:w="108" w:type="dxa"/>
            <w:bottom w:w="0" w:type="dxa"/>
            <w:right w:w="108" w:type="dxa"/>
          </w:tblCellMar>
        </w:tblPrEx>
        <w:trPr>
          <w:trHeight w:val="624" w:hRule="atLeast"/>
        </w:trPr>
        <w:tc>
          <w:tcPr>
            <w:tcW w:w="21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c>
          <w:tcPr>
            <w:tcW w:w="21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一级指标</w:t>
            </w:r>
          </w:p>
        </w:tc>
        <w:tc>
          <w:tcPr>
            <w:tcW w:w="21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二级指标</w:t>
            </w:r>
          </w:p>
        </w:tc>
        <w:tc>
          <w:tcPr>
            <w:tcW w:w="2423"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三级指标</w:t>
            </w:r>
          </w:p>
        </w:tc>
        <w:tc>
          <w:tcPr>
            <w:tcW w:w="43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年度指标值</w:t>
            </w:r>
          </w:p>
        </w:tc>
        <w:tc>
          <w:tcPr>
            <w:tcW w:w="34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实际完成值</w:t>
            </w:r>
          </w:p>
        </w:tc>
        <w:tc>
          <w:tcPr>
            <w:tcW w:w="282"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分值</w:t>
            </w:r>
          </w:p>
        </w:tc>
        <w:tc>
          <w:tcPr>
            <w:tcW w:w="369"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得分</w:t>
            </w:r>
          </w:p>
        </w:tc>
        <w:tc>
          <w:tcPr>
            <w:tcW w:w="507"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偏差原因分析及改进措施</w:t>
            </w:r>
          </w:p>
        </w:tc>
      </w:tr>
      <w:tr>
        <w:tblPrEx>
          <w:tblCellMar>
            <w:top w:w="0" w:type="dxa"/>
            <w:left w:w="108" w:type="dxa"/>
            <w:bottom w:w="0" w:type="dxa"/>
            <w:right w:w="108" w:type="dxa"/>
          </w:tblCellMar>
        </w:tblPrEx>
        <w:trPr>
          <w:trHeight w:val="624" w:hRule="atLeast"/>
        </w:trPr>
        <w:tc>
          <w:tcPr>
            <w:tcW w:w="21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21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21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2423"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43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34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282"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369"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507"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r>
      <w:tr>
        <w:tblPrEx>
          <w:tblCellMar>
            <w:top w:w="0" w:type="dxa"/>
            <w:left w:w="108" w:type="dxa"/>
            <w:bottom w:w="0" w:type="dxa"/>
            <w:right w:w="108" w:type="dxa"/>
          </w:tblCellMar>
        </w:tblPrEx>
        <w:trPr>
          <w:trHeight w:val="735" w:hRule="atLeast"/>
        </w:trPr>
        <w:tc>
          <w:tcPr>
            <w:tcW w:w="21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年度绩效指标完成情况</w:t>
            </w:r>
          </w:p>
        </w:tc>
        <w:tc>
          <w:tcPr>
            <w:tcW w:w="21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产出指标</w:t>
            </w:r>
          </w:p>
        </w:tc>
        <w:tc>
          <w:tcPr>
            <w:tcW w:w="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数量指标</w:t>
            </w:r>
          </w:p>
        </w:tc>
        <w:tc>
          <w:tcPr>
            <w:tcW w:w="2423" w:type="pct"/>
            <w:gridSpan w:val="3"/>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18"/>
              </w:rPr>
            </w:pPr>
            <w:r>
              <w:rPr>
                <w:rFonts w:hint="eastAsia" w:ascii="宋体" w:hAnsi="宋体" w:cs="宋体"/>
                <w:color w:val="000000"/>
                <w:kern w:val="0"/>
                <w:sz w:val="18"/>
              </w:rPr>
              <w:t>购买办公用品类别</w:t>
            </w:r>
          </w:p>
        </w:tc>
        <w:tc>
          <w:tcPr>
            <w:tcW w:w="43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&gt;=10类</w:t>
            </w:r>
          </w:p>
        </w:tc>
        <w:tc>
          <w:tcPr>
            <w:tcW w:w="34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5类</w:t>
            </w:r>
          </w:p>
        </w:tc>
        <w:tc>
          <w:tcPr>
            <w:tcW w:w="282"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10</w:t>
            </w:r>
          </w:p>
        </w:tc>
        <w:tc>
          <w:tcPr>
            <w:tcW w:w="369"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5</w:t>
            </w:r>
          </w:p>
        </w:tc>
        <w:tc>
          <w:tcPr>
            <w:tcW w:w="507" w:type="pct"/>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rPr>
            </w:pPr>
            <w:r>
              <w:rPr>
                <w:rFonts w:hint="eastAsia" w:ascii="宋体" w:hAnsi="宋体" w:cs="宋体"/>
                <w:color w:val="000000"/>
                <w:kern w:val="0"/>
                <w:sz w:val="18"/>
              </w:rPr>
              <w:t>因疫情原因，办公用品类别减少</w:t>
            </w:r>
          </w:p>
        </w:tc>
      </w:tr>
      <w:tr>
        <w:tblPrEx>
          <w:tblCellMar>
            <w:top w:w="0" w:type="dxa"/>
            <w:left w:w="108" w:type="dxa"/>
            <w:bottom w:w="0" w:type="dxa"/>
            <w:right w:w="108" w:type="dxa"/>
          </w:tblCellMar>
        </w:tblPrEx>
        <w:trPr>
          <w:trHeight w:val="615" w:hRule="atLeast"/>
        </w:trPr>
        <w:tc>
          <w:tcPr>
            <w:tcW w:w="21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21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数量指标</w:t>
            </w:r>
          </w:p>
        </w:tc>
        <w:tc>
          <w:tcPr>
            <w:tcW w:w="2423" w:type="pct"/>
            <w:gridSpan w:val="3"/>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18"/>
              </w:rPr>
            </w:pPr>
            <w:r>
              <w:rPr>
                <w:rFonts w:hint="eastAsia" w:ascii="宋体" w:hAnsi="宋体" w:cs="宋体"/>
                <w:color w:val="000000"/>
                <w:kern w:val="0"/>
                <w:sz w:val="18"/>
              </w:rPr>
              <w:t>校舍日常维修次数</w:t>
            </w:r>
          </w:p>
        </w:tc>
        <w:tc>
          <w:tcPr>
            <w:tcW w:w="43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&gt;=4次</w:t>
            </w:r>
          </w:p>
        </w:tc>
        <w:tc>
          <w:tcPr>
            <w:tcW w:w="34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2次</w:t>
            </w:r>
          </w:p>
        </w:tc>
        <w:tc>
          <w:tcPr>
            <w:tcW w:w="282"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10</w:t>
            </w:r>
          </w:p>
        </w:tc>
        <w:tc>
          <w:tcPr>
            <w:tcW w:w="369"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5</w:t>
            </w:r>
          </w:p>
        </w:tc>
        <w:tc>
          <w:tcPr>
            <w:tcW w:w="507" w:type="pct"/>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rPr>
            </w:pPr>
            <w:r>
              <w:rPr>
                <w:rFonts w:hint="eastAsia" w:ascii="宋体" w:hAnsi="宋体" w:cs="宋体"/>
                <w:color w:val="000000"/>
                <w:kern w:val="0"/>
                <w:sz w:val="18"/>
              </w:rPr>
              <w:t>学校进行装修改造，减少了零星维修次数。</w:t>
            </w:r>
          </w:p>
        </w:tc>
      </w:tr>
      <w:tr>
        <w:tblPrEx>
          <w:tblCellMar>
            <w:top w:w="0" w:type="dxa"/>
            <w:left w:w="108" w:type="dxa"/>
            <w:bottom w:w="0" w:type="dxa"/>
            <w:right w:w="108" w:type="dxa"/>
          </w:tblCellMar>
        </w:tblPrEx>
        <w:trPr>
          <w:trHeight w:val="398" w:hRule="atLeast"/>
        </w:trPr>
        <w:tc>
          <w:tcPr>
            <w:tcW w:w="21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21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质量指标</w:t>
            </w:r>
          </w:p>
        </w:tc>
        <w:tc>
          <w:tcPr>
            <w:tcW w:w="2423" w:type="pct"/>
            <w:gridSpan w:val="3"/>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18"/>
              </w:rPr>
            </w:pPr>
            <w:r>
              <w:rPr>
                <w:rFonts w:hint="eastAsia" w:ascii="宋体" w:hAnsi="宋体" w:cs="宋体"/>
                <w:color w:val="000000"/>
                <w:kern w:val="0"/>
                <w:sz w:val="18"/>
              </w:rPr>
              <w:t>购买办公用品质量合格率</w:t>
            </w:r>
          </w:p>
        </w:tc>
        <w:tc>
          <w:tcPr>
            <w:tcW w:w="43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&gt;=95%</w:t>
            </w:r>
          </w:p>
        </w:tc>
        <w:tc>
          <w:tcPr>
            <w:tcW w:w="34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100%</w:t>
            </w:r>
          </w:p>
        </w:tc>
        <w:tc>
          <w:tcPr>
            <w:tcW w:w="282"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5</w:t>
            </w:r>
          </w:p>
        </w:tc>
        <w:tc>
          <w:tcPr>
            <w:tcW w:w="369"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5</w:t>
            </w:r>
          </w:p>
        </w:tc>
        <w:tc>
          <w:tcPr>
            <w:tcW w:w="507" w:type="pct"/>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rPr>
            </w:pPr>
            <w:r>
              <w:rPr>
                <w:rFonts w:hint="eastAsia" w:ascii="宋体" w:hAnsi="宋体" w:cs="宋体"/>
                <w:color w:val="000000"/>
                <w:kern w:val="0"/>
                <w:sz w:val="18"/>
              </w:rPr>
              <w:t>　</w:t>
            </w:r>
          </w:p>
        </w:tc>
      </w:tr>
      <w:tr>
        <w:tblPrEx>
          <w:tblCellMar>
            <w:top w:w="0" w:type="dxa"/>
            <w:left w:w="108" w:type="dxa"/>
            <w:bottom w:w="0" w:type="dxa"/>
            <w:right w:w="108" w:type="dxa"/>
          </w:tblCellMar>
        </w:tblPrEx>
        <w:trPr>
          <w:trHeight w:val="398" w:hRule="atLeast"/>
        </w:trPr>
        <w:tc>
          <w:tcPr>
            <w:tcW w:w="21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21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质量指标</w:t>
            </w:r>
          </w:p>
        </w:tc>
        <w:tc>
          <w:tcPr>
            <w:tcW w:w="2423" w:type="pct"/>
            <w:gridSpan w:val="3"/>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18"/>
              </w:rPr>
            </w:pPr>
            <w:r>
              <w:rPr>
                <w:rFonts w:hint="eastAsia" w:ascii="宋体" w:hAnsi="宋体" w:cs="宋体"/>
                <w:color w:val="000000"/>
                <w:kern w:val="0"/>
                <w:sz w:val="18"/>
              </w:rPr>
              <w:t>学校校舍日常维修改造质量达标率</w:t>
            </w:r>
          </w:p>
        </w:tc>
        <w:tc>
          <w:tcPr>
            <w:tcW w:w="43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&gt;=95%</w:t>
            </w:r>
          </w:p>
        </w:tc>
        <w:tc>
          <w:tcPr>
            <w:tcW w:w="34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100%</w:t>
            </w:r>
          </w:p>
        </w:tc>
        <w:tc>
          <w:tcPr>
            <w:tcW w:w="282"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5</w:t>
            </w:r>
          </w:p>
        </w:tc>
        <w:tc>
          <w:tcPr>
            <w:tcW w:w="369"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5</w:t>
            </w:r>
          </w:p>
        </w:tc>
        <w:tc>
          <w:tcPr>
            <w:tcW w:w="507" w:type="pct"/>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rPr>
            </w:pPr>
            <w:r>
              <w:rPr>
                <w:rFonts w:hint="eastAsia" w:ascii="宋体" w:hAnsi="宋体" w:cs="宋体"/>
                <w:color w:val="000000"/>
                <w:kern w:val="0"/>
                <w:sz w:val="18"/>
              </w:rPr>
              <w:t>　</w:t>
            </w:r>
          </w:p>
        </w:tc>
      </w:tr>
      <w:tr>
        <w:tblPrEx>
          <w:tblCellMar>
            <w:top w:w="0" w:type="dxa"/>
            <w:left w:w="108" w:type="dxa"/>
            <w:bottom w:w="0" w:type="dxa"/>
            <w:right w:w="108" w:type="dxa"/>
          </w:tblCellMar>
        </w:tblPrEx>
        <w:trPr>
          <w:trHeight w:val="398" w:hRule="atLeast"/>
        </w:trPr>
        <w:tc>
          <w:tcPr>
            <w:tcW w:w="21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21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时效指标</w:t>
            </w:r>
          </w:p>
        </w:tc>
        <w:tc>
          <w:tcPr>
            <w:tcW w:w="2423" w:type="pct"/>
            <w:gridSpan w:val="3"/>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18"/>
              </w:rPr>
            </w:pPr>
            <w:r>
              <w:rPr>
                <w:rFonts w:hint="eastAsia" w:ascii="宋体" w:hAnsi="宋体" w:cs="宋体"/>
                <w:color w:val="000000"/>
                <w:kern w:val="0"/>
                <w:sz w:val="18"/>
              </w:rPr>
              <w:t>　</w:t>
            </w:r>
          </w:p>
        </w:tc>
        <w:tc>
          <w:tcPr>
            <w:tcW w:w="43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c>
          <w:tcPr>
            <w:tcW w:w="34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c>
          <w:tcPr>
            <w:tcW w:w="282"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c>
          <w:tcPr>
            <w:tcW w:w="369"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c>
          <w:tcPr>
            <w:tcW w:w="507" w:type="pct"/>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rPr>
            </w:pPr>
            <w:r>
              <w:rPr>
                <w:rFonts w:hint="eastAsia" w:ascii="宋体" w:hAnsi="宋体" w:cs="宋体"/>
                <w:color w:val="000000"/>
                <w:kern w:val="0"/>
                <w:sz w:val="18"/>
              </w:rPr>
              <w:t>　</w:t>
            </w:r>
          </w:p>
        </w:tc>
      </w:tr>
      <w:tr>
        <w:tblPrEx>
          <w:tblCellMar>
            <w:top w:w="0" w:type="dxa"/>
            <w:left w:w="108" w:type="dxa"/>
            <w:bottom w:w="0" w:type="dxa"/>
            <w:right w:w="108" w:type="dxa"/>
          </w:tblCellMar>
        </w:tblPrEx>
        <w:trPr>
          <w:trHeight w:val="885" w:hRule="atLeast"/>
        </w:trPr>
        <w:tc>
          <w:tcPr>
            <w:tcW w:w="21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21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成本指标</w:t>
            </w:r>
          </w:p>
        </w:tc>
        <w:tc>
          <w:tcPr>
            <w:tcW w:w="2423" w:type="pct"/>
            <w:gridSpan w:val="3"/>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18"/>
              </w:rPr>
            </w:pPr>
            <w:r>
              <w:rPr>
                <w:rFonts w:hint="eastAsia" w:ascii="宋体" w:hAnsi="宋体" w:cs="宋体"/>
                <w:color w:val="000000"/>
                <w:kern w:val="0"/>
                <w:sz w:val="18"/>
              </w:rPr>
              <w:t>每类办公用品采购成本</w:t>
            </w:r>
          </w:p>
        </w:tc>
        <w:tc>
          <w:tcPr>
            <w:tcW w:w="43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&lt;=15000元</w:t>
            </w:r>
          </w:p>
        </w:tc>
        <w:tc>
          <w:tcPr>
            <w:tcW w:w="34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10050元</w:t>
            </w:r>
          </w:p>
        </w:tc>
        <w:tc>
          <w:tcPr>
            <w:tcW w:w="282"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10</w:t>
            </w:r>
          </w:p>
        </w:tc>
        <w:tc>
          <w:tcPr>
            <w:tcW w:w="369"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6.7</w:t>
            </w:r>
          </w:p>
        </w:tc>
        <w:tc>
          <w:tcPr>
            <w:tcW w:w="507" w:type="pct"/>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rPr>
            </w:pPr>
            <w:r>
              <w:rPr>
                <w:rFonts w:hint="eastAsia" w:ascii="宋体" w:hAnsi="宋体" w:cs="宋体"/>
                <w:color w:val="000000"/>
                <w:kern w:val="0"/>
                <w:sz w:val="18"/>
              </w:rPr>
              <w:t>因疫情原因，财政资金紧张，无法达到支付预期效果</w:t>
            </w:r>
          </w:p>
        </w:tc>
      </w:tr>
      <w:tr>
        <w:tblPrEx>
          <w:tblCellMar>
            <w:top w:w="0" w:type="dxa"/>
            <w:left w:w="108" w:type="dxa"/>
            <w:bottom w:w="0" w:type="dxa"/>
            <w:right w:w="108" w:type="dxa"/>
          </w:tblCellMar>
        </w:tblPrEx>
        <w:trPr>
          <w:trHeight w:val="915" w:hRule="atLeast"/>
        </w:trPr>
        <w:tc>
          <w:tcPr>
            <w:tcW w:w="21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21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成本指标</w:t>
            </w:r>
          </w:p>
        </w:tc>
        <w:tc>
          <w:tcPr>
            <w:tcW w:w="2423" w:type="pct"/>
            <w:gridSpan w:val="3"/>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18"/>
              </w:rPr>
            </w:pPr>
            <w:r>
              <w:rPr>
                <w:rFonts w:hint="eastAsia" w:ascii="宋体" w:hAnsi="宋体" w:cs="宋体"/>
                <w:color w:val="000000"/>
                <w:kern w:val="0"/>
                <w:sz w:val="18"/>
              </w:rPr>
              <w:t>每次零星维修成本</w:t>
            </w:r>
          </w:p>
        </w:tc>
        <w:tc>
          <w:tcPr>
            <w:tcW w:w="43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&lt;=50000元</w:t>
            </w:r>
          </w:p>
        </w:tc>
        <w:tc>
          <w:tcPr>
            <w:tcW w:w="34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28800元</w:t>
            </w:r>
          </w:p>
        </w:tc>
        <w:tc>
          <w:tcPr>
            <w:tcW w:w="282"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5</w:t>
            </w:r>
          </w:p>
        </w:tc>
        <w:tc>
          <w:tcPr>
            <w:tcW w:w="369"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2.88</w:t>
            </w:r>
          </w:p>
        </w:tc>
        <w:tc>
          <w:tcPr>
            <w:tcW w:w="507" w:type="pct"/>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rPr>
            </w:pPr>
            <w:r>
              <w:rPr>
                <w:rFonts w:hint="eastAsia" w:ascii="宋体" w:hAnsi="宋体" w:cs="宋体"/>
                <w:color w:val="000000"/>
                <w:kern w:val="0"/>
                <w:sz w:val="18"/>
              </w:rPr>
              <w:t>因疫情原因，财政资金紧张，无法达到支付预期效果</w:t>
            </w:r>
          </w:p>
        </w:tc>
      </w:tr>
      <w:tr>
        <w:tblPrEx>
          <w:tblCellMar>
            <w:top w:w="0" w:type="dxa"/>
            <w:left w:w="108" w:type="dxa"/>
            <w:bottom w:w="0" w:type="dxa"/>
            <w:right w:w="108" w:type="dxa"/>
          </w:tblCellMar>
        </w:tblPrEx>
        <w:trPr>
          <w:trHeight w:val="398" w:hRule="atLeast"/>
        </w:trPr>
        <w:tc>
          <w:tcPr>
            <w:tcW w:w="21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21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成本指标</w:t>
            </w:r>
          </w:p>
        </w:tc>
        <w:tc>
          <w:tcPr>
            <w:tcW w:w="2423" w:type="pct"/>
            <w:gridSpan w:val="3"/>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18"/>
              </w:rPr>
            </w:pPr>
            <w:r>
              <w:rPr>
                <w:rFonts w:hint="eastAsia" w:ascii="宋体" w:hAnsi="宋体" w:cs="宋体"/>
                <w:color w:val="000000"/>
                <w:kern w:val="0"/>
                <w:sz w:val="18"/>
              </w:rPr>
              <w:t>学校其他日常公用支出</w:t>
            </w:r>
          </w:p>
        </w:tc>
        <w:tc>
          <w:tcPr>
            <w:tcW w:w="43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&lt;=75100元</w:t>
            </w:r>
          </w:p>
        </w:tc>
        <w:tc>
          <w:tcPr>
            <w:tcW w:w="34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75100元</w:t>
            </w:r>
          </w:p>
        </w:tc>
        <w:tc>
          <w:tcPr>
            <w:tcW w:w="282"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5</w:t>
            </w:r>
          </w:p>
        </w:tc>
        <w:tc>
          <w:tcPr>
            <w:tcW w:w="369"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5</w:t>
            </w:r>
          </w:p>
        </w:tc>
        <w:tc>
          <w:tcPr>
            <w:tcW w:w="507" w:type="pct"/>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rPr>
            </w:pPr>
            <w:r>
              <w:rPr>
                <w:rFonts w:hint="eastAsia" w:ascii="宋体" w:hAnsi="宋体" w:cs="宋体"/>
                <w:color w:val="000000"/>
                <w:kern w:val="0"/>
                <w:sz w:val="18"/>
              </w:rPr>
              <w:t>　</w:t>
            </w:r>
          </w:p>
        </w:tc>
      </w:tr>
      <w:tr>
        <w:tblPrEx>
          <w:tblCellMar>
            <w:top w:w="0" w:type="dxa"/>
            <w:left w:w="108" w:type="dxa"/>
            <w:bottom w:w="0" w:type="dxa"/>
            <w:right w:w="108" w:type="dxa"/>
          </w:tblCellMar>
        </w:tblPrEx>
        <w:trPr>
          <w:trHeight w:val="398" w:hRule="atLeast"/>
        </w:trPr>
        <w:tc>
          <w:tcPr>
            <w:tcW w:w="21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21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效益指标</w:t>
            </w:r>
          </w:p>
        </w:tc>
        <w:tc>
          <w:tcPr>
            <w:tcW w:w="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经济效益指标</w:t>
            </w:r>
          </w:p>
        </w:tc>
        <w:tc>
          <w:tcPr>
            <w:tcW w:w="2423" w:type="pct"/>
            <w:gridSpan w:val="3"/>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18"/>
              </w:rPr>
            </w:pPr>
            <w:r>
              <w:rPr>
                <w:rFonts w:hint="eastAsia" w:ascii="宋体" w:hAnsi="宋体" w:cs="宋体"/>
                <w:color w:val="000000"/>
                <w:kern w:val="0"/>
                <w:sz w:val="18"/>
              </w:rPr>
              <w:t>　</w:t>
            </w:r>
          </w:p>
        </w:tc>
        <w:tc>
          <w:tcPr>
            <w:tcW w:w="43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c>
          <w:tcPr>
            <w:tcW w:w="34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c>
          <w:tcPr>
            <w:tcW w:w="282"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c>
          <w:tcPr>
            <w:tcW w:w="369"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c>
          <w:tcPr>
            <w:tcW w:w="507" w:type="pct"/>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rPr>
            </w:pPr>
            <w:r>
              <w:rPr>
                <w:rFonts w:hint="eastAsia" w:ascii="宋体" w:hAnsi="宋体" w:cs="宋体"/>
                <w:color w:val="000000"/>
                <w:kern w:val="0"/>
                <w:sz w:val="18"/>
              </w:rPr>
              <w:t>　</w:t>
            </w:r>
          </w:p>
        </w:tc>
      </w:tr>
      <w:tr>
        <w:tblPrEx>
          <w:tblCellMar>
            <w:top w:w="0" w:type="dxa"/>
            <w:left w:w="108" w:type="dxa"/>
            <w:bottom w:w="0" w:type="dxa"/>
            <w:right w:w="108" w:type="dxa"/>
          </w:tblCellMar>
        </w:tblPrEx>
        <w:trPr>
          <w:trHeight w:val="885" w:hRule="atLeast"/>
        </w:trPr>
        <w:tc>
          <w:tcPr>
            <w:tcW w:w="21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21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社会效益指标</w:t>
            </w:r>
          </w:p>
        </w:tc>
        <w:tc>
          <w:tcPr>
            <w:tcW w:w="2423" w:type="pct"/>
            <w:gridSpan w:val="3"/>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18"/>
              </w:rPr>
            </w:pPr>
            <w:r>
              <w:rPr>
                <w:rFonts w:hint="eastAsia" w:ascii="宋体" w:hAnsi="宋体" w:cs="宋体"/>
                <w:color w:val="000000"/>
                <w:kern w:val="0"/>
                <w:sz w:val="18"/>
              </w:rPr>
              <w:t>提高学校教学水平、改善办学条件</w:t>
            </w:r>
          </w:p>
        </w:tc>
        <w:tc>
          <w:tcPr>
            <w:tcW w:w="43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有效提高</w:t>
            </w:r>
          </w:p>
        </w:tc>
        <w:tc>
          <w:tcPr>
            <w:tcW w:w="34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基本达到预期效果</w:t>
            </w:r>
          </w:p>
        </w:tc>
        <w:tc>
          <w:tcPr>
            <w:tcW w:w="282"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20</w:t>
            </w:r>
          </w:p>
        </w:tc>
        <w:tc>
          <w:tcPr>
            <w:tcW w:w="369"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16</w:t>
            </w:r>
          </w:p>
        </w:tc>
        <w:tc>
          <w:tcPr>
            <w:tcW w:w="507" w:type="pct"/>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rPr>
            </w:pPr>
            <w:r>
              <w:rPr>
                <w:rFonts w:hint="eastAsia" w:ascii="宋体" w:hAnsi="宋体" w:cs="宋体"/>
                <w:color w:val="000000"/>
                <w:kern w:val="0"/>
                <w:sz w:val="18"/>
              </w:rPr>
              <w:t>因疫情原因，财政资金紧张，无法达到预期效果</w:t>
            </w:r>
          </w:p>
        </w:tc>
      </w:tr>
      <w:tr>
        <w:tblPrEx>
          <w:tblCellMar>
            <w:top w:w="0" w:type="dxa"/>
            <w:left w:w="108" w:type="dxa"/>
            <w:bottom w:w="0" w:type="dxa"/>
            <w:right w:w="108" w:type="dxa"/>
          </w:tblCellMar>
        </w:tblPrEx>
        <w:trPr>
          <w:trHeight w:val="398" w:hRule="atLeast"/>
        </w:trPr>
        <w:tc>
          <w:tcPr>
            <w:tcW w:w="21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21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生态效益指标</w:t>
            </w:r>
          </w:p>
        </w:tc>
        <w:tc>
          <w:tcPr>
            <w:tcW w:w="2423" w:type="pct"/>
            <w:gridSpan w:val="3"/>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18"/>
              </w:rPr>
            </w:pPr>
            <w:r>
              <w:rPr>
                <w:rFonts w:hint="eastAsia" w:ascii="宋体" w:hAnsi="宋体" w:cs="宋体"/>
                <w:color w:val="000000"/>
                <w:kern w:val="0"/>
                <w:sz w:val="18"/>
              </w:rPr>
              <w:t>　</w:t>
            </w:r>
          </w:p>
        </w:tc>
        <w:tc>
          <w:tcPr>
            <w:tcW w:w="43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c>
          <w:tcPr>
            <w:tcW w:w="34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c>
          <w:tcPr>
            <w:tcW w:w="282"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c>
          <w:tcPr>
            <w:tcW w:w="369"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c>
          <w:tcPr>
            <w:tcW w:w="507" w:type="pct"/>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rPr>
            </w:pPr>
            <w:r>
              <w:rPr>
                <w:rFonts w:hint="eastAsia" w:ascii="宋体" w:hAnsi="宋体" w:cs="宋体"/>
                <w:color w:val="000000"/>
                <w:kern w:val="0"/>
                <w:sz w:val="18"/>
              </w:rPr>
              <w:t>　</w:t>
            </w:r>
          </w:p>
        </w:tc>
      </w:tr>
      <w:tr>
        <w:tblPrEx>
          <w:tblCellMar>
            <w:top w:w="0" w:type="dxa"/>
            <w:left w:w="108" w:type="dxa"/>
            <w:bottom w:w="0" w:type="dxa"/>
            <w:right w:w="108" w:type="dxa"/>
          </w:tblCellMar>
        </w:tblPrEx>
        <w:trPr>
          <w:trHeight w:val="915" w:hRule="atLeast"/>
        </w:trPr>
        <w:tc>
          <w:tcPr>
            <w:tcW w:w="21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21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可持续影响指标</w:t>
            </w:r>
          </w:p>
        </w:tc>
        <w:tc>
          <w:tcPr>
            <w:tcW w:w="2423" w:type="pct"/>
            <w:gridSpan w:val="3"/>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18"/>
              </w:rPr>
            </w:pPr>
            <w:r>
              <w:rPr>
                <w:rFonts w:hint="eastAsia" w:ascii="宋体" w:hAnsi="宋体" w:cs="宋体"/>
                <w:color w:val="000000"/>
                <w:kern w:val="0"/>
                <w:sz w:val="18"/>
              </w:rPr>
              <w:t>保障学校正常运转，完成教育教学活动和其他日常工作任务</w:t>
            </w:r>
          </w:p>
        </w:tc>
        <w:tc>
          <w:tcPr>
            <w:tcW w:w="43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持续保障</w:t>
            </w:r>
          </w:p>
        </w:tc>
        <w:tc>
          <w:tcPr>
            <w:tcW w:w="34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基本达到预期效果</w:t>
            </w:r>
          </w:p>
        </w:tc>
        <w:tc>
          <w:tcPr>
            <w:tcW w:w="282"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10</w:t>
            </w:r>
          </w:p>
        </w:tc>
        <w:tc>
          <w:tcPr>
            <w:tcW w:w="369"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8</w:t>
            </w:r>
          </w:p>
        </w:tc>
        <w:tc>
          <w:tcPr>
            <w:tcW w:w="507" w:type="pct"/>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rPr>
            </w:pPr>
            <w:r>
              <w:rPr>
                <w:rFonts w:hint="eastAsia" w:ascii="宋体" w:hAnsi="宋体" w:cs="宋体"/>
                <w:color w:val="000000"/>
                <w:kern w:val="0"/>
                <w:sz w:val="18"/>
              </w:rPr>
              <w:t>因疫情原因，财政资金紧张，无法达到预期效果</w:t>
            </w:r>
          </w:p>
        </w:tc>
      </w:tr>
      <w:tr>
        <w:tblPrEx>
          <w:tblCellMar>
            <w:top w:w="0" w:type="dxa"/>
            <w:left w:w="108" w:type="dxa"/>
            <w:bottom w:w="0" w:type="dxa"/>
            <w:right w:w="108" w:type="dxa"/>
          </w:tblCellMar>
        </w:tblPrEx>
        <w:trPr>
          <w:trHeight w:val="570" w:hRule="atLeast"/>
        </w:trPr>
        <w:tc>
          <w:tcPr>
            <w:tcW w:w="215"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满意度指标</w:t>
            </w:r>
          </w:p>
        </w:tc>
        <w:tc>
          <w:tcPr>
            <w:tcW w:w="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满意度指标</w:t>
            </w:r>
          </w:p>
        </w:tc>
        <w:tc>
          <w:tcPr>
            <w:tcW w:w="2423" w:type="pct"/>
            <w:gridSpan w:val="3"/>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18"/>
              </w:rPr>
            </w:pPr>
            <w:r>
              <w:rPr>
                <w:rFonts w:hint="eastAsia" w:ascii="宋体" w:hAnsi="宋体" w:cs="宋体"/>
                <w:color w:val="000000"/>
                <w:kern w:val="0"/>
                <w:sz w:val="18"/>
              </w:rPr>
              <w:t>师生满意度</w:t>
            </w:r>
          </w:p>
        </w:tc>
        <w:tc>
          <w:tcPr>
            <w:tcW w:w="43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&gt;=95%</w:t>
            </w:r>
          </w:p>
        </w:tc>
        <w:tc>
          <w:tcPr>
            <w:tcW w:w="34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100%</w:t>
            </w:r>
          </w:p>
        </w:tc>
        <w:tc>
          <w:tcPr>
            <w:tcW w:w="282"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10</w:t>
            </w:r>
          </w:p>
        </w:tc>
        <w:tc>
          <w:tcPr>
            <w:tcW w:w="369"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10</w:t>
            </w:r>
          </w:p>
        </w:tc>
        <w:tc>
          <w:tcPr>
            <w:tcW w:w="507" w:type="pct"/>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rPr>
            </w:pPr>
            <w:r>
              <w:rPr>
                <w:rFonts w:hint="eastAsia" w:ascii="宋体" w:hAnsi="宋体" w:cs="宋体"/>
                <w:color w:val="000000"/>
                <w:kern w:val="0"/>
                <w:sz w:val="18"/>
              </w:rPr>
              <w:t>　</w:t>
            </w:r>
          </w:p>
        </w:tc>
      </w:tr>
      <w:tr>
        <w:tblPrEx>
          <w:tblCellMar>
            <w:top w:w="0" w:type="dxa"/>
            <w:left w:w="108" w:type="dxa"/>
            <w:bottom w:w="0" w:type="dxa"/>
            <w:right w:w="108" w:type="dxa"/>
          </w:tblCellMar>
        </w:tblPrEx>
        <w:trPr>
          <w:trHeight w:val="398" w:hRule="atLeast"/>
        </w:trPr>
        <w:tc>
          <w:tcPr>
            <w:tcW w:w="3842"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总分</w:t>
            </w:r>
          </w:p>
        </w:tc>
        <w:tc>
          <w:tcPr>
            <w:tcW w:w="2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100</w:t>
            </w:r>
          </w:p>
        </w:tc>
        <w:tc>
          <w:tcPr>
            <w:tcW w:w="369"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75.11分</w:t>
            </w:r>
          </w:p>
        </w:tc>
        <w:tc>
          <w:tcPr>
            <w:tcW w:w="50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r>
    </w:tbl>
    <w:p>
      <w:pPr>
        <w:ind w:firstLine="640" w:firstLineChars="200"/>
        <w:rPr>
          <w:rFonts w:ascii="仿宋_GB2312" w:eastAsia="仿宋_GB2312"/>
          <w:sz w:val="32"/>
          <w:szCs w:val="32"/>
        </w:rPr>
      </w:pPr>
    </w:p>
    <w:tbl>
      <w:tblPr>
        <w:tblStyle w:val="8"/>
        <w:tblW w:w="0" w:type="auto"/>
        <w:tblInd w:w="93" w:type="dxa"/>
        <w:tblLayout w:type="autofit"/>
        <w:tblCellMar>
          <w:top w:w="0" w:type="dxa"/>
          <w:left w:w="108" w:type="dxa"/>
          <w:bottom w:w="0" w:type="dxa"/>
          <w:right w:w="108" w:type="dxa"/>
        </w:tblCellMar>
      </w:tblPr>
      <w:tblGrid>
        <w:gridCol w:w="359"/>
        <w:gridCol w:w="360"/>
        <w:gridCol w:w="360"/>
        <w:gridCol w:w="677"/>
        <w:gridCol w:w="2695"/>
        <w:gridCol w:w="669"/>
        <w:gridCol w:w="719"/>
        <w:gridCol w:w="647"/>
        <w:gridCol w:w="240"/>
        <w:gridCol w:w="235"/>
        <w:gridCol w:w="250"/>
        <w:gridCol w:w="369"/>
        <w:gridCol w:w="345"/>
        <w:gridCol w:w="504"/>
      </w:tblGrid>
      <w:tr>
        <w:tblPrEx>
          <w:tblCellMar>
            <w:top w:w="0" w:type="dxa"/>
            <w:left w:w="108" w:type="dxa"/>
            <w:bottom w:w="0" w:type="dxa"/>
            <w:right w:w="108" w:type="dxa"/>
          </w:tblCellMar>
        </w:tblPrEx>
        <w:trPr>
          <w:trHeight w:val="405" w:hRule="atLeast"/>
        </w:trPr>
        <w:tc>
          <w:tcPr>
            <w:tcW w:w="0" w:type="auto"/>
            <w:gridSpan w:val="14"/>
            <w:tcBorders>
              <w:top w:val="nil"/>
              <w:left w:val="nil"/>
              <w:bottom w:val="nil"/>
              <w:right w:val="nil"/>
            </w:tcBorders>
            <w:shd w:val="clear" w:color="auto" w:fill="auto"/>
            <w:vAlign w:val="center"/>
          </w:tcPr>
          <w:p>
            <w:pPr>
              <w:widowControl/>
              <w:jc w:val="center"/>
              <w:rPr>
                <w:rFonts w:ascii="宋体" w:hAnsi="宋体" w:cs="宋体"/>
                <w:b/>
                <w:bCs/>
                <w:color w:val="000000"/>
                <w:kern w:val="0"/>
                <w:sz w:val="18"/>
                <w:szCs w:val="32"/>
              </w:rPr>
            </w:pPr>
            <w:r>
              <w:rPr>
                <w:rFonts w:hint="eastAsia" w:ascii="宋体" w:hAnsi="宋体" w:cs="宋体"/>
                <w:b/>
                <w:bCs/>
                <w:color w:val="000000"/>
                <w:kern w:val="0"/>
                <w:sz w:val="18"/>
                <w:szCs w:val="32"/>
              </w:rPr>
              <w:t>项目支出绩效自评表</w:t>
            </w:r>
          </w:p>
        </w:tc>
      </w:tr>
      <w:tr>
        <w:tblPrEx>
          <w:tblCellMar>
            <w:top w:w="0" w:type="dxa"/>
            <w:left w:w="108" w:type="dxa"/>
            <w:bottom w:w="0" w:type="dxa"/>
            <w:right w:w="108" w:type="dxa"/>
          </w:tblCellMar>
        </w:tblPrEx>
        <w:trPr>
          <w:trHeight w:val="270" w:hRule="atLeast"/>
        </w:trPr>
        <w:tc>
          <w:tcPr>
            <w:tcW w:w="0" w:type="auto"/>
            <w:gridSpan w:val="14"/>
            <w:tcBorders>
              <w:top w:val="nil"/>
              <w:left w:val="nil"/>
              <w:bottom w:val="nil"/>
              <w:right w:val="nil"/>
            </w:tcBorders>
            <w:shd w:val="clear" w:color="auto" w:fill="auto"/>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(2022年度)</w:t>
            </w:r>
          </w:p>
        </w:tc>
      </w:tr>
      <w:tr>
        <w:tblPrEx>
          <w:tblCellMar>
            <w:top w:w="0" w:type="dxa"/>
            <w:left w:w="108" w:type="dxa"/>
            <w:bottom w:w="0" w:type="dxa"/>
            <w:right w:w="108" w:type="dxa"/>
          </w:tblCellMar>
        </w:tblPrEx>
        <w:trPr>
          <w:trHeight w:val="600"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项目名称</w:t>
            </w:r>
          </w:p>
        </w:tc>
        <w:tc>
          <w:tcPr>
            <w:tcW w:w="0" w:type="auto"/>
            <w:gridSpan w:val="1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乌财科教[2021]96号关于提前下达2022年城乡义务教育项目直达资金的通知 （公用经费）（初中）</w:t>
            </w:r>
          </w:p>
        </w:tc>
      </w:tr>
      <w:tr>
        <w:tblPrEx>
          <w:tblCellMar>
            <w:top w:w="0" w:type="dxa"/>
            <w:left w:w="108" w:type="dxa"/>
            <w:bottom w:w="0" w:type="dxa"/>
            <w:right w:w="108" w:type="dxa"/>
          </w:tblCellMar>
        </w:tblPrEx>
        <w:trPr>
          <w:trHeight w:val="398"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主管部门</w:t>
            </w:r>
          </w:p>
        </w:tc>
        <w:tc>
          <w:tcPr>
            <w:tcW w:w="0" w:type="auto"/>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乌鲁木齐市第九十一中学</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实施单位</w:t>
            </w:r>
          </w:p>
        </w:tc>
        <w:tc>
          <w:tcPr>
            <w:tcW w:w="0" w:type="auto"/>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乌鲁木齐市第九十一中学</w:t>
            </w:r>
          </w:p>
        </w:tc>
      </w:tr>
      <w:tr>
        <w:tblPrEx>
          <w:tblCellMar>
            <w:top w:w="0" w:type="dxa"/>
            <w:left w:w="108" w:type="dxa"/>
            <w:bottom w:w="0" w:type="dxa"/>
            <w:right w:w="108" w:type="dxa"/>
          </w:tblCellMar>
        </w:tblPrEx>
        <w:trPr>
          <w:trHeight w:val="570" w:hRule="atLeast"/>
        </w:trPr>
        <w:tc>
          <w:tcPr>
            <w:tcW w:w="0" w:type="auto"/>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项目资金</w:t>
            </w:r>
            <w:r>
              <w:rPr>
                <w:rFonts w:hint="eastAsia" w:ascii="宋体" w:hAnsi="宋体" w:cs="宋体"/>
                <w:color w:val="000000"/>
                <w:kern w:val="0"/>
                <w:sz w:val="18"/>
              </w:rPr>
              <w:br w:type="textWrapping"/>
            </w:r>
            <w:r>
              <w:rPr>
                <w:rFonts w:hint="eastAsia" w:ascii="宋体" w:hAnsi="宋体" w:cs="宋体"/>
                <w:color w:val="000000"/>
                <w:kern w:val="0"/>
                <w:sz w:val="18"/>
              </w:rPr>
              <w:t>（万元）</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年初预算数</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全年预算数</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全年执行数</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分值</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执行率</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得分</w:t>
            </w:r>
          </w:p>
        </w:tc>
      </w:tr>
      <w:tr>
        <w:tblPrEx>
          <w:tblCellMar>
            <w:top w:w="0" w:type="dxa"/>
            <w:left w:w="108" w:type="dxa"/>
            <w:bottom w:w="0" w:type="dxa"/>
            <w:right w:w="108" w:type="dxa"/>
          </w:tblCellMar>
        </w:tblPrEx>
        <w:trPr>
          <w:trHeight w:val="398"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年度资金总额</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45.24</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45.24</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21.96</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10</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48.54%</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4.85分</w:t>
            </w:r>
          </w:p>
        </w:tc>
      </w:tr>
      <w:tr>
        <w:tblPrEx>
          <w:tblCellMar>
            <w:top w:w="0" w:type="dxa"/>
            <w:left w:w="108" w:type="dxa"/>
            <w:bottom w:w="0" w:type="dxa"/>
            <w:right w:w="108" w:type="dxa"/>
          </w:tblCellMar>
        </w:tblPrEx>
        <w:trPr>
          <w:trHeight w:val="398"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其中：当年财政拨款</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45.24</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45.24</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21.96</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w:t>
            </w:r>
          </w:p>
        </w:tc>
      </w:tr>
      <w:tr>
        <w:tblPrEx>
          <w:tblCellMar>
            <w:top w:w="0" w:type="dxa"/>
            <w:left w:w="108" w:type="dxa"/>
            <w:bottom w:w="0" w:type="dxa"/>
            <w:right w:w="108" w:type="dxa"/>
          </w:tblCellMar>
        </w:tblPrEx>
        <w:trPr>
          <w:trHeight w:val="398"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xml:space="preserve">      上年结转资金</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0</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0</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0</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w:t>
            </w:r>
          </w:p>
        </w:tc>
      </w:tr>
      <w:tr>
        <w:tblPrEx>
          <w:tblCellMar>
            <w:top w:w="0" w:type="dxa"/>
            <w:left w:w="108" w:type="dxa"/>
            <w:bottom w:w="0" w:type="dxa"/>
            <w:right w:w="108" w:type="dxa"/>
          </w:tblCellMar>
        </w:tblPrEx>
        <w:trPr>
          <w:trHeight w:val="398"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xml:space="preserve">  其他资金</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0</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0</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0</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w:t>
            </w:r>
          </w:p>
        </w:tc>
      </w:tr>
      <w:tr>
        <w:tblPrEx>
          <w:tblCellMar>
            <w:top w:w="0" w:type="dxa"/>
            <w:left w:w="108" w:type="dxa"/>
            <w:bottom w:w="0" w:type="dxa"/>
            <w:right w:w="108" w:type="dxa"/>
          </w:tblCellMar>
        </w:tblPrEx>
        <w:trPr>
          <w:trHeight w:val="398"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年度总体目标</w:t>
            </w:r>
          </w:p>
        </w:tc>
        <w:tc>
          <w:tcPr>
            <w:tcW w:w="0" w:type="auto"/>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预期目标</w:t>
            </w:r>
          </w:p>
        </w:tc>
        <w:tc>
          <w:tcPr>
            <w:tcW w:w="0" w:type="auto"/>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实际完成情况</w:t>
            </w:r>
          </w:p>
        </w:tc>
      </w:tr>
      <w:tr>
        <w:tblPrEx>
          <w:tblCellMar>
            <w:top w:w="0" w:type="dxa"/>
            <w:left w:w="108" w:type="dxa"/>
            <w:bottom w:w="0" w:type="dxa"/>
            <w:right w:w="108" w:type="dxa"/>
          </w:tblCellMar>
        </w:tblPrEx>
        <w:trPr>
          <w:trHeight w:val="318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gridSpan w:val="6"/>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18"/>
              </w:rPr>
            </w:pPr>
            <w:r>
              <w:rPr>
                <w:rFonts w:hint="eastAsia" w:ascii="宋体" w:hAnsi="宋体" w:cs="宋体"/>
                <w:color w:val="000000"/>
                <w:kern w:val="0"/>
                <w:sz w:val="18"/>
              </w:rPr>
              <w:t>保障学校日常的教育教学活动正常运行，提高教育教学条件，改善校园环境，改进教学设备；该经费主要用于办公、会议、印刷、教师培训、文体活动、水电、取暖、交通差旅、邮电、教育信息化网络费用、仪器设备及图书资料等购置、校园内道路、围墙、大门、运动场地、教室内教师讲台及仪器设备的日常维修维护，学校勤工俭学购买生产设备和工具、校园绿化美化、校园文化建设、学生健康体检、校方责任保险等</w:t>
            </w:r>
          </w:p>
        </w:tc>
        <w:tc>
          <w:tcPr>
            <w:tcW w:w="0" w:type="auto"/>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18"/>
              </w:rPr>
            </w:pPr>
            <w:r>
              <w:rPr>
                <w:rFonts w:hint="eastAsia" w:ascii="宋体" w:hAnsi="宋体" w:cs="宋体"/>
                <w:color w:val="000000"/>
                <w:kern w:val="0"/>
                <w:sz w:val="18"/>
              </w:rPr>
              <w:t>该项目服务人数达到小学及初中1164人，资金使用完全合规合法，资金有结余，该项经费用于办公费、水电费、学校教学业务与管理、教师培训、文体活动、水电、取暖、交通差旅、仪器设备及图书资料等购置、房屋建筑物仪器设备的日常维修等相关开支。购置办公用品合格率很高，参加培训的教师都能合格结业。合理合规完的完成当年资金的支出，有效保障了学校正常运转，完成了教育教学活动和其他日常工作任务等。从而实现了该项目的社会效益，提高了学校教学水平、改善了办学条件。</w:t>
            </w:r>
          </w:p>
        </w:tc>
      </w:tr>
      <w:tr>
        <w:tblPrEx>
          <w:tblCellMar>
            <w:top w:w="0" w:type="dxa"/>
            <w:left w:w="108" w:type="dxa"/>
            <w:bottom w:w="0" w:type="dxa"/>
            <w:right w:w="108" w:type="dxa"/>
          </w:tblCellMar>
        </w:tblPrEx>
        <w:trPr>
          <w:trHeight w:val="624"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一级指标</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二级指标</w:t>
            </w:r>
          </w:p>
        </w:tc>
        <w:tc>
          <w:tcPr>
            <w:tcW w:w="0" w:type="auto"/>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三级指标</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年度指标值</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实际完成值</w:t>
            </w:r>
          </w:p>
        </w:tc>
        <w:tc>
          <w:tcPr>
            <w:tcW w:w="0" w:type="auto"/>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分值</w:t>
            </w:r>
          </w:p>
        </w:tc>
        <w:tc>
          <w:tcPr>
            <w:tcW w:w="0" w:type="auto"/>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得分</w:t>
            </w:r>
          </w:p>
        </w:tc>
        <w:tc>
          <w:tcPr>
            <w:tcW w:w="0" w:type="auto"/>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偏差原因分析及改进措施</w:t>
            </w:r>
          </w:p>
        </w:tc>
      </w:tr>
      <w:tr>
        <w:tblPrEx>
          <w:tblCellMar>
            <w:top w:w="0" w:type="dxa"/>
            <w:left w:w="108" w:type="dxa"/>
            <w:bottom w:w="0" w:type="dxa"/>
            <w:right w:w="108" w:type="dxa"/>
          </w:tblCellMar>
        </w:tblPrEx>
        <w:trPr>
          <w:trHeight w:val="624"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r>
      <w:tr>
        <w:tblPrEx>
          <w:tblCellMar>
            <w:top w:w="0" w:type="dxa"/>
            <w:left w:w="108" w:type="dxa"/>
            <w:bottom w:w="0" w:type="dxa"/>
            <w:right w:w="108" w:type="dxa"/>
          </w:tblCellMar>
        </w:tblPrEx>
        <w:trPr>
          <w:trHeight w:val="945"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年度绩效指标完成情况</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产出指标</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数量指标</w:t>
            </w:r>
          </w:p>
        </w:tc>
        <w:tc>
          <w:tcPr>
            <w:tcW w:w="0" w:type="auto"/>
            <w:gridSpan w:val="3"/>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18"/>
              </w:rPr>
            </w:pPr>
            <w:r>
              <w:rPr>
                <w:rFonts w:hint="eastAsia" w:ascii="宋体" w:hAnsi="宋体" w:cs="宋体"/>
                <w:color w:val="000000"/>
                <w:kern w:val="0"/>
                <w:sz w:val="18"/>
              </w:rPr>
              <w:t>校舍日常维修次数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&gt;=4次</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2次</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5</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2.5</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rPr>
            </w:pPr>
            <w:r>
              <w:rPr>
                <w:rFonts w:hint="eastAsia" w:ascii="宋体" w:hAnsi="宋体" w:cs="宋体"/>
                <w:color w:val="000000"/>
                <w:kern w:val="0"/>
                <w:sz w:val="18"/>
              </w:rPr>
              <w:t>学校进行装修改造，减少了零星维修次数。</w:t>
            </w:r>
          </w:p>
        </w:tc>
      </w:tr>
      <w:tr>
        <w:tblPrEx>
          <w:tblCellMar>
            <w:top w:w="0" w:type="dxa"/>
            <w:left w:w="108" w:type="dxa"/>
            <w:bottom w:w="0" w:type="dxa"/>
            <w:right w:w="108" w:type="dxa"/>
          </w:tblCellMar>
        </w:tblPrEx>
        <w:trPr>
          <w:trHeight w:val="66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数量指标</w:t>
            </w:r>
          </w:p>
        </w:tc>
        <w:tc>
          <w:tcPr>
            <w:tcW w:w="0" w:type="auto"/>
            <w:gridSpan w:val="3"/>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18"/>
              </w:rPr>
            </w:pPr>
            <w:r>
              <w:rPr>
                <w:rFonts w:hint="eastAsia" w:ascii="宋体" w:hAnsi="宋体" w:cs="宋体"/>
                <w:color w:val="000000"/>
                <w:kern w:val="0"/>
                <w:sz w:val="18"/>
              </w:rPr>
              <w:t>购买办公用品类别</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&gt;=10类</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5类</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5</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2.5</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rPr>
            </w:pPr>
            <w:r>
              <w:rPr>
                <w:rFonts w:hint="eastAsia" w:ascii="宋体" w:hAnsi="宋体" w:cs="宋体"/>
                <w:color w:val="000000"/>
                <w:kern w:val="0"/>
                <w:sz w:val="18"/>
              </w:rPr>
              <w:t>因疫情原因，办公用品类别减少</w:t>
            </w:r>
          </w:p>
        </w:tc>
      </w:tr>
      <w:tr>
        <w:tblPrEx>
          <w:tblCellMar>
            <w:top w:w="0" w:type="dxa"/>
            <w:left w:w="108" w:type="dxa"/>
            <w:bottom w:w="0" w:type="dxa"/>
            <w:right w:w="108" w:type="dxa"/>
          </w:tblCellMar>
        </w:tblPrEx>
        <w:trPr>
          <w:trHeight w:val="398"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数量指标</w:t>
            </w:r>
          </w:p>
        </w:tc>
        <w:tc>
          <w:tcPr>
            <w:tcW w:w="0" w:type="auto"/>
            <w:gridSpan w:val="3"/>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18"/>
              </w:rPr>
            </w:pPr>
            <w:r>
              <w:rPr>
                <w:rFonts w:hint="eastAsia" w:ascii="宋体" w:hAnsi="宋体" w:cs="宋体"/>
                <w:color w:val="000000"/>
                <w:kern w:val="0"/>
                <w:sz w:val="18"/>
              </w:rPr>
              <w:t>水、电费用支出次数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&lt;=12次</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12次</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5</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5</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rPr>
            </w:pPr>
            <w:r>
              <w:rPr>
                <w:rFonts w:hint="eastAsia" w:ascii="宋体" w:hAnsi="宋体" w:cs="宋体"/>
                <w:color w:val="000000"/>
                <w:kern w:val="0"/>
                <w:sz w:val="18"/>
              </w:rPr>
              <w:t>　</w:t>
            </w:r>
          </w:p>
        </w:tc>
      </w:tr>
      <w:tr>
        <w:tblPrEx>
          <w:tblCellMar>
            <w:top w:w="0" w:type="dxa"/>
            <w:left w:w="108" w:type="dxa"/>
            <w:bottom w:w="0" w:type="dxa"/>
            <w:right w:w="108" w:type="dxa"/>
          </w:tblCellMar>
        </w:tblPrEx>
        <w:trPr>
          <w:trHeight w:val="398"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质量指标</w:t>
            </w:r>
          </w:p>
        </w:tc>
        <w:tc>
          <w:tcPr>
            <w:tcW w:w="0" w:type="auto"/>
            <w:gridSpan w:val="3"/>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18"/>
              </w:rPr>
            </w:pPr>
            <w:r>
              <w:rPr>
                <w:rFonts w:hint="eastAsia" w:ascii="宋体" w:hAnsi="宋体" w:cs="宋体"/>
                <w:color w:val="000000"/>
                <w:kern w:val="0"/>
                <w:sz w:val="18"/>
              </w:rPr>
              <w:t>购买办公用品质量合格率</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&gt;=95%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100%</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5</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5</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rPr>
            </w:pPr>
            <w:r>
              <w:rPr>
                <w:rFonts w:hint="eastAsia" w:ascii="宋体" w:hAnsi="宋体" w:cs="宋体"/>
                <w:color w:val="000000"/>
                <w:kern w:val="0"/>
                <w:sz w:val="18"/>
              </w:rPr>
              <w:t>　</w:t>
            </w:r>
          </w:p>
        </w:tc>
      </w:tr>
      <w:tr>
        <w:tblPrEx>
          <w:tblCellMar>
            <w:top w:w="0" w:type="dxa"/>
            <w:left w:w="108" w:type="dxa"/>
            <w:bottom w:w="0" w:type="dxa"/>
            <w:right w:w="108" w:type="dxa"/>
          </w:tblCellMar>
        </w:tblPrEx>
        <w:trPr>
          <w:trHeight w:val="398"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质量指标</w:t>
            </w:r>
          </w:p>
        </w:tc>
        <w:tc>
          <w:tcPr>
            <w:tcW w:w="0" w:type="auto"/>
            <w:gridSpan w:val="3"/>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18"/>
              </w:rPr>
            </w:pPr>
            <w:r>
              <w:rPr>
                <w:rFonts w:hint="eastAsia" w:ascii="宋体" w:hAnsi="宋体" w:cs="宋体"/>
                <w:color w:val="000000"/>
                <w:kern w:val="0"/>
                <w:sz w:val="18"/>
              </w:rPr>
              <w:t>学校校舍日常维修改造质量达标率</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&gt;=95%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100%</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5</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5</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rPr>
            </w:pPr>
            <w:r>
              <w:rPr>
                <w:rFonts w:hint="eastAsia" w:ascii="宋体" w:hAnsi="宋体" w:cs="宋体"/>
                <w:color w:val="000000"/>
                <w:kern w:val="0"/>
                <w:sz w:val="18"/>
              </w:rPr>
              <w:t>　</w:t>
            </w:r>
          </w:p>
        </w:tc>
      </w:tr>
      <w:tr>
        <w:tblPrEx>
          <w:tblCellMar>
            <w:top w:w="0" w:type="dxa"/>
            <w:left w:w="108" w:type="dxa"/>
            <w:bottom w:w="0" w:type="dxa"/>
            <w:right w:w="108" w:type="dxa"/>
          </w:tblCellMar>
        </w:tblPrEx>
        <w:trPr>
          <w:trHeight w:val="61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质量指标</w:t>
            </w:r>
          </w:p>
        </w:tc>
        <w:tc>
          <w:tcPr>
            <w:tcW w:w="0" w:type="auto"/>
            <w:gridSpan w:val="3"/>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18"/>
              </w:rPr>
            </w:pPr>
            <w:r>
              <w:rPr>
                <w:rFonts w:hint="eastAsia" w:ascii="宋体" w:hAnsi="宋体" w:cs="宋体"/>
                <w:color w:val="000000"/>
                <w:kern w:val="0"/>
                <w:sz w:val="18"/>
              </w:rPr>
              <w:t>学校正常运转率</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&gt;=95%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66.66%</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5</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3.5</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rPr>
            </w:pPr>
            <w:r>
              <w:rPr>
                <w:rFonts w:hint="eastAsia" w:ascii="宋体" w:hAnsi="宋体" w:cs="宋体"/>
                <w:color w:val="000000"/>
                <w:kern w:val="0"/>
                <w:sz w:val="18"/>
              </w:rPr>
              <w:t>因疫情原因，财政资金紧张，无法达到支付预期效果</w:t>
            </w:r>
          </w:p>
        </w:tc>
      </w:tr>
      <w:tr>
        <w:tblPrEx>
          <w:tblCellMar>
            <w:top w:w="0" w:type="dxa"/>
            <w:left w:w="108" w:type="dxa"/>
            <w:bottom w:w="0" w:type="dxa"/>
            <w:right w:w="108" w:type="dxa"/>
          </w:tblCellMar>
        </w:tblPrEx>
        <w:trPr>
          <w:trHeight w:val="398"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时效指标</w:t>
            </w:r>
          </w:p>
        </w:tc>
        <w:tc>
          <w:tcPr>
            <w:tcW w:w="0" w:type="auto"/>
            <w:gridSpan w:val="3"/>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18"/>
              </w:rPr>
            </w:pPr>
            <w:r>
              <w:rPr>
                <w:rFonts w:hint="eastAsia" w:ascii="宋体" w:hAnsi="宋体" w:cs="宋体"/>
                <w:color w:val="000000"/>
                <w:kern w:val="0"/>
                <w:sz w:val="18"/>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rPr>
            </w:pPr>
            <w:r>
              <w:rPr>
                <w:rFonts w:hint="eastAsia" w:ascii="宋体" w:hAnsi="宋体" w:cs="宋体"/>
                <w:color w:val="000000"/>
                <w:kern w:val="0"/>
                <w:sz w:val="18"/>
              </w:rPr>
              <w:t>　</w:t>
            </w:r>
          </w:p>
        </w:tc>
      </w:tr>
      <w:tr>
        <w:tblPrEx>
          <w:tblCellMar>
            <w:top w:w="0" w:type="dxa"/>
            <w:left w:w="108" w:type="dxa"/>
            <w:bottom w:w="0" w:type="dxa"/>
            <w:right w:w="108" w:type="dxa"/>
          </w:tblCellMar>
        </w:tblPrEx>
        <w:trPr>
          <w:trHeight w:val="93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成本指标</w:t>
            </w:r>
          </w:p>
        </w:tc>
        <w:tc>
          <w:tcPr>
            <w:tcW w:w="0" w:type="auto"/>
            <w:gridSpan w:val="3"/>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18"/>
              </w:rPr>
            </w:pPr>
            <w:r>
              <w:rPr>
                <w:rFonts w:hint="eastAsia" w:ascii="宋体" w:hAnsi="宋体" w:cs="宋体"/>
                <w:color w:val="000000"/>
                <w:kern w:val="0"/>
                <w:sz w:val="18"/>
              </w:rPr>
              <w:t>每类办公用品采购成本</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&lt;=15000元</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7500元</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5</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2.5</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rPr>
            </w:pPr>
            <w:r>
              <w:rPr>
                <w:rFonts w:hint="eastAsia" w:ascii="宋体" w:hAnsi="宋体" w:cs="宋体"/>
                <w:color w:val="000000"/>
                <w:kern w:val="0"/>
                <w:sz w:val="18"/>
              </w:rPr>
              <w:t>因疫情原因，财政资金紧张，无法达到支付预期效果</w:t>
            </w:r>
          </w:p>
        </w:tc>
      </w:tr>
      <w:tr>
        <w:tblPrEx>
          <w:tblCellMar>
            <w:top w:w="0" w:type="dxa"/>
            <w:left w:w="108" w:type="dxa"/>
            <w:bottom w:w="0" w:type="dxa"/>
            <w:right w:w="108" w:type="dxa"/>
          </w:tblCellMar>
        </w:tblPrEx>
        <w:trPr>
          <w:trHeight w:val="88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成本指标</w:t>
            </w:r>
          </w:p>
        </w:tc>
        <w:tc>
          <w:tcPr>
            <w:tcW w:w="0" w:type="auto"/>
            <w:gridSpan w:val="3"/>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18"/>
              </w:rPr>
            </w:pPr>
            <w:r>
              <w:rPr>
                <w:rFonts w:hint="eastAsia" w:ascii="宋体" w:hAnsi="宋体" w:cs="宋体"/>
                <w:color w:val="000000"/>
                <w:kern w:val="0"/>
                <w:sz w:val="18"/>
              </w:rPr>
              <w:t>每次零星维修成本</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&lt;=50000元</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23800元</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5</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2.38</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rPr>
            </w:pPr>
            <w:r>
              <w:rPr>
                <w:rFonts w:hint="eastAsia" w:ascii="宋体" w:hAnsi="宋体" w:cs="宋体"/>
                <w:color w:val="000000"/>
                <w:kern w:val="0"/>
                <w:sz w:val="18"/>
              </w:rPr>
              <w:t>因疫情原因，财政资金紧张，无法达到支付预期效果</w:t>
            </w:r>
          </w:p>
        </w:tc>
      </w:tr>
      <w:tr>
        <w:tblPrEx>
          <w:tblCellMar>
            <w:top w:w="0" w:type="dxa"/>
            <w:left w:w="108" w:type="dxa"/>
            <w:bottom w:w="0" w:type="dxa"/>
            <w:right w:w="108" w:type="dxa"/>
          </w:tblCellMar>
        </w:tblPrEx>
        <w:trPr>
          <w:trHeight w:val="398"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成本指标</w:t>
            </w:r>
          </w:p>
        </w:tc>
        <w:tc>
          <w:tcPr>
            <w:tcW w:w="0" w:type="auto"/>
            <w:gridSpan w:val="3"/>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18"/>
              </w:rPr>
            </w:pPr>
            <w:r>
              <w:rPr>
                <w:rFonts w:hint="eastAsia" w:ascii="宋体" w:hAnsi="宋体" w:cs="宋体"/>
                <w:color w:val="000000"/>
                <w:kern w:val="0"/>
                <w:sz w:val="18"/>
              </w:rPr>
              <w:t>学校其他日常公用支出</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&lt;=22350元</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22000元</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5</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5</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rPr>
            </w:pPr>
            <w:r>
              <w:rPr>
                <w:rFonts w:hint="eastAsia" w:ascii="宋体" w:hAnsi="宋体" w:cs="宋体"/>
                <w:color w:val="000000"/>
                <w:kern w:val="0"/>
                <w:sz w:val="18"/>
              </w:rPr>
              <w:t>　</w:t>
            </w:r>
          </w:p>
        </w:tc>
      </w:tr>
      <w:tr>
        <w:tblPrEx>
          <w:tblCellMar>
            <w:top w:w="0" w:type="dxa"/>
            <w:left w:w="108" w:type="dxa"/>
            <w:bottom w:w="0" w:type="dxa"/>
            <w:right w:w="108" w:type="dxa"/>
          </w:tblCellMar>
        </w:tblPrEx>
        <w:trPr>
          <w:trHeight w:val="398"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成本指标</w:t>
            </w:r>
          </w:p>
        </w:tc>
        <w:tc>
          <w:tcPr>
            <w:tcW w:w="0" w:type="auto"/>
            <w:gridSpan w:val="3"/>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18"/>
              </w:rPr>
            </w:pPr>
            <w:r>
              <w:rPr>
                <w:rFonts w:hint="eastAsia" w:ascii="宋体" w:hAnsi="宋体" w:cs="宋体"/>
                <w:color w:val="000000"/>
                <w:kern w:val="0"/>
                <w:sz w:val="18"/>
              </w:rPr>
              <w:t>水、电费用</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&lt;=8万元</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7.5万元</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5</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5</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rPr>
            </w:pPr>
            <w:r>
              <w:rPr>
                <w:rFonts w:hint="eastAsia" w:ascii="宋体" w:hAnsi="宋体" w:cs="宋体"/>
                <w:color w:val="000000"/>
                <w:kern w:val="0"/>
                <w:sz w:val="18"/>
              </w:rPr>
              <w:t>　</w:t>
            </w:r>
          </w:p>
        </w:tc>
      </w:tr>
      <w:tr>
        <w:tblPrEx>
          <w:tblCellMar>
            <w:top w:w="0" w:type="dxa"/>
            <w:left w:w="108" w:type="dxa"/>
            <w:bottom w:w="0" w:type="dxa"/>
            <w:right w:w="108" w:type="dxa"/>
          </w:tblCellMar>
        </w:tblPrEx>
        <w:trPr>
          <w:trHeight w:val="63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效益指标</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经济效益指标</w:t>
            </w:r>
          </w:p>
        </w:tc>
        <w:tc>
          <w:tcPr>
            <w:tcW w:w="0" w:type="auto"/>
            <w:gridSpan w:val="3"/>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18"/>
              </w:rPr>
            </w:pPr>
            <w:r>
              <w:rPr>
                <w:rFonts w:hint="eastAsia" w:ascii="宋体" w:hAnsi="宋体" w:cs="宋体"/>
                <w:color w:val="000000"/>
                <w:kern w:val="0"/>
                <w:sz w:val="18"/>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rPr>
            </w:pPr>
            <w:r>
              <w:rPr>
                <w:rFonts w:hint="eastAsia" w:ascii="宋体" w:hAnsi="宋体" w:cs="宋体"/>
                <w:color w:val="000000"/>
                <w:kern w:val="0"/>
                <w:sz w:val="18"/>
              </w:rPr>
              <w:t>　</w:t>
            </w:r>
          </w:p>
        </w:tc>
      </w:tr>
      <w:tr>
        <w:tblPrEx>
          <w:tblCellMar>
            <w:top w:w="0" w:type="dxa"/>
            <w:left w:w="108" w:type="dxa"/>
            <w:bottom w:w="0" w:type="dxa"/>
            <w:right w:w="108" w:type="dxa"/>
          </w:tblCellMar>
        </w:tblPrEx>
        <w:trPr>
          <w:trHeight w:val="60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社会效益指标</w:t>
            </w:r>
          </w:p>
        </w:tc>
        <w:tc>
          <w:tcPr>
            <w:tcW w:w="0" w:type="auto"/>
            <w:gridSpan w:val="3"/>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18"/>
              </w:rPr>
            </w:pPr>
            <w:r>
              <w:rPr>
                <w:rFonts w:hint="eastAsia" w:ascii="宋体" w:hAnsi="宋体" w:cs="宋体"/>
                <w:color w:val="000000"/>
                <w:kern w:val="0"/>
                <w:sz w:val="18"/>
              </w:rPr>
              <w:t>提高学校教学水平、改善办学条件</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有效提高</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基本达到预期效果</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15</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12</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rPr>
            </w:pPr>
            <w:r>
              <w:rPr>
                <w:rFonts w:hint="eastAsia" w:ascii="宋体" w:hAnsi="宋体" w:cs="宋体"/>
                <w:color w:val="000000"/>
                <w:kern w:val="0"/>
                <w:sz w:val="18"/>
              </w:rPr>
              <w:t>因疫情原因，财政资金紧张，无法达到支付预期效果</w:t>
            </w:r>
          </w:p>
        </w:tc>
      </w:tr>
      <w:tr>
        <w:tblPrEx>
          <w:tblCellMar>
            <w:top w:w="0" w:type="dxa"/>
            <w:left w:w="108" w:type="dxa"/>
            <w:bottom w:w="0" w:type="dxa"/>
            <w:right w:w="108" w:type="dxa"/>
          </w:tblCellMar>
        </w:tblPrEx>
        <w:trPr>
          <w:trHeight w:val="5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生态效益指标</w:t>
            </w:r>
          </w:p>
        </w:tc>
        <w:tc>
          <w:tcPr>
            <w:tcW w:w="0" w:type="auto"/>
            <w:gridSpan w:val="3"/>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18"/>
              </w:rPr>
            </w:pPr>
            <w:r>
              <w:rPr>
                <w:rFonts w:hint="eastAsia" w:ascii="宋体" w:hAnsi="宋体" w:cs="宋体"/>
                <w:color w:val="000000"/>
                <w:kern w:val="0"/>
                <w:sz w:val="18"/>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rPr>
            </w:pPr>
            <w:r>
              <w:rPr>
                <w:rFonts w:hint="eastAsia" w:ascii="宋体" w:hAnsi="宋体" w:cs="宋体"/>
                <w:color w:val="000000"/>
                <w:kern w:val="0"/>
                <w:sz w:val="18"/>
              </w:rPr>
              <w:t>　</w:t>
            </w:r>
          </w:p>
        </w:tc>
      </w:tr>
      <w:tr>
        <w:tblPrEx>
          <w:tblCellMar>
            <w:top w:w="0" w:type="dxa"/>
            <w:left w:w="108" w:type="dxa"/>
            <w:bottom w:w="0" w:type="dxa"/>
            <w:right w:w="108" w:type="dxa"/>
          </w:tblCellMar>
        </w:tblPrEx>
        <w:trPr>
          <w:trHeight w:val="99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可持续影响指标</w:t>
            </w:r>
          </w:p>
        </w:tc>
        <w:tc>
          <w:tcPr>
            <w:tcW w:w="0" w:type="auto"/>
            <w:gridSpan w:val="3"/>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18"/>
              </w:rPr>
            </w:pPr>
            <w:r>
              <w:rPr>
                <w:rFonts w:hint="eastAsia" w:ascii="宋体" w:hAnsi="宋体" w:cs="宋体"/>
                <w:color w:val="000000"/>
                <w:kern w:val="0"/>
                <w:sz w:val="18"/>
              </w:rPr>
              <w:t>保障学校正常运转，完成教育教学活动和其他日常工作任务</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持续保障</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基本达到预期效果</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15</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12</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rPr>
            </w:pPr>
            <w:r>
              <w:rPr>
                <w:rFonts w:hint="eastAsia" w:ascii="宋体" w:hAnsi="宋体" w:cs="宋体"/>
                <w:color w:val="000000"/>
                <w:kern w:val="0"/>
                <w:sz w:val="18"/>
              </w:rPr>
              <w:t>因疫情原因，财政资金紧张，无法达到支付预期效果</w:t>
            </w:r>
          </w:p>
        </w:tc>
      </w:tr>
      <w:tr>
        <w:tblPrEx>
          <w:tblCellMar>
            <w:top w:w="0" w:type="dxa"/>
            <w:left w:w="108" w:type="dxa"/>
            <w:bottom w:w="0" w:type="dxa"/>
            <w:right w:w="108" w:type="dxa"/>
          </w:tblCellMar>
        </w:tblPrEx>
        <w:trPr>
          <w:trHeight w:val="5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满意度指标</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满意度指标</w:t>
            </w:r>
          </w:p>
        </w:tc>
        <w:tc>
          <w:tcPr>
            <w:tcW w:w="0" w:type="auto"/>
            <w:gridSpan w:val="3"/>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18"/>
              </w:rPr>
            </w:pPr>
            <w:r>
              <w:rPr>
                <w:rFonts w:hint="eastAsia" w:ascii="宋体" w:hAnsi="宋体" w:cs="宋体"/>
                <w:color w:val="000000"/>
                <w:kern w:val="0"/>
                <w:sz w:val="18"/>
              </w:rPr>
              <w:t>师生满意度</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&gt;=95%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100%</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10</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10</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rPr>
            </w:pPr>
            <w:r>
              <w:rPr>
                <w:rFonts w:hint="eastAsia" w:ascii="宋体" w:hAnsi="宋体" w:cs="宋体"/>
                <w:color w:val="000000"/>
                <w:kern w:val="0"/>
                <w:sz w:val="18"/>
              </w:rPr>
              <w:t>　</w:t>
            </w:r>
          </w:p>
        </w:tc>
      </w:tr>
      <w:tr>
        <w:tblPrEx>
          <w:tblCellMar>
            <w:top w:w="0" w:type="dxa"/>
            <w:left w:w="108" w:type="dxa"/>
            <w:bottom w:w="0" w:type="dxa"/>
            <w:right w:w="108" w:type="dxa"/>
          </w:tblCellMar>
        </w:tblPrEx>
        <w:trPr>
          <w:trHeight w:val="398"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c>
          <w:tcPr>
            <w:tcW w:w="0" w:type="auto"/>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18"/>
              </w:rPr>
            </w:pPr>
            <w:r>
              <w:rPr>
                <w:rFonts w:hint="eastAsia" w:ascii="宋体" w:hAnsi="宋体" w:cs="宋体"/>
                <w:color w:val="000000"/>
                <w:kern w:val="0"/>
                <w:sz w:val="18"/>
              </w:rPr>
              <w:t>　</w:t>
            </w:r>
          </w:p>
        </w:tc>
        <w:tc>
          <w:tcPr>
            <w:tcW w:w="0" w:type="auto"/>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18"/>
              </w:rPr>
            </w:pPr>
            <w:r>
              <w:rPr>
                <w:rFonts w:hint="eastAsia" w:ascii="宋体" w:hAnsi="宋体" w:cs="宋体"/>
                <w:color w:val="000000"/>
                <w:kern w:val="0"/>
                <w:sz w:val="18"/>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rPr>
            </w:pPr>
            <w:r>
              <w:rPr>
                <w:rFonts w:hint="eastAsia" w:ascii="宋体" w:hAnsi="宋体" w:cs="宋体"/>
                <w:color w:val="000000"/>
                <w:kern w:val="0"/>
                <w:sz w:val="18"/>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c>
          <w:tcPr>
            <w:tcW w:w="0" w:type="auto"/>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c>
          <w:tcPr>
            <w:tcW w:w="0" w:type="auto"/>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r>
      <w:tr>
        <w:tblPrEx>
          <w:tblCellMar>
            <w:top w:w="0" w:type="dxa"/>
            <w:left w:w="108" w:type="dxa"/>
            <w:bottom w:w="0" w:type="dxa"/>
            <w:right w:w="108" w:type="dxa"/>
          </w:tblCellMar>
        </w:tblPrEx>
        <w:trPr>
          <w:trHeight w:val="398" w:hRule="atLeast"/>
        </w:trPr>
        <w:tc>
          <w:tcPr>
            <w:tcW w:w="0" w:type="auto"/>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总分</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100</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77.23分</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r>
    </w:tbl>
    <w:p>
      <w:pPr>
        <w:ind w:firstLine="640" w:firstLineChars="200"/>
        <w:rPr>
          <w:rFonts w:ascii="仿宋_GB2312" w:eastAsia="仿宋_GB2312"/>
          <w:sz w:val="32"/>
          <w:szCs w:val="32"/>
        </w:rPr>
      </w:pPr>
    </w:p>
    <w:tbl>
      <w:tblPr>
        <w:tblStyle w:val="8"/>
        <w:tblW w:w="5000" w:type="pct"/>
        <w:tblInd w:w="0" w:type="dxa"/>
        <w:tblLayout w:type="autofit"/>
        <w:tblCellMar>
          <w:top w:w="0" w:type="dxa"/>
          <w:left w:w="108" w:type="dxa"/>
          <w:bottom w:w="0" w:type="dxa"/>
          <w:right w:w="108" w:type="dxa"/>
        </w:tblCellMar>
      </w:tblPr>
      <w:tblGrid>
        <w:gridCol w:w="373"/>
        <w:gridCol w:w="374"/>
        <w:gridCol w:w="374"/>
        <w:gridCol w:w="790"/>
        <w:gridCol w:w="2302"/>
        <w:gridCol w:w="491"/>
        <w:gridCol w:w="926"/>
        <w:gridCol w:w="768"/>
        <w:gridCol w:w="239"/>
        <w:gridCol w:w="241"/>
        <w:gridCol w:w="238"/>
        <w:gridCol w:w="405"/>
        <w:gridCol w:w="390"/>
        <w:gridCol w:w="611"/>
      </w:tblGrid>
      <w:tr>
        <w:tblPrEx>
          <w:tblCellMar>
            <w:top w:w="0" w:type="dxa"/>
            <w:left w:w="108" w:type="dxa"/>
            <w:bottom w:w="0" w:type="dxa"/>
            <w:right w:w="108" w:type="dxa"/>
          </w:tblCellMar>
        </w:tblPrEx>
        <w:trPr>
          <w:trHeight w:val="405" w:hRule="atLeast"/>
        </w:trPr>
        <w:tc>
          <w:tcPr>
            <w:tcW w:w="5000" w:type="pct"/>
            <w:gridSpan w:val="14"/>
            <w:tcBorders>
              <w:top w:val="nil"/>
              <w:left w:val="nil"/>
              <w:bottom w:val="nil"/>
              <w:right w:val="nil"/>
            </w:tcBorders>
            <w:shd w:val="clear" w:color="auto" w:fill="auto"/>
            <w:vAlign w:val="center"/>
          </w:tcPr>
          <w:p>
            <w:pPr>
              <w:widowControl/>
              <w:jc w:val="center"/>
              <w:rPr>
                <w:rFonts w:ascii="宋体" w:hAnsi="宋体" w:cs="宋体"/>
                <w:b/>
                <w:bCs/>
                <w:color w:val="000000"/>
                <w:kern w:val="0"/>
                <w:sz w:val="18"/>
                <w:szCs w:val="32"/>
              </w:rPr>
            </w:pPr>
            <w:r>
              <w:rPr>
                <w:rFonts w:hint="eastAsia" w:ascii="宋体" w:hAnsi="宋体" w:cs="宋体"/>
                <w:b/>
                <w:bCs/>
                <w:color w:val="000000"/>
                <w:kern w:val="0"/>
                <w:sz w:val="18"/>
                <w:szCs w:val="32"/>
              </w:rPr>
              <w:t>项目支出绩效自评表</w:t>
            </w:r>
          </w:p>
        </w:tc>
      </w:tr>
      <w:tr>
        <w:tblPrEx>
          <w:tblCellMar>
            <w:top w:w="0" w:type="dxa"/>
            <w:left w:w="108" w:type="dxa"/>
            <w:bottom w:w="0" w:type="dxa"/>
            <w:right w:w="108" w:type="dxa"/>
          </w:tblCellMar>
        </w:tblPrEx>
        <w:trPr>
          <w:trHeight w:val="270" w:hRule="atLeast"/>
        </w:trPr>
        <w:tc>
          <w:tcPr>
            <w:tcW w:w="5000" w:type="pct"/>
            <w:gridSpan w:val="14"/>
            <w:tcBorders>
              <w:top w:val="nil"/>
              <w:left w:val="nil"/>
              <w:bottom w:val="nil"/>
              <w:right w:val="nil"/>
            </w:tcBorders>
            <w:shd w:val="clear" w:color="auto" w:fill="auto"/>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(2022年度)</w:t>
            </w:r>
          </w:p>
        </w:tc>
      </w:tr>
      <w:tr>
        <w:tblPrEx>
          <w:tblCellMar>
            <w:top w:w="0" w:type="dxa"/>
            <w:left w:w="108" w:type="dxa"/>
            <w:bottom w:w="0" w:type="dxa"/>
            <w:right w:w="108" w:type="dxa"/>
          </w:tblCellMar>
        </w:tblPrEx>
        <w:trPr>
          <w:trHeight w:val="495" w:hRule="atLeast"/>
        </w:trPr>
        <w:tc>
          <w:tcPr>
            <w:tcW w:w="43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项目名称</w:t>
            </w:r>
          </w:p>
        </w:tc>
        <w:tc>
          <w:tcPr>
            <w:tcW w:w="4568" w:type="pct"/>
            <w:gridSpan w:val="1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乌财科教[2022]45号关于拨付2022年中小学和幼儿园自聘教师补助资金的通知(转移支付）</w:t>
            </w:r>
          </w:p>
        </w:tc>
      </w:tr>
      <w:tr>
        <w:tblPrEx>
          <w:tblCellMar>
            <w:top w:w="0" w:type="dxa"/>
            <w:left w:w="108" w:type="dxa"/>
            <w:bottom w:w="0" w:type="dxa"/>
            <w:right w:w="108" w:type="dxa"/>
          </w:tblCellMar>
        </w:tblPrEx>
        <w:trPr>
          <w:trHeight w:val="398" w:hRule="atLeast"/>
        </w:trPr>
        <w:tc>
          <w:tcPr>
            <w:tcW w:w="43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主管部门</w:t>
            </w:r>
          </w:p>
        </w:tc>
        <w:tc>
          <w:tcPr>
            <w:tcW w:w="2831" w:type="pct"/>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乌鲁木齐市第九十一中学</w:t>
            </w:r>
          </w:p>
        </w:tc>
        <w:tc>
          <w:tcPr>
            <w:tcW w:w="59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实施单位</w:t>
            </w:r>
          </w:p>
        </w:tc>
        <w:tc>
          <w:tcPr>
            <w:tcW w:w="1145" w:type="pct"/>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乌鲁木齐市第九十一中学</w:t>
            </w:r>
          </w:p>
        </w:tc>
      </w:tr>
      <w:tr>
        <w:tblPrEx>
          <w:tblCellMar>
            <w:top w:w="0" w:type="dxa"/>
            <w:left w:w="108" w:type="dxa"/>
            <w:bottom w:w="0" w:type="dxa"/>
            <w:right w:w="108" w:type="dxa"/>
          </w:tblCellMar>
        </w:tblPrEx>
        <w:trPr>
          <w:trHeight w:val="570" w:hRule="atLeast"/>
        </w:trPr>
        <w:tc>
          <w:tcPr>
            <w:tcW w:w="432"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项目资金</w:t>
            </w:r>
            <w:r>
              <w:rPr>
                <w:rFonts w:hint="eastAsia" w:ascii="宋体" w:hAnsi="宋体" w:cs="宋体"/>
                <w:color w:val="000000"/>
                <w:kern w:val="0"/>
                <w:sz w:val="18"/>
              </w:rPr>
              <w:br w:type="textWrapping"/>
            </w:r>
            <w:r>
              <w:rPr>
                <w:rFonts w:hint="eastAsia" w:ascii="宋体" w:hAnsi="宋体" w:cs="宋体"/>
                <w:color w:val="000000"/>
                <w:kern w:val="0"/>
                <w:sz w:val="18"/>
              </w:rPr>
              <w:t>（万元）</w:t>
            </w:r>
          </w:p>
        </w:tc>
        <w:tc>
          <w:tcPr>
            <w:tcW w:w="67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c>
          <w:tcPr>
            <w:tcW w:w="135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年初预算数</w:t>
            </w:r>
          </w:p>
        </w:tc>
        <w:tc>
          <w:tcPr>
            <w:tcW w:w="801"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全年预算数</w:t>
            </w:r>
          </w:p>
        </w:tc>
        <w:tc>
          <w:tcPr>
            <w:tcW w:w="59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全年执行数</w:t>
            </w:r>
          </w:p>
        </w:tc>
        <w:tc>
          <w:tcPr>
            <w:tcW w:w="298"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分值</w:t>
            </w:r>
          </w:p>
        </w:tc>
        <w:tc>
          <w:tcPr>
            <w:tcW w:w="49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执行率</w:t>
            </w:r>
          </w:p>
        </w:tc>
        <w:tc>
          <w:tcPr>
            <w:tcW w:w="3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得分</w:t>
            </w:r>
          </w:p>
        </w:tc>
      </w:tr>
      <w:tr>
        <w:tblPrEx>
          <w:tblCellMar>
            <w:top w:w="0" w:type="dxa"/>
            <w:left w:w="108" w:type="dxa"/>
            <w:bottom w:w="0" w:type="dxa"/>
            <w:right w:w="108" w:type="dxa"/>
          </w:tblCellMar>
        </w:tblPrEx>
        <w:trPr>
          <w:trHeight w:val="398" w:hRule="atLeast"/>
        </w:trPr>
        <w:tc>
          <w:tcPr>
            <w:tcW w:w="432"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67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年度资金总额</w:t>
            </w:r>
          </w:p>
        </w:tc>
        <w:tc>
          <w:tcPr>
            <w:tcW w:w="135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0.00</w:t>
            </w:r>
          </w:p>
        </w:tc>
        <w:tc>
          <w:tcPr>
            <w:tcW w:w="801"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8.94</w:t>
            </w:r>
          </w:p>
        </w:tc>
        <w:tc>
          <w:tcPr>
            <w:tcW w:w="59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8.94</w:t>
            </w:r>
          </w:p>
        </w:tc>
        <w:tc>
          <w:tcPr>
            <w:tcW w:w="298"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10</w:t>
            </w:r>
          </w:p>
        </w:tc>
        <w:tc>
          <w:tcPr>
            <w:tcW w:w="49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100.00%</w:t>
            </w:r>
          </w:p>
        </w:tc>
        <w:tc>
          <w:tcPr>
            <w:tcW w:w="3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10.00分</w:t>
            </w:r>
          </w:p>
        </w:tc>
      </w:tr>
      <w:tr>
        <w:tblPrEx>
          <w:tblCellMar>
            <w:top w:w="0" w:type="dxa"/>
            <w:left w:w="108" w:type="dxa"/>
            <w:bottom w:w="0" w:type="dxa"/>
            <w:right w:w="108" w:type="dxa"/>
          </w:tblCellMar>
        </w:tblPrEx>
        <w:trPr>
          <w:trHeight w:val="398" w:hRule="atLeast"/>
        </w:trPr>
        <w:tc>
          <w:tcPr>
            <w:tcW w:w="432"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67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其中：当年财政拨款</w:t>
            </w:r>
          </w:p>
        </w:tc>
        <w:tc>
          <w:tcPr>
            <w:tcW w:w="135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0</w:t>
            </w:r>
          </w:p>
        </w:tc>
        <w:tc>
          <w:tcPr>
            <w:tcW w:w="801"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0</w:t>
            </w:r>
          </w:p>
        </w:tc>
        <w:tc>
          <w:tcPr>
            <w:tcW w:w="59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0</w:t>
            </w:r>
          </w:p>
        </w:tc>
        <w:tc>
          <w:tcPr>
            <w:tcW w:w="298"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w:t>
            </w:r>
          </w:p>
        </w:tc>
        <w:tc>
          <w:tcPr>
            <w:tcW w:w="49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w:t>
            </w:r>
          </w:p>
        </w:tc>
        <w:tc>
          <w:tcPr>
            <w:tcW w:w="3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w:t>
            </w:r>
          </w:p>
        </w:tc>
      </w:tr>
      <w:tr>
        <w:tblPrEx>
          <w:tblCellMar>
            <w:top w:w="0" w:type="dxa"/>
            <w:left w:w="108" w:type="dxa"/>
            <w:bottom w:w="0" w:type="dxa"/>
            <w:right w:w="108" w:type="dxa"/>
          </w:tblCellMar>
        </w:tblPrEx>
        <w:trPr>
          <w:trHeight w:val="398" w:hRule="atLeast"/>
        </w:trPr>
        <w:tc>
          <w:tcPr>
            <w:tcW w:w="432"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67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xml:space="preserve">      上年结转资金</w:t>
            </w:r>
          </w:p>
        </w:tc>
        <w:tc>
          <w:tcPr>
            <w:tcW w:w="135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0</w:t>
            </w:r>
          </w:p>
        </w:tc>
        <w:tc>
          <w:tcPr>
            <w:tcW w:w="801"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8.94</w:t>
            </w:r>
          </w:p>
        </w:tc>
        <w:tc>
          <w:tcPr>
            <w:tcW w:w="59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8.94</w:t>
            </w:r>
          </w:p>
        </w:tc>
        <w:tc>
          <w:tcPr>
            <w:tcW w:w="298"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w:t>
            </w:r>
          </w:p>
        </w:tc>
        <w:tc>
          <w:tcPr>
            <w:tcW w:w="49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w:t>
            </w:r>
          </w:p>
        </w:tc>
        <w:tc>
          <w:tcPr>
            <w:tcW w:w="3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w:t>
            </w:r>
          </w:p>
        </w:tc>
      </w:tr>
      <w:tr>
        <w:tblPrEx>
          <w:tblCellMar>
            <w:top w:w="0" w:type="dxa"/>
            <w:left w:w="108" w:type="dxa"/>
            <w:bottom w:w="0" w:type="dxa"/>
            <w:right w:w="108" w:type="dxa"/>
          </w:tblCellMar>
        </w:tblPrEx>
        <w:trPr>
          <w:trHeight w:val="398" w:hRule="atLeast"/>
        </w:trPr>
        <w:tc>
          <w:tcPr>
            <w:tcW w:w="432"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67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xml:space="preserve">  其他资金</w:t>
            </w:r>
          </w:p>
        </w:tc>
        <w:tc>
          <w:tcPr>
            <w:tcW w:w="135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0</w:t>
            </w:r>
          </w:p>
        </w:tc>
        <w:tc>
          <w:tcPr>
            <w:tcW w:w="801"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0</w:t>
            </w:r>
          </w:p>
        </w:tc>
        <w:tc>
          <w:tcPr>
            <w:tcW w:w="59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0</w:t>
            </w:r>
          </w:p>
        </w:tc>
        <w:tc>
          <w:tcPr>
            <w:tcW w:w="298"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w:t>
            </w:r>
          </w:p>
        </w:tc>
        <w:tc>
          <w:tcPr>
            <w:tcW w:w="49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w:t>
            </w:r>
          </w:p>
        </w:tc>
        <w:tc>
          <w:tcPr>
            <w:tcW w:w="3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w:t>
            </w:r>
          </w:p>
        </w:tc>
      </w:tr>
      <w:tr>
        <w:tblPrEx>
          <w:tblCellMar>
            <w:top w:w="0" w:type="dxa"/>
            <w:left w:w="108" w:type="dxa"/>
            <w:bottom w:w="0" w:type="dxa"/>
            <w:right w:w="108" w:type="dxa"/>
          </w:tblCellMar>
        </w:tblPrEx>
        <w:trPr>
          <w:trHeight w:val="398" w:hRule="atLeast"/>
        </w:trPr>
        <w:tc>
          <w:tcPr>
            <w:tcW w:w="21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年度总体目标</w:t>
            </w:r>
          </w:p>
        </w:tc>
        <w:tc>
          <w:tcPr>
            <w:tcW w:w="3047" w:type="pct"/>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预期目标</w:t>
            </w:r>
          </w:p>
        </w:tc>
        <w:tc>
          <w:tcPr>
            <w:tcW w:w="1737" w:type="pct"/>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实际完成情况</w:t>
            </w:r>
          </w:p>
        </w:tc>
      </w:tr>
      <w:tr>
        <w:tblPrEx>
          <w:tblCellMar>
            <w:top w:w="0" w:type="dxa"/>
            <w:left w:w="108" w:type="dxa"/>
            <w:bottom w:w="0" w:type="dxa"/>
            <w:right w:w="108" w:type="dxa"/>
          </w:tblCellMar>
        </w:tblPrEx>
        <w:trPr>
          <w:trHeight w:val="3165" w:hRule="atLeast"/>
        </w:trPr>
        <w:tc>
          <w:tcPr>
            <w:tcW w:w="2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3047" w:type="pct"/>
            <w:gridSpan w:val="6"/>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18"/>
              </w:rPr>
            </w:pPr>
            <w:r>
              <w:rPr>
                <w:rFonts w:hint="eastAsia" w:ascii="宋体" w:hAnsi="宋体" w:cs="宋体"/>
                <w:color w:val="000000"/>
                <w:kern w:val="0"/>
                <w:sz w:val="18"/>
              </w:rPr>
              <w:t>本项目由人事局核定我校自聘教师人数，财政局根据人数补充自聘教师经费。专项资金管理使用按照《乌鲁木齐市第五十三中学财务管理制度》管理项目资金。坚持专款专用，专人负责。本项目资金用于向自聘教师发放正常工资和社会保障缴费等补助；全面帮助学校提升教育教学质量，改善学校办学管理水平，进一步提升教师队伍素质，切实推进新疆基础教育事业发展。</w:t>
            </w:r>
          </w:p>
        </w:tc>
        <w:tc>
          <w:tcPr>
            <w:tcW w:w="1737" w:type="pct"/>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18"/>
              </w:rPr>
            </w:pPr>
            <w:r>
              <w:rPr>
                <w:rFonts w:hint="eastAsia" w:ascii="宋体" w:hAnsi="宋体" w:cs="宋体"/>
                <w:color w:val="000000"/>
                <w:kern w:val="0"/>
                <w:sz w:val="18"/>
              </w:rPr>
              <w:t>该项目只使用上年结余资金24.63万元，一共发放教师人数18人，发放了2个月，结余资金已执行完毕，当年追加预算未执行。资金发放符合各类制度要求，资金发放及时，符合补助政策教师全覆盖，教师们都很满意度。提高了临聘教师工资待遇，提高薪资水平，专款专用，严格按照资金使用具体实施条例严格支付流程，对自聘教师发放补助，做到资金金额发放准确，资金发放基本及时，资金使用效率高效，有效促进了临聘教师工作积极性，保障了学校的正常教育教学工作顺利进行，为社会闲散人员提供了就业机会。</w:t>
            </w:r>
          </w:p>
        </w:tc>
      </w:tr>
      <w:tr>
        <w:tblPrEx>
          <w:tblCellMar>
            <w:top w:w="0" w:type="dxa"/>
            <w:left w:w="108" w:type="dxa"/>
            <w:bottom w:w="0" w:type="dxa"/>
            <w:right w:w="108" w:type="dxa"/>
          </w:tblCellMar>
        </w:tblPrEx>
        <w:trPr>
          <w:trHeight w:val="398" w:hRule="atLeast"/>
        </w:trPr>
        <w:tc>
          <w:tcPr>
            <w:tcW w:w="21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c>
          <w:tcPr>
            <w:tcW w:w="217" w:type="pct"/>
            <w:tcBorders>
              <w:top w:val="nil"/>
              <w:left w:val="nil"/>
              <w:bottom w:val="single" w:color="auto" w:sz="4" w:space="0"/>
              <w:right w:val="nil"/>
            </w:tcBorders>
            <w:shd w:val="clear" w:color="auto" w:fill="auto"/>
          </w:tcPr>
          <w:p>
            <w:pPr>
              <w:widowControl/>
              <w:jc w:val="left"/>
              <w:rPr>
                <w:rFonts w:ascii="宋体" w:hAnsi="宋体" w:cs="宋体"/>
                <w:color w:val="000000"/>
                <w:kern w:val="0"/>
                <w:sz w:val="18"/>
              </w:rPr>
            </w:pPr>
            <w:r>
              <w:rPr>
                <w:rFonts w:hint="eastAsia" w:ascii="宋体" w:hAnsi="宋体" w:cs="宋体"/>
                <w:color w:val="000000"/>
                <w:kern w:val="0"/>
                <w:sz w:val="18"/>
              </w:rPr>
              <w:t>　</w:t>
            </w:r>
          </w:p>
        </w:tc>
        <w:tc>
          <w:tcPr>
            <w:tcW w:w="223" w:type="pct"/>
            <w:tcBorders>
              <w:top w:val="nil"/>
              <w:left w:val="nil"/>
              <w:bottom w:val="single" w:color="auto" w:sz="4" w:space="0"/>
              <w:right w:val="nil"/>
            </w:tcBorders>
            <w:shd w:val="clear" w:color="auto" w:fill="auto"/>
          </w:tcPr>
          <w:p>
            <w:pPr>
              <w:widowControl/>
              <w:jc w:val="left"/>
              <w:rPr>
                <w:rFonts w:ascii="宋体" w:hAnsi="宋体" w:cs="宋体"/>
                <w:color w:val="000000"/>
                <w:kern w:val="0"/>
                <w:sz w:val="18"/>
              </w:rPr>
            </w:pPr>
            <w:r>
              <w:rPr>
                <w:rFonts w:hint="eastAsia" w:ascii="宋体" w:hAnsi="宋体" w:cs="宋体"/>
                <w:color w:val="000000"/>
                <w:kern w:val="0"/>
                <w:sz w:val="18"/>
              </w:rPr>
              <w:t>　</w:t>
            </w:r>
          </w:p>
        </w:tc>
        <w:tc>
          <w:tcPr>
            <w:tcW w:w="454" w:type="pct"/>
            <w:tcBorders>
              <w:top w:val="nil"/>
              <w:left w:val="nil"/>
              <w:bottom w:val="single" w:color="auto" w:sz="4" w:space="0"/>
              <w:right w:val="nil"/>
            </w:tcBorders>
            <w:shd w:val="clear" w:color="auto" w:fill="auto"/>
          </w:tcPr>
          <w:p>
            <w:pPr>
              <w:widowControl/>
              <w:jc w:val="left"/>
              <w:rPr>
                <w:rFonts w:ascii="宋体" w:hAnsi="宋体" w:cs="宋体"/>
                <w:color w:val="000000"/>
                <w:kern w:val="0"/>
                <w:sz w:val="18"/>
              </w:rPr>
            </w:pPr>
            <w:r>
              <w:rPr>
                <w:rFonts w:hint="eastAsia" w:ascii="宋体" w:hAnsi="宋体" w:cs="宋体"/>
                <w:color w:val="000000"/>
                <w:kern w:val="0"/>
                <w:sz w:val="18"/>
              </w:rPr>
              <w:t>　</w:t>
            </w:r>
          </w:p>
        </w:tc>
        <w:tc>
          <w:tcPr>
            <w:tcW w:w="1352" w:type="pct"/>
            <w:tcBorders>
              <w:top w:val="nil"/>
              <w:left w:val="nil"/>
              <w:bottom w:val="single" w:color="auto" w:sz="4" w:space="0"/>
              <w:right w:val="nil"/>
            </w:tcBorders>
            <w:shd w:val="clear" w:color="auto" w:fill="auto"/>
          </w:tcPr>
          <w:p>
            <w:pPr>
              <w:widowControl/>
              <w:jc w:val="left"/>
              <w:rPr>
                <w:rFonts w:ascii="宋体" w:hAnsi="宋体" w:cs="宋体"/>
                <w:color w:val="000000"/>
                <w:kern w:val="0"/>
                <w:sz w:val="18"/>
              </w:rPr>
            </w:pPr>
            <w:r>
              <w:rPr>
                <w:rFonts w:hint="eastAsia" w:ascii="宋体" w:hAnsi="宋体" w:cs="宋体"/>
                <w:color w:val="000000"/>
                <w:kern w:val="0"/>
                <w:sz w:val="18"/>
              </w:rPr>
              <w:t>　</w:t>
            </w:r>
          </w:p>
        </w:tc>
        <w:tc>
          <w:tcPr>
            <w:tcW w:w="275" w:type="pct"/>
            <w:tcBorders>
              <w:top w:val="nil"/>
              <w:left w:val="nil"/>
              <w:bottom w:val="single" w:color="auto" w:sz="4" w:space="0"/>
              <w:right w:val="nil"/>
            </w:tcBorders>
            <w:shd w:val="clear" w:color="auto" w:fill="auto"/>
          </w:tcPr>
          <w:p>
            <w:pPr>
              <w:widowControl/>
              <w:jc w:val="left"/>
              <w:rPr>
                <w:rFonts w:ascii="宋体" w:hAnsi="宋体" w:cs="宋体"/>
                <w:color w:val="000000"/>
                <w:kern w:val="0"/>
                <w:sz w:val="18"/>
              </w:rPr>
            </w:pPr>
            <w:r>
              <w:rPr>
                <w:rFonts w:hint="eastAsia" w:ascii="宋体" w:hAnsi="宋体" w:cs="宋体"/>
                <w:color w:val="000000"/>
                <w:kern w:val="0"/>
                <w:sz w:val="18"/>
              </w:rPr>
              <w:t>　</w:t>
            </w:r>
          </w:p>
        </w:tc>
        <w:tc>
          <w:tcPr>
            <w:tcW w:w="526" w:type="pct"/>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 w:val="18"/>
              </w:rPr>
            </w:pPr>
            <w:r>
              <w:rPr>
                <w:rFonts w:hint="eastAsia" w:ascii="宋体" w:hAnsi="宋体" w:cs="宋体"/>
                <w:color w:val="000000"/>
                <w:kern w:val="0"/>
                <w:sz w:val="18"/>
              </w:rPr>
              <w:t>　</w:t>
            </w:r>
          </w:p>
        </w:tc>
        <w:tc>
          <w:tcPr>
            <w:tcW w:w="438" w:type="pct"/>
            <w:tcBorders>
              <w:top w:val="nil"/>
              <w:left w:val="nil"/>
              <w:bottom w:val="single" w:color="auto" w:sz="4" w:space="0"/>
              <w:right w:val="nil"/>
            </w:tcBorders>
            <w:shd w:val="clear" w:color="auto" w:fill="auto"/>
          </w:tcPr>
          <w:p>
            <w:pPr>
              <w:widowControl/>
              <w:jc w:val="left"/>
              <w:rPr>
                <w:rFonts w:ascii="宋体" w:hAnsi="宋体" w:cs="宋体"/>
                <w:color w:val="000000"/>
                <w:kern w:val="0"/>
                <w:sz w:val="18"/>
              </w:rPr>
            </w:pPr>
            <w:r>
              <w:rPr>
                <w:rFonts w:hint="eastAsia" w:ascii="宋体" w:hAnsi="宋体" w:cs="宋体"/>
                <w:color w:val="000000"/>
                <w:kern w:val="0"/>
                <w:sz w:val="18"/>
              </w:rPr>
              <w:t>　</w:t>
            </w:r>
          </w:p>
        </w:tc>
        <w:tc>
          <w:tcPr>
            <w:tcW w:w="154" w:type="pct"/>
            <w:tcBorders>
              <w:top w:val="nil"/>
              <w:left w:val="nil"/>
              <w:bottom w:val="single" w:color="auto" w:sz="4" w:space="0"/>
              <w:right w:val="nil"/>
            </w:tcBorders>
            <w:shd w:val="clear" w:color="auto" w:fill="auto"/>
          </w:tcPr>
          <w:p>
            <w:pPr>
              <w:widowControl/>
              <w:jc w:val="left"/>
              <w:rPr>
                <w:rFonts w:ascii="宋体" w:hAnsi="宋体" w:cs="宋体"/>
                <w:color w:val="000000"/>
                <w:kern w:val="0"/>
                <w:sz w:val="18"/>
              </w:rPr>
            </w:pPr>
            <w:r>
              <w:rPr>
                <w:rFonts w:hint="eastAsia" w:ascii="宋体" w:hAnsi="宋体" w:cs="宋体"/>
                <w:color w:val="000000"/>
                <w:kern w:val="0"/>
                <w:sz w:val="18"/>
              </w:rPr>
              <w:t>　</w:t>
            </w:r>
          </w:p>
        </w:tc>
        <w:tc>
          <w:tcPr>
            <w:tcW w:w="155" w:type="pct"/>
            <w:tcBorders>
              <w:top w:val="nil"/>
              <w:left w:val="nil"/>
              <w:bottom w:val="single" w:color="auto" w:sz="4" w:space="0"/>
              <w:right w:val="nil"/>
            </w:tcBorders>
            <w:shd w:val="clear" w:color="auto" w:fill="auto"/>
          </w:tcPr>
          <w:p>
            <w:pPr>
              <w:widowControl/>
              <w:jc w:val="left"/>
              <w:rPr>
                <w:rFonts w:ascii="宋体" w:hAnsi="宋体" w:cs="宋体"/>
                <w:color w:val="000000"/>
                <w:kern w:val="0"/>
                <w:sz w:val="18"/>
              </w:rPr>
            </w:pPr>
            <w:r>
              <w:rPr>
                <w:rFonts w:hint="eastAsia" w:ascii="宋体" w:hAnsi="宋体" w:cs="宋体"/>
                <w:color w:val="000000"/>
                <w:kern w:val="0"/>
                <w:sz w:val="18"/>
              </w:rPr>
              <w:t>　</w:t>
            </w:r>
          </w:p>
        </w:tc>
        <w:tc>
          <w:tcPr>
            <w:tcW w:w="144" w:type="pct"/>
            <w:tcBorders>
              <w:top w:val="nil"/>
              <w:left w:val="nil"/>
              <w:bottom w:val="single" w:color="auto" w:sz="4" w:space="0"/>
              <w:right w:val="nil"/>
            </w:tcBorders>
            <w:shd w:val="clear" w:color="auto" w:fill="auto"/>
          </w:tcPr>
          <w:p>
            <w:pPr>
              <w:widowControl/>
              <w:jc w:val="left"/>
              <w:rPr>
                <w:rFonts w:ascii="宋体" w:hAnsi="宋体" w:cs="宋体"/>
                <w:color w:val="000000"/>
                <w:kern w:val="0"/>
                <w:sz w:val="18"/>
              </w:rPr>
            </w:pPr>
            <w:r>
              <w:rPr>
                <w:rFonts w:hint="eastAsia" w:ascii="宋体" w:hAnsi="宋体" w:cs="宋体"/>
                <w:color w:val="000000"/>
                <w:kern w:val="0"/>
                <w:sz w:val="18"/>
              </w:rPr>
              <w:t>　</w:t>
            </w:r>
          </w:p>
        </w:tc>
        <w:tc>
          <w:tcPr>
            <w:tcW w:w="254" w:type="pct"/>
            <w:tcBorders>
              <w:top w:val="nil"/>
              <w:left w:val="nil"/>
              <w:bottom w:val="single" w:color="auto" w:sz="4" w:space="0"/>
              <w:right w:val="nil"/>
            </w:tcBorders>
            <w:shd w:val="clear" w:color="auto" w:fill="auto"/>
          </w:tcPr>
          <w:p>
            <w:pPr>
              <w:widowControl/>
              <w:jc w:val="left"/>
              <w:rPr>
                <w:rFonts w:ascii="宋体" w:hAnsi="宋体" w:cs="宋体"/>
                <w:color w:val="000000"/>
                <w:kern w:val="0"/>
                <w:sz w:val="18"/>
              </w:rPr>
            </w:pPr>
            <w:r>
              <w:rPr>
                <w:rFonts w:hint="eastAsia" w:ascii="宋体" w:hAnsi="宋体" w:cs="宋体"/>
                <w:color w:val="000000"/>
                <w:kern w:val="0"/>
                <w:sz w:val="18"/>
              </w:rPr>
              <w:t>　</w:t>
            </w:r>
          </w:p>
        </w:tc>
        <w:tc>
          <w:tcPr>
            <w:tcW w:w="243" w:type="pct"/>
            <w:tcBorders>
              <w:top w:val="nil"/>
              <w:left w:val="nil"/>
              <w:bottom w:val="single" w:color="auto" w:sz="4" w:space="0"/>
              <w:right w:val="nil"/>
            </w:tcBorders>
            <w:shd w:val="clear" w:color="auto" w:fill="auto"/>
          </w:tcPr>
          <w:p>
            <w:pPr>
              <w:widowControl/>
              <w:jc w:val="left"/>
              <w:rPr>
                <w:rFonts w:ascii="宋体" w:hAnsi="宋体" w:cs="宋体"/>
                <w:color w:val="000000"/>
                <w:kern w:val="0"/>
                <w:sz w:val="18"/>
              </w:rPr>
            </w:pPr>
            <w:r>
              <w:rPr>
                <w:rFonts w:hint="eastAsia" w:ascii="宋体" w:hAnsi="宋体" w:cs="宋体"/>
                <w:color w:val="000000"/>
                <w:kern w:val="0"/>
                <w:sz w:val="18"/>
              </w:rPr>
              <w:t>　</w:t>
            </w:r>
          </w:p>
        </w:tc>
        <w:tc>
          <w:tcPr>
            <w:tcW w:w="349" w:type="pct"/>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 w:val="18"/>
              </w:rPr>
            </w:pPr>
            <w:r>
              <w:rPr>
                <w:rFonts w:hint="eastAsia" w:ascii="宋体" w:hAnsi="宋体" w:cs="宋体"/>
                <w:color w:val="000000"/>
                <w:kern w:val="0"/>
                <w:sz w:val="18"/>
              </w:rPr>
              <w:t>　</w:t>
            </w:r>
          </w:p>
        </w:tc>
      </w:tr>
      <w:tr>
        <w:tblPrEx>
          <w:tblCellMar>
            <w:top w:w="0" w:type="dxa"/>
            <w:left w:w="108" w:type="dxa"/>
            <w:bottom w:w="0" w:type="dxa"/>
            <w:right w:w="108" w:type="dxa"/>
          </w:tblCellMar>
        </w:tblPrEx>
        <w:trPr>
          <w:trHeight w:val="624" w:hRule="atLeast"/>
        </w:trPr>
        <w:tc>
          <w:tcPr>
            <w:tcW w:w="21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c>
          <w:tcPr>
            <w:tcW w:w="21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一级指标</w:t>
            </w:r>
          </w:p>
        </w:tc>
        <w:tc>
          <w:tcPr>
            <w:tcW w:w="22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二级指标</w:t>
            </w:r>
          </w:p>
        </w:tc>
        <w:tc>
          <w:tcPr>
            <w:tcW w:w="2082"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三级指标</w:t>
            </w:r>
          </w:p>
        </w:tc>
        <w:tc>
          <w:tcPr>
            <w:tcW w:w="52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年度指标值</w:t>
            </w:r>
          </w:p>
        </w:tc>
        <w:tc>
          <w:tcPr>
            <w:tcW w:w="43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实际完成值</w:t>
            </w:r>
          </w:p>
        </w:tc>
        <w:tc>
          <w:tcPr>
            <w:tcW w:w="309"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分值</w:t>
            </w:r>
          </w:p>
        </w:tc>
        <w:tc>
          <w:tcPr>
            <w:tcW w:w="398"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得分</w:t>
            </w:r>
          </w:p>
        </w:tc>
        <w:tc>
          <w:tcPr>
            <w:tcW w:w="592"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偏差原因分析及改进措施</w:t>
            </w:r>
          </w:p>
        </w:tc>
      </w:tr>
      <w:tr>
        <w:tblPrEx>
          <w:tblCellMar>
            <w:top w:w="0" w:type="dxa"/>
            <w:left w:w="108" w:type="dxa"/>
            <w:bottom w:w="0" w:type="dxa"/>
            <w:right w:w="108" w:type="dxa"/>
          </w:tblCellMar>
        </w:tblPrEx>
        <w:trPr>
          <w:trHeight w:val="624" w:hRule="atLeast"/>
        </w:trPr>
        <w:tc>
          <w:tcPr>
            <w:tcW w:w="2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21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22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2082"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52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43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309"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398"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592"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r>
      <w:tr>
        <w:tblPrEx>
          <w:tblCellMar>
            <w:top w:w="0" w:type="dxa"/>
            <w:left w:w="108" w:type="dxa"/>
            <w:bottom w:w="0" w:type="dxa"/>
            <w:right w:w="108" w:type="dxa"/>
          </w:tblCellMar>
        </w:tblPrEx>
        <w:trPr>
          <w:trHeight w:val="398" w:hRule="atLeast"/>
        </w:trPr>
        <w:tc>
          <w:tcPr>
            <w:tcW w:w="21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年度绩效指标完成情况</w:t>
            </w:r>
          </w:p>
        </w:tc>
        <w:tc>
          <w:tcPr>
            <w:tcW w:w="21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产出指标</w:t>
            </w:r>
          </w:p>
        </w:tc>
        <w:tc>
          <w:tcPr>
            <w:tcW w:w="2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数量指标</w:t>
            </w:r>
          </w:p>
        </w:tc>
        <w:tc>
          <w:tcPr>
            <w:tcW w:w="2082" w:type="pct"/>
            <w:gridSpan w:val="3"/>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18"/>
              </w:rPr>
            </w:pPr>
            <w:r>
              <w:rPr>
                <w:rFonts w:hint="eastAsia" w:ascii="宋体" w:hAnsi="宋体" w:cs="宋体"/>
                <w:color w:val="000000"/>
                <w:kern w:val="0"/>
                <w:sz w:val="18"/>
              </w:rPr>
              <w:t>发放补助人数</w:t>
            </w:r>
          </w:p>
        </w:tc>
        <w:tc>
          <w:tcPr>
            <w:tcW w:w="52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&gt;=18人</w:t>
            </w:r>
          </w:p>
        </w:tc>
        <w:tc>
          <w:tcPr>
            <w:tcW w:w="43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18人</w:t>
            </w:r>
          </w:p>
        </w:tc>
        <w:tc>
          <w:tcPr>
            <w:tcW w:w="309"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10</w:t>
            </w:r>
          </w:p>
        </w:tc>
        <w:tc>
          <w:tcPr>
            <w:tcW w:w="398"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10</w:t>
            </w:r>
          </w:p>
        </w:tc>
        <w:tc>
          <w:tcPr>
            <w:tcW w:w="592" w:type="pct"/>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rPr>
            </w:pPr>
            <w:r>
              <w:rPr>
                <w:rFonts w:hint="eastAsia" w:ascii="宋体" w:hAnsi="宋体" w:cs="宋体"/>
                <w:color w:val="000000"/>
                <w:kern w:val="0"/>
                <w:sz w:val="18"/>
              </w:rPr>
              <w:t>　</w:t>
            </w:r>
          </w:p>
        </w:tc>
      </w:tr>
      <w:tr>
        <w:tblPrEx>
          <w:tblCellMar>
            <w:top w:w="0" w:type="dxa"/>
            <w:left w:w="108" w:type="dxa"/>
            <w:bottom w:w="0" w:type="dxa"/>
            <w:right w:w="108" w:type="dxa"/>
          </w:tblCellMar>
        </w:tblPrEx>
        <w:trPr>
          <w:trHeight w:val="1155" w:hRule="atLeast"/>
        </w:trPr>
        <w:tc>
          <w:tcPr>
            <w:tcW w:w="2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21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2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数量指标</w:t>
            </w:r>
          </w:p>
        </w:tc>
        <w:tc>
          <w:tcPr>
            <w:tcW w:w="2082" w:type="pct"/>
            <w:gridSpan w:val="3"/>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18"/>
              </w:rPr>
            </w:pPr>
            <w:r>
              <w:rPr>
                <w:rFonts w:hint="eastAsia" w:ascii="宋体" w:hAnsi="宋体" w:cs="宋体"/>
                <w:color w:val="000000"/>
                <w:kern w:val="0"/>
                <w:sz w:val="18"/>
              </w:rPr>
              <w:t>发放补助次数</w:t>
            </w:r>
          </w:p>
        </w:tc>
        <w:tc>
          <w:tcPr>
            <w:tcW w:w="52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&gt;=3次</w:t>
            </w:r>
          </w:p>
        </w:tc>
        <w:tc>
          <w:tcPr>
            <w:tcW w:w="43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2次</w:t>
            </w:r>
          </w:p>
        </w:tc>
        <w:tc>
          <w:tcPr>
            <w:tcW w:w="309"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10</w:t>
            </w:r>
          </w:p>
        </w:tc>
        <w:tc>
          <w:tcPr>
            <w:tcW w:w="398"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6.67</w:t>
            </w:r>
          </w:p>
        </w:tc>
        <w:tc>
          <w:tcPr>
            <w:tcW w:w="592" w:type="pct"/>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rPr>
            </w:pPr>
            <w:r>
              <w:rPr>
                <w:rFonts w:hint="eastAsia" w:ascii="宋体" w:hAnsi="宋体" w:cs="宋体"/>
                <w:color w:val="000000"/>
                <w:kern w:val="0"/>
                <w:sz w:val="18"/>
              </w:rPr>
              <w:t>因执行上年结转金额，未执行今年预算，只够发放2次</w:t>
            </w:r>
          </w:p>
        </w:tc>
      </w:tr>
      <w:tr>
        <w:tblPrEx>
          <w:tblCellMar>
            <w:top w:w="0" w:type="dxa"/>
            <w:left w:w="108" w:type="dxa"/>
            <w:bottom w:w="0" w:type="dxa"/>
            <w:right w:w="108" w:type="dxa"/>
          </w:tblCellMar>
        </w:tblPrEx>
        <w:trPr>
          <w:trHeight w:val="398" w:hRule="atLeast"/>
        </w:trPr>
        <w:tc>
          <w:tcPr>
            <w:tcW w:w="2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21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2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质量指标</w:t>
            </w:r>
          </w:p>
        </w:tc>
        <w:tc>
          <w:tcPr>
            <w:tcW w:w="2082" w:type="pct"/>
            <w:gridSpan w:val="3"/>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18"/>
              </w:rPr>
            </w:pPr>
            <w:r>
              <w:rPr>
                <w:rFonts w:hint="eastAsia" w:ascii="宋体" w:hAnsi="宋体" w:cs="宋体"/>
                <w:color w:val="000000"/>
                <w:kern w:val="0"/>
                <w:sz w:val="18"/>
              </w:rPr>
              <w:t>资金到位准确率</w:t>
            </w:r>
          </w:p>
        </w:tc>
        <w:tc>
          <w:tcPr>
            <w:tcW w:w="52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&gt;=95%</w:t>
            </w:r>
          </w:p>
        </w:tc>
        <w:tc>
          <w:tcPr>
            <w:tcW w:w="43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95%</w:t>
            </w:r>
          </w:p>
        </w:tc>
        <w:tc>
          <w:tcPr>
            <w:tcW w:w="309"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10</w:t>
            </w:r>
          </w:p>
        </w:tc>
        <w:tc>
          <w:tcPr>
            <w:tcW w:w="398"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10</w:t>
            </w:r>
          </w:p>
        </w:tc>
        <w:tc>
          <w:tcPr>
            <w:tcW w:w="592" w:type="pct"/>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rPr>
            </w:pPr>
            <w:r>
              <w:rPr>
                <w:rFonts w:hint="eastAsia" w:ascii="宋体" w:hAnsi="宋体" w:cs="宋体"/>
                <w:color w:val="000000"/>
                <w:kern w:val="0"/>
                <w:sz w:val="18"/>
              </w:rPr>
              <w:t>　</w:t>
            </w:r>
          </w:p>
        </w:tc>
      </w:tr>
      <w:tr>
        <w:tblPrEx>
          <w:tblCellMar>
            <w:top w:w="0" w:type="dxa"/>
            <w:left w:w="108" w:type="dxa"/>
            <w:bottom w:w="0" w:type="dxa"/>
            <w:right w:w="108" w:type="dxa"/>
          </w:tblCellMar>
        </w:tblPrEx>
        <w:trPr>
          <w:trHeight w:val="398" w:hRule="atLeast"/>
        </w:trPr>
        <w:tc>
          <w:tcPr>
            <w:tcW w:w="2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21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2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时效指标</w:t>
            </w:r>
          </w:p>
        </w:tc>
        <w:tc>
          <w:tcPr>
            <w:tcW w:w="2082" w:type="pct"/>
            <w:gridSpan w:val="3"/>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18"/>
              </w:rPr>
            </w:pPr>
            <w:r>
              <w:rPr>
                <w:rFonts w:hint="eastAsia" w:ascii="宋体" w:hAnsi="宋体" w:cs="宋体"/>
                <w:color w:val="000000"/>
                <w:kern w:val="0"/>
                <w:sz w:val="18"/>
              </w:rPr>
              <w:t>补助发放及时率</w:t>
            </w:r>
          </w:p>
        </w:tc>
        <w:tc>
          <w:tcPr>
            <w:tcW w:w="52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&gt;=95%</w:t>
            </w:r>
          </w:p>
        </w:tc>
        <w:tc>
          <w:tcPr>
            <w:tcW w:w="43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95%</w:t>
            </w:r>
          </w:p>
        </w:tc>
        <w:tc>
          <w:tcPr>
            <w:tcW w:w="309"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10</w:t>
            </w:r>
          </w:p>
        </w:tc>
        <w:tc>
          <w:tcPr>
            <w:tcW w:w="398"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10</w:t>
            </w:r>
          </w:p>
        </w:tc>
        <w:tc>
          <w:tcPr>
            <w:tcW w:w="592" w:type="pct"/>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rPr>
            </w:pPr>
            <w:r>
              <w:rPr>
                <w:rFonts w:hint="eastAsia" w:ascii="宋体" w:hAnsi="宋体" w:cs="宋体"/>
                <w:color w:val="000000"/>
                <w:kern w:val="0"/>
                <w:sz w:val="18"/>
              </w:rPr>
              <w:t>无</w:t>
            </w:r>
          </w:p>
        </w:tc>
      </w:tr>
      <w:tr>
        <w:tblPrEx>
          <w:tblCellMar>
            <w:top w:w="0" w:type="dxa"/>
            <w:left w:w="108" w:type="dxa"/>
            <w:bottom w:w="0" w:type="dxa"/>
            <w:right w:w="108" w:type="dxa"/>
          </w:tblCellMar>
        </w:tblPrEx>
        <w:trPr>
          <w:trHeight w:val="1185" w:hRule="atLeast"/>
        </w:trPr>
        <w:tc>
          <w:tcPr>
            <w:tcW w:w="2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21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2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成本指标</w:t>
            </w:r>
          </w:p>
        </w:tc>
        <w:tc>
          <w:tcPr>
            <w:tcW w:w="2082" w:type="pct"/>
            <w:gridSpan w:val="3"/>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18"/>
              </w:rPr>
            </w:pPr>
            <w:r>
              <w:rPr>
                <w:rFonts w:hint="eastAsia" w:ascii="宋体" w:hAnsi="宋体" w:cs="宋体"/>
                <w:color w:val="000000"/>
                <w:kern w:val="0"/>
                <w:sz w:val="18"/>
              </w:rPr>
              <w:t>每人每次发放补助成本</w:t>
            </w:r>
          </w:p>
        </w:tc>
        <w:tc>
          <w:tcPr>
            <w:tcW w:w="52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&lt;=6197.80元</w:t>
            </w:r>
          </w:p>
        </w:tc>
        <w:tc>
          <w:tcPr>
            <w:tcW w:w="43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2483.33元</w:t>
            </w:r>
          </w:p>
        </w:tc>
        <w:tc>
          <w:tcPr>
            <w:tcW w:w="309"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10</w:t>
            </w:r>
          </w:p>
        </w:tc>
        <w:tc>
          <w:tcPr>
            <w:tcW w:w="398"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4.01</w:t>
            </w:r>
          </w:p>
        </w:tc>
        <w:tc>
          <w:tcPr>
            <w:tcW w:w="592" w:type="pct"/>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rPr>
            </w:pPr>
            <w:r>
              <w:rPr>
                <w:rFonts w:hint="eastAsia" w:ascii="宋体" w:hAnsi="宋体" w:cs="宋体"/>
                <w:color w:val="000000"/>
                <w:kern w:val="0"/>
                <w:sz w:val="18"/>
              </w:rPr>
              <w:t>因执行上年结转金额，未执行今年预算，只够发放2次</w:t>
            </w:r>
          </w:p>
        </w:tc>
      </w:tr>
      <w:tr>
        <w:tblPrEx>
          <w:tblCellMar>
            <w:top w:w="0" w:type="dxa"/>
            <w:left w:w="108" w:type="dxa"/>
            <w:bottom w:w="0" w:type="dxa"/>
            <w:right w:w="108" w:type="dxa"/>
          </w:tblCellMar>
        </w:tblPrEx>
        <w:trPr>
          <w:trHeight w:val="585" w:hRule="atLeast"/>
        </w:trPr>
        <w:tc>
          <w:tcPr>
            <w:tcW w:w="2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21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效益指标</w:t>
            </w:r>
          </w:p>
        </w:tc>
        <w:tc>
          <w:tcPr>
            <w:tcW w:w="2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经济效益指标</w:t>
            </w:r>
          </w:p>
        </w:tc>
        <w:tc>
          <w:tcPr>
            <w:tcW w:w="2082" w:type="pct"/>
            <w:gridSpan w:val="3"/>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18"/>
              </w:rPr>
            </w:pPr>
            <w:r>
              <w:rPr>
                <w:rFonts w:hint="eastAsia" w:ascii="宋体" w:hAnsi="宋体" w:cs="宋体"/>
                <w:color w:val="000000"/>
                <w:kern w:val="0"/>
                <w:sz w:val="18"/>
              </w:rPr>
              <w:t>　</w:t>
            </w:r>
          </w:p>
        </w:tc>
        <w:tc>
          <w:tcPr>
            <w:tcW w:w="52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c>
          <w:tcPr>
            <w:tcW w:w="43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c>
          <w:tcPr>
            <w:tcW w:w="309"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c>
          <w:tcPr>
            <w:tcW w:w="398"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c>
          <w:tcPr>
            <w:tcW w:w="592" w:type="pct"/>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rPr>
            </w:pPr>
            <w:r>
              <w:rPr>
                <w:rFonts w:hint="eastAsia" w:ascii="宋体" w:hAnsi="宋体" w:cs="宋体"/>
                <w:color w:val="000000"/>
                <w:kern w:val="0"/>
                <w:sz w:val="18"/>
              </w:rPr>
              <w:t>　</w:t>
            </w:r>
          </w:p>
        </w:tc>
      </w:tr>
      <w:tr>
        <w:tblPrEx>
          <w:tblCellMar>
            <w:top w:w="0" w:type="dxa"/>
            <w:left w:w="108" w:type="dxa"/>
            <w:bottom w:w="0" w:type="dxa"/>
            <w:right w:w="108" w:type="dxa"/>
          </w:tblCellMar>
        </w:tblPrEx>
        <w:trPr>
          <w:trHeight w:val="1170" w:hRule="atLeast"/>
        </w:trPr>
        <w:tc>
          <w:tcPr>
            <w:tcW w:w="2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21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2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社会效益指标</w:t>
            </w:r>
          </w:p>
        </w:tc>
        <w:tc>
          <w:tcPr>
            <w:tcW w:w="2082" w:type="pct"/>
            <w:gridSpan w:val="3"/>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18"/>
              </w:rPr>
            </w:pPr>
            <w:r>
              <w:rPr>
                <w:rFonts w:hint="eastAsia" w:ascii="宋体" w:hAnsi="宋体" w:cs="宋体"/>
                <w:color w:val="000000"/>
                <w:kern w:val="0"/>
                <w:sz w:val="18"/>
              </w:rPr>
              <w:t>提高自聘教师队伍素质，推进教育事业发展</w:t>
            </w:r>
          </w:p>
        </w:tc>
        <w:tc>
          <w:tcPr>
            <w:tcW w:w="52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有效提高</w:t>
            </w:r>
          </w:p>
        </w:tc>
        <w:tc>
          <w:tcPr>
            <w:tcW w:w="43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基本达到预期指标</w:t>
            </w:r>
          </w:p>
        </w:tc>
        <w:tc>
          <w:tcPr>
            <w:tcW w:w="309"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15</w:t>
            </w:r>
          </w:p>
        </w:tc>
        <w:tc>
          <w:tcPr>
            <w:tcW w:w="398"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12</w:t>
            </w:r>
          </w:p>
        </w:tc>
        <w:tc>
          <w:tcPr>
            <w:tcW w:w="592" w:type="pct"/>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rPr>
            </w:pPr>
            <w:r>
              <w:rPr>
                <w:rFonts w:hint="eastAsia" w:ascii="宋体" w:hAnsi="宋体" w:cs="宋体"/>
                <w:color w:val="000000"/>
                <w:kern w:val="0"/>
                <w:sz w:val="18"/>
              </w:rPr>
              <w:t>因执行上年结转金额，未执行今年预算，无法达到预期效果</w:t>
            </w:r>
          </w:p>
        </w:tc>
      </w:tr>
      <w:tr>
        <w:tblPrEx>
          <w:tblCellMar>
            <w:top w:w="0" w:type="dxa"/>
            <w:left w:w="108" w:type="dxa"/>
            <w:bottom w:w="0" w:type="dxa"/>
            <w:right w:w="108" w:type="dxa"/>
          </w:tblCellMar>
        </w:tblPrEx>
        <w:trPr>
          <w:trHeight w:val="630" w:hRule="atLeast"/>
        </w:trPr>
        <w:tc>
          <w:tcPr>
            <w:tcW w:w="2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21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2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生态效益指标</w:t>
            </w:r>
          </w:p>
        </w:tc>
        <w:tc>
          <w:tcPr>
            <w:tcW w:w="2082" w:type="pct"/>
            <w:gridSpan w:val="3"/>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18"/>
              </w:rPr>
            </w:pPr>
            <w:r>
              <w:rPr>
                <w:rFonts w:hint="eastAsia" w:ascii="宋体" w:hAnsi="宋体" w:cs="宋体"/>
                <w:color w:val="000000"/>
                <w:kern w:val="0"/>
                <w:sz w:val="18"/>
              </w:rPr>
              <w:t>　</w:t>
            </w:r>
          </w:p>
        </w:tc>
        <w:tc>
          <w:tcPr>
            <w:tcW w:w="52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c>
          <w:tcPr>
            <w:tcW w:w="43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c>
          <w:tcPr>
            <w:tcW w:w="309"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c>
          <w:tcPr>
            <w:tcW w:w="398"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c>
          <w:tcPr>
            <w:tcW w:w="592" w:type="pct"/>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rPr>
            </w:pPr>
            <w:r>
              <w:rPr>
                <w:rFonts w:hint="eastAsia" w:ascii="宋体" w:hAnsi="宋体" w:cs="宋体"/>
                <w:color w:val="000000"/>
                <w:kern w:val="0"/>
                <w:sz w:val="18"/>
              </w:rPr>
              <w:t>　</w:t>
            </w:r>
          </w:p>
        </w:tc>
      </w:tr>
      <w:tr>
        <w:tblPrEx>
          <w:tblCellMar>
            <w:top w:w="0" w:type="dxa"/>
            <w:left w:w="108" w:type="dxa"/>
            <w:bottom w:w="0" w:type="dxa"/>
            <w:right w:w="108" w:type="dxa"/>
          </w:tblCellMar>
        </w:tblPrEx>
        <w:trPr>
          <w:trHeight w:val="1275" w:hRule="atLeast"/>
        </w:trPr>
        <w:tc>
          <w:tcPr>
            <w:tcW w:w="2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21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2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可持续影响指标</w:t>
            </w:r>
          </w:p>
        </w:tc>
        <w:tc>
          <w:tcPr>
            <w:tcW w:w="2082" w:type="pct"/>
            <w:gridSpan w:val="3"/>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18"/>
              </w:rPr>
            </w:pPr>
            <w:r>
              <w:rPr>
                <w:rFonts w:hint="eastAsia" w:ascii="宋体" w:hAnsi="宋体" w:cs="宋体"/>
                <w:color w:val="000000"/>
                <w:kern w:val="0"/>
                <w:sz w:val="18"/>
              </w:rPr>
              <w:t>保障学校教育教学正常开展，提升课堂教学质量</w:t>
            </w:r>
          </w:p>
        </w:tc>
        <w:tc>
          <w:tcPr>
            <w:tcW w:w="52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有效保障</w:t>
            </w:r>
          </w:p>
        </w:tc>
        <w:tc>
          <w:tcPr>
            <w:tcW w:w="43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基本达到预期指标</w:t>
            </w:r>
          </w:p>
        </w:tc>
        <w:tc>
          <w:tcPr>
            <w:tcW w:w="309"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15</w:t>
            </w:r>
          </w:p>
        </w:tc>
        <w:tc>
          <w:tcPr>
            <w:tcW w:w="398"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12</w:t>
            </w:r>
          </w:p>
        </w:tc>
        <w:tc>
          <w:tcPr>
            <w:tcW w:w="592" w:type="pct"/>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rPr>
            </w:pPr>
            <w:r>
              <w:rPr>
                <w:rFonts w:hint="eastAsia" w:ascii="宋体" w:hAnsi="宋体" w:cs="宋体"/>
                <w:color w:val="000000"/>
                <w:kern w:val="0"/>
                <w:sz w:val="18"/>
              </w:rPr>
              <w:t>因执行上年结转金额，未执行今年预算，无法达到预期效果</w:t>
            </w:r>
          </w:p>
        </w:tc>
      </w:tr>
      <w:tr>
        <w:tblPrEx>
          <w:tblCellMar>
            <w:top w:w="0" w:type="dxa"/>
            <w:left w:w="108" w:type="dxa"/>
            <w:bottom w:w="0" w:type="dxa"/>
            <w:right w:w="108" w:type="dxa"/>
          </w:tblCellMar>
        </w:tblPrEx>
        <w:trPr>
          <w:trHeight w:val="398" w:hRule="atLeast"/>
        </w:trPr>
        <w:tc>
          <w:tcPr>
            <w:tcW w:w="21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21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满意度指标</w:t>
            </w:r>
          </w:p>
        </w:tc>
        <w:tc>
          <w:tcPr>
            <w:tcW w:w="22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满意度指标</w:t>
            </w:r>
          </w:p>
        </w:tc>
        <w:tc>
          <w:tcPr>
            <w:tcW w:w="2082" w:type="pct"/>
            <w:gridSpan w:val="3"/>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18"/>
              </w:rPr>
            </w:pPr>
            <w:r>
              <w:rPr>
                <w:rFonts w:hint="eastAsia" w:ascii="宋体" w:hAnsi="宋体" w:cs="宋体"/>
                <w:color w:val="000000"/>
                <w:kern w:val="0"/>
                <w:sz w:val="18"/>
              </w:rPr>
              <w:t>自聘教师满意度</w:t>
            </w:r>
          </w:p>
        </w:tc>
        <w:tc>
          <w:tcPr>
            <w:tcW w:w="52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&gt;=95%</w:t>
            </w:r>
          </w:p>
        </w:tc>
        <w:tc>
          <w:tcPr>
            <w:tcW w:w="43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95%</w:t>
            </w:r>
          </w:p>
        </w:tc>
        <w:tc>
          <w:tcPr>
            <w:tcW w:w="309"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10</w:t>
            </w:r>
          </w:p>
        </w:tc>
        <w:tc>
          <w:tcPr>
            <w:tcW w:w="398" w:type="pct"/>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10</w:t>
            </w:r>
          </w:p>
        </w:tc>
        <w:tc>
          <w:tcPr>
            <w:tcW w:w="592" w:type="pct"/>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rPr>
            </w:pPr>
            <w:r>
              <w:rPr>
                <w:rFonts w:hint="eastAsia" w:ascii="宋体" w:hAnsi="宋体" w:cs="宋体"/>
                <w:color w:val="000000"/>
                <w:kern w:val="0"/>
                <w:sz w:val="18"/>
              </w:rPr>
              <w:t>　</w:t>
            </w:r>
          </w:p>
        </w:tc>
      </w:tr>
      <w:tr>
        <w:tblPrEx>
          <w:tblCellMar>
            <w:top w:w="0" w:type="dxa"/>
            <w:left w:w="108" w:type="dxa"/>
            <w:bottom w:w="0" w:type="dxa"/>
            <w:right w:w="108" w:type="dxa"/>
          </w:tblCellMar>
        </w:tblPrEx>
        <w:trPr>
          <w:trHeight w:val="398" w:hRule="atLeast"/>
        </w:trPr>
        <w:tc>
          <w:tcPr>
            <w:tcW w:w="3701"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总分</w:t>
            </w:r>
          </w:p>
        </w:tc>
        <w:tc>
          <w:tcPr>
            <w:tcW w:w="309"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100</w:t>
            </w:r>
          </w:p>
        </w:tc>
        <w:tc>
          <w:tcPr>
            <w:tcW w:w="398"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84.68分</w:t>
            </w:r>
          </w:p>
        </w:tc>
        <w:tc>
          <w:tcPr>
            <w:tcW w:w="59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r>
    </w:tbl>
    <w:p>
      <w:pPr>
        <w:ind w:firstLine="640" w:firstLineChars="200"/>
        <w:rPr>
          <w:rFonts w:ascii="仿宋_GB2312" w:eastAsia="仿宋_GB2312"/>
          <w:sz w:val="32"/>
          <w:szCs w:val="32"/>
        </w:rPr>
      </w:pPr>
    </w:p>
    <w:tbl>
      <w:tblPr>
        <w:tblStyle w:val="8"/>
        <w:tblW w:w="0" w:type="auto"/>
        <w:tblInd w:w="93" w:type="dxa"/>
        <w:tblLayout w:type="autofit"/>
        <w:tblCellMar>
          <w:top w:w="0" w:type="dxa"/>
          <w:left w:w="108" w:type="dxa"/>
          <w:bottom w:w="0" w:type="dxa"/>
          <w:right w:w="108" w:type="dxa"/>
        </w:tblCellMar>
      </w:tblPr>
      <w:tblGrid>
        <w:gridCol w:w="386"/>
        <w:gridCol w:w="386"/>
        <w:gridCol w:w="556"/>
        <w:gridCol w:w="3781"/>
        <w:gridCol w:w="640"/>
        <w:gridCol w:w="725"/>
        <w:gridCol w:w="471"/>
        <w:gridCol w:w="640"/>
        <w:gridCol w:w="288"/>
        <w:gridCol w:w="556"/>
      </w:tblGrid>
      <w:tr>
        <w:tblPrEx>
          <w:tblCellMar>
            <w:top w:w="0" w:type="dxa"/>
            <w:left w:w="108" w:type="dxa"/>
            <w:bottom w:w="0" w:type="dxa"/>
            <w:right w:w="108" w:type="dxa"/>
          </w:tblCellMar>
        </w:tblPrEx>
        <w:trPr>
          <w:trHeight w:val="405" w:hRule="atLeast"/>
        </w:trPr>
        <w:tc>
          <w:tcPr>
            <w:tcW w:w="0" w:type="auto"/>
            <w:gridSpan w:val="10"/>
            <w:tcBorders>
              <w:top w:val="nil"/>
              <w:left w:val="nil"/>
              <w:bottom w:val="nil"/>
              <w:right w:val="nil"/>
            </w:tcBorders>
            <w:shd w:val="clear" w:color="auto" w:fill="auto"/>
            <w:vAlign w:val="center"/>
          </w:tcPr>
          <w:p>
            <w:pPr>
              <w:widowControl/>
              <w:jc w:val="center"/>
              <w:rPr>
                <w:rFonts w:ascii="宋体" w:hAnsi="宋体" w:cs="宋体"/>
                <w:b/>
                <w:bCs/>
                <w:color w:val="000000"/>
                <w:kern w:val="0"/>
                <w:sz w:val="18"/>
                <w:szCs w:val="32"/>
              </w:rPr>
            </w:pPr>
            <w:r>
              <w:rPr>
                <w:rFonts w:hint="eastAsia" w:ascii="宋体" w:hAnsi="宋体" w:cs="宋体"/>
                <w:b/>
                <w:bCs/>
                <w:color w:val="000000"/>
                <w:kern w:val="0"/>
                <w:sz w:val="18"/>
                <w:szCs w:val="32"/>
              </w:rPr>
              <w:t>项目支出绩效自评表</w:t>
            </w:r>
          </w:p>
        </w:tc>
      </w:tr>
      <w:tr>
        <w:tblPrEx>
          <w:tblCellMar>
            <w:top w:w="0" w:type="dxa"/>
            <w:left w:w="108" w:type="dxa"/>
            <w:bottom w:w="0" w:type="dxa"/>
            <w:right w:w="108" w:type="dxa"/>
          </w:tblCellMar>
        </w:tblPrEx>
        <w:trPr>
          <w:trHeight w:val="270" w:hRule="atLeast"/>
        </w:trPr>
        <w:tc>
          <w:tcPr>
            <w:tcW w:w="0" w:type="auto"/>
            <w:gridSpan w:val="10"/>
            <w:tcBorders>
              <w:top w:val="nil"/>
              <w:left w:val="nil"/>
              <w:bottom w:val="nil"/>
              <w:right w:val="nil"/>
            </w:tcBorders>
            <w:shd w:val="clear" w:color="auto" w:fill="auto"/>
            <w:vAlign w:val="center"/>
          </w:tcPr>
          <w:p>
            <w:pPr>
              <w:widowControl/>
              <w:jc w:val="center"/>
              <w:rPr>
                <w:rFonts w:ascii="宋体" w:hAnsi="宋体" w:cs="宋体"/>
                <w:color w:val="000000"/>
                <w:kern w:val="0"/>
                <w:sz w:val="18"/>
                <w:szCs w:val="20"/>
              </w:rPr>
            </w:pPr>
            <w:r>
              <w:rPr>
                <w:rFonts w:hint="eastAsia" w:ascii="宋体" w:hAnsi="宋体" w:cs="宋体"/>
                <w:color w:val="000000"/>
                <w:kern w:val="0"/>
                <w:sz w:val="18"/>
                <w:szCs w:val="20"/>
              </w:rPr>
              <w:t>(2022年度)</w:t>
            </w:r>
          </w:p>
        </w:tc>
      </w:tr>
      <w:tr>
        <w:tblPrEx>
          <w:tblCellMar>
            <w:top w:w="0" w:type="dxa"/>
            <w:left w:w="108" w:type="dxa"/>
            <w:bottom w:w="0" w:type="dxa"/>
            <w:right w:w="108" w:type="dxa"/>
          </w:tblCellMar>
        </w:tblPrEx>
        <w:trPr>
          <w:trHeight w:val="585"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项目名称</w:t>
            </w:r>
          </w:p>
        </w:tc>
        <w:tc>
          <w:tcPr>
            <w:tcW w:w="0" w:type="auto"/>
            <w:gridSpan w:val="8"/>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乌财企【2021】93号关于提前下达2022年4月-2023年3月国有企业办中小学退休教师三项费用的通知（转移支付））</w:t>
            </w:r>
          </w:p>
        </w:tc>
      </w:tr>
      <w:tr>
        <w:tblPrEx>
          <w:tblCellMar>
            <w:top w:w="0" w:type="dxa"/>
            <w:left w:w="108" w:type="dxa"/>
            <w:bottom w:w="0" w:type="dxa"/>
            <w:right w:w="108" w:type="dxa"/>
          </w:tblCellMar>
        </w:tblPrEx>
        <w:trPr>
          <w:trHeight w:val="398"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主管部门</w:t>
            </w:r>
          </w:p>
        </w:tc>
        <w:tc>
          <w:tcPr>
            <w:tcW w:w="0" w:type="auto"/>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乌鲁木齐市第九十一中学</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实施单位</w:t>
            </w:r>
          </w:p>
        </w:tc>
        <w:tc>
          <w:tcPr>
            <w:tcW w:w="0" w:type="auto"/>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乌鲁木齐市第九十一中学</w:t>
            </w:r>
          </w:p>
        </w:tc>
      </w:tr>
      <w:tr>
        <w:tblPrEx>
          <w:tblCellMar>
            <w:top w:w="0" w:type="dxa"/>
            <w:left w:w="108" w:type="dxa"/>
            <w:bottom w:w="0" w:type="dxa"/>
            <w:right w:w="108" w:type="dxa"/>
          </w:tblCellMar>
        </w:tblPrEx>
        <w:trPr>
          <w:trHeight w:val="585" w:hRule="atLeast"/>
        </w:trPr>
        <w:tc>
          <w:tcPr>
            <w:tcW w:w="0" w:type="auto"/>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项目资金</w:t>
            </w:r>
            <w:r>
              <w:rPr>
                <w:rFonts w:hint="eastAsia" w:ascii="宋体" w:hAnsi="宋体" w:cs="宋体"/>
                <w:color w:val="000000"/>
                <w:kern w:val="0"/>
                <w:sz w:val="18"/>
              </w:rPr>
              <w:br w:type="textWrapping"/>
            </w:r>
            <w:r>
              <w:rPr>
                <w:rFonts w:hint="eastAsia" w:ascii="宋体" w:hAnsi="宋体" w:cs="宋体"/>
                <w:color w:val="000000"/>
                <w:kern w:val="0"/>
                <w:sz w:val="18"/>
              </w:rPr>
              <w:t>（万元）</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年初预算数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全年预算数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全年执行数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分值</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执行率</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得分</w:t>
            </w:r>
          </w:p>
        </w:tc>
      </w:tr>
      <w:tr>
        <w:tblPrEx>
          <w:tblCellMar>
            <w:top w:w="0" w:type="dxa"/>
            <w:left w:w="108" w:type="dxa"/>
            <w:bottom w:w="0" w:type="dxa"/>
            <w:right w:w="108" w:type="dxa"/>
          </w:tblCellMar>
        </w:tblPrEx>
        <w:trPr>
          <w:trHeight w:val="398"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年度资金总额</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0.00</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5.72</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0.00</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10</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0.00%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0.00分</w:t>
            </w:r>
          </w:p>
        </w:tc>
      </w:tr>
      <w:tr>
        <w:tblPrEx>
          <w:tblCellMar>
            <w:top w:w="0" w:type="dxa"/>
            <w:left w:w="108" w:type="dxa"/>
            <w:bottom w:w="0" w:type="dxa"/>
            <w:right w:w="108" w:type="dxa"/>
          </w:tblCellMar>
        </w:tblPrEx>
        <w:trPr>
          <w:trHeight w:val="525"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其中：当年财政拨款</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0</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0</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0</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w:t>
            </w:r>
          </w:p>
        </w:tc>
      </w:tr>
      <w:tr>
        <w:tblPrEx>
          <w:tblCellMar>
            <w:top w:w="0" w:type="dxa"/>
            <w:left w:w="108" w:type="dxa"/>
            <w:bottom w:w="0" w:type="dxa"/>
            <w:right w:w="108" w:type="dxa"/>
          </w:tblCellMar>
        </w:tblPrEx>
        <w:trPr>
          <w:trHeight w:val="48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xml:space="preserve">      上年结转资金</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0</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5.72</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0</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w:t>
            </w:r>
          </w:p>
        </w:tc>
      </w:tr>
      <w:tr>
        <w:tblPrEx>
          <w:tblCellMar>
            <w:top w:w="0" w:type="dxa"/>
            <w:left w:w="108" w:type="dxa"/>
            <w:bottom w:w="0" w:type="dxa"/>
            <w:right w:w="108" w:type="dxa"/>
          </w:tblCellMar>
        </w:tblPrEx>
        <w:trPr>
          <w:trHeight w:val="398"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xml:space="preserve">  其他资金</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0</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0</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0</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w:t>
            </w:r>
          </w:p>
        </w:tc>
      </w:tr>
      <w:tr>
        <w:tblPrEx>
          <w:tblCellMar>
            <w:top w:w="0" w:type="dxa"/>
            <w:left w:w="108" w:type="dxa"/>
            <w:bottom w:w="0" w:type="dxa"/>
            <w:right w:w="108" w:type="dxa"/>
          </w:tblCellMar>
        </w:tblPrEx>
        <w:trPr>
          <w:trHeight w:val="398"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年度总体目标</w:t>
            </w:r>
          </w:p>
        </w:tc>
        <w:tc>
          <w:tcPr>
            <w:tcW w:w="0" w:type="auto"/>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预期目标</w:t>
            </w:r>
          </w:p>
        </w:tc>
        <w:tc>
          <w:tcPr>
            <w:tcW w:w="0" w:type="auto"/>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实际完成情况</w:t>
            </w:r>
          </w:p>
        </w:tc>
      </w:tr>
      <w:tr>
        <w:tblPrEx>
          <w:tblCellMar>
            <w:top w:w="0" w:type="dxa"/>
            <w:left w:w="108" w:type="dxa"/>
            <w:bottom w:w="0" w:type="dxa"/>
            <w:right w:w="108" w:type="dxa"/>
          </w:tblCellMar>
        </w:tblPrEx>
        <w:trPr>
          <w:trHeight w:val="237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18"/>
              </w:rPr>
            </w:pPr>
            <w:r>
              <w:rPr>
                <w:rFonts w:hint="eastAsia" w:ascii="宋体" w:hAnsi="宋体" w:cs="宋体"/>
                <w:color w:val="000000"/>
                <w:kern w:val="0"/>
                <w:sz w:val="18"/>
              </w:rPr>
              <w:t>此款项用于保障我单位企业退休教师从2022年4月至2023年3月期间的三项费用，分别为取暖费、活动费和医疗费。使企业退休教师按节日发放活动费，按月缴纳医疗费。该项目无招投标，属于经常性零星项目，由单位自行组织实施。专项资金管理使用按照《乌鲁木齐市第六十中学财务管理制度》管理项目资金。坚持专款专用，专人负责。使用该专项资金严格按照财务规定进行支付，手续齐全，审批流程完整有效。通过实施该项目，可以提高我校企退教师的生活质量，让我校企退教师的晚年生活得到充分地保障。</w:t>
            </w:r>
          </w:p>
        </w:tc>
        <w:tc>
          <w:tcPr>
            <w:tcW w:w="0" w:type="auto"/>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18"/>
              </w:rPr>
            </w:pPr>
            <w:r>
              <w:rPr>
                <w:rFonts w:hint="eastAsia" w:ascii="宋体" w:hAnsi="宋体" w:cs="宋体"/>
                <w:color w:val="000000"/>
                <w:kern w:val="0"/>
                <w:sz w:val="18"/>
              </w:rPr>
              <w:t>该项目按照相关要求主要用于发放我单位18名企业退休教师取暖费及按月缴纳医疗补助，因疫情原因未能开展慰问活动。企业退休教师取暖费已打卡的形式发放于本人卡中。项目的实施做到公平、公正、公开，极大保护企业退休教师利益，为推进社会公平，提高企业退休教师生活质量传递发挥积极作用，促进我校教育事业的稳定、健康发展。</w:t>
            </w:r>
          </w:p>
        </w:tc>
      </w:tr>
      <w:tr>
        <w:tblPrEx>
          <w:tblCellMar>
            <w:top w:w="0" w:type="dxa"/>
            <w:left w:w="108" w:type="dxa"/>
            <w:bottom w:w="0" w:type="dxa"/>
            <w:right w:w="108" w:type="dxa"/>
          </w:tblCellMar>
        </w:tblPrEx>
        <w:trPr>
          <w:trHeight w:val="624"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一级指标</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二级指标</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三级指标</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年度指标值</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实际完成值</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分值</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得分</w:t>
            </w:r>
          </w:p>
        </w:tc>
        <w:tc>
          <w:tcPr>
            <w:tcW w:w="0" w:type="auto"/>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偏差原因分析及改进措施</w:t>
            </w:r>
          </w:p>
        </w:tc>
      </w:tr>
      <w:tr>
        <w:tblPrEx>
          <w:tblCellMar>
            <w:top w:w="0" w:type="dxa"/>
            <w:left w:w="108" w:type="dxa"/>
            <w:bottom w:w="0" w:type="dxa"/>
            <w:right w:w="108" w:type="dxa"/>
          </w:tblCellMar>
        </w:tblPrEx>
        <w:trPr>
          <w:trHeight w:val="624"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r>
      <w:tr>
        <w:tblPrEx>
          <w:tblCellMar>
            <w:top w:w="0" w:type="dxa"/>
            <w:left w:w="108" w:type="dxa"/>
            <w:bottom w:w="0" w:type="dxa"/>
            <w:right w:w="108" w:type="dxa"/>
          </w:tblCellMar>
        </w:tblPrEx>
        <w:trPr>
          <w:trHeight w:val="398"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年度绩效指标完成情况</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产出指标</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数量指标</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18"/>
              </w:rPr>
            </w:pPr>
            <w:r>
              <w:rPr>
                <w:rFonts w:hint="eastAsia" w:ascii="宋体" w:hAnsi="宋体" w:cs="宋体"/>
                <w:color w:val="000000"/>
                <w:kern w:val="0"/>
                <w:sz w:val="18"/>
              </w:rPr>
              <w:t>发放（补助）人数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&gt;=18人</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18人</w:t>
            </w:r>
          </w:p>
        </w:tc>
        <w:tc>
          <w:tcPr>
            <w:tcW w:w="0" w:type="auto"/>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5</w:t>
            </w:r>
          </w:p>
        </w:tc>
        <w:tc>
          <w:tcPr>
            <w:tcW w:w="0" w:type="auto"/>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5</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rPr>
            </w:pPr>
            <w:r>
              <w:rPr>
                <w:rFonts w:hint="eastAsia" w:ascii="宋体" w:hAnsi="宋体" w:cs="宋体"/>
                <w:color w:val="000000"/>
                <w:kern w:val="0"/>
                <w:sz w:val="18"/>
              </w:rPr>
              <w:t>　</w:t>
            </w:r>
          </w:p>
        </w:tc>
      </w:tr>
      <w:tr>
        <w:tblPrEx>
          <w:tblCellMar>
            <w:top w:w="0" w:type="dxa"/>
            <w:left w:w="108" w:type="dxa"/>
            <w:bottom w:w="0" w:type="dxa"/>
            <w:right w:w="108" w:type="dxa"/>
          </w:tblCellMar>
        </w:tblPrEx>
        <w:trPr>
          <w:trHeight w:val="398"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数量指标</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18"/>
              </w:rPr>
            </w:pPr>
            <w:r>
              <w:rPr>
                <w:rFonts w:hint="eastAsia" w:ascii="宋体" w:hAnsi="宋体" w:cs="宋体"/>
                <w:color w:val="000000"/>
                <w:kern w:val="0"/>
                <w:sz w:val="18"/>
              </w:rPr>
              <w:t>发放补助次数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&gt;=2次</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2次</w:t>
            </w:r>
          </w:p>
        </w:tc>
        <w:tc>
          <w:tcPr>
            <w:tcW w:w="0" w:type="auto"/>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5</w:t>
            </w:r>
          </w:p>
        </w:tc>
        <w:tc>
          <w:tcPr>
            <w:tcW w:w="0" w:type="auto"/>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5</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rPr>
            </w:pPr>
            <w:r>
              <w:rPr>
                <w:rFonts w:hint="eastAsia" w:ascii="宋体" w:hAnsi="宋体" w:cs="宋体"/>
                <w:color w:val="000000"/>
                <w:kern w:val="0"/>
                <w:sz w:val="18"/>
              </w:rPr>
              <w:t>　</w:t>
            </w:r>
          </w:p>
        </w:tc>
      </w:tr>
      <w:tr>
        <w:tblPrEx>
          <w:tblCellMar>
            <w:top w:w="0" w:type="dxa"/>
            <w:left w:w="108" w:type="dxa"/>
            <w:bottom w:w="0" w:type="dxa"/>
            <w:right w:w="108" w:type="dxa"/>
          </w:tblCellMar>
        </w:tblPrEx>
        <w:trPr>
          <w:trHeight w:val="398"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质量指标</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18"/>
              </w:rPr>
            </w:pPr>
            <w:r>
              <w:rPr>
                <w:rFonts w:hint="eastAsia" w:ascii="宋体" w:hAnsi="宋体" w:cs="宋体"/>
                <w:color w:val="000000"/>
                <w:kern w:val="0"/>
                <w:sz w:val="18"/>
              </w:rPr>
              <w:t>发放补助覆盖率</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&gt;=95%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95%</w:t>
            </w:r>
          </w:p>
        </w:tc>
        <w:tc>
          <w:tcPr>
            <w:tcW w:w="0" w:type="auto"/>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10</w:t>
            </w:r>
          </w:p>
        </w:tc>
        <w:tc>
          <w:tcPr>
            <w:tcW w:w="0" w:type="auto"/>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10</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rPr>
            </w:pPr>
            <w:r>
              <w:rPr>
                <w:rFonts w:hint="eastAsia" w:ascii="宋体" w:hAnsi="宋体" w:cs="宋体"/>
                <w:color w:val="000000"/>
                <w:kern w:val="0"/>
                <w:sz w:val="18"/>
              </w:rPr>
              <w:t>　</w:t>
            </w:r>
          </w:p>
        </w:tc>
      </w:tr>
      <w:tr>
        <w:tblPrEx>
          <w:tblCellMar>
            <w:top w:w="0" w:type="dxa"/>
            <w:left w:w="108" w:type="dxa"/>
            <w:bottom w:w="0" w:type="dxa"/>
            <w:right w:w="108" w:type="dxa"/>
          </w:tblCellMar>
        </w:tblPrEx>
        <w:trPr>
          <w:trHeight w:val="90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时效指标</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18"/>
              </w:rPr>
            </w:pPr>
            <w:r>
              <w:rPr>
                <w:rFonts w:hint="eastAsia" w:ascii="宋体" w:hAnsi="宋体" w:cs="宋体"/>
                <w:color w:val="000000"/>
                <w:kern w:val="0"/>
                <w:sz w:val="18"/>
              </w:rPr>
              <w:t>资金补助发放及时率</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&gt;=95%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66.66%</w:t>
            </w:r>
          </w:p>
        </w:tc>
        <w:tc>
          <w:tcPr>
            <w:tcW w:w="0" w:type="auto"/>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10</w:t>
            </w:r>
          </w:p>
        </w:tc>
        <w:tc>
          <w:tcPr>
            <w:tcW w:w="0" w:type="auto"/>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7.02</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rPr>
            </w:pPr>
            <w:r>
              <w:rPr>
                <w:rFonts w:hint="eastAsia" w:ascii="宋体" w:hAnsi="宋体" w:cs="宋体"/>
                <w:color w:val="000000"/>
                <w:kern w:val="0"/>
                <w:sz w:val="18"/>
              </w:rPr>
              <w:t>因疫情原因未开展活动，未能及时发放。</w:t>
            </w:r>
          </w:p>
        </w:tc>
      </w:tr>
      <w:tr>
        <w:tblPrEx>
          <w:tblCellMar>
            <w:top w:w="0" w:type="dxa"/>
            <w:left w:w="108" w:type="dxa"/>
            <w:bottom w:w="0" w:type="dxa"/>
            <w:right w:w="108" w:type="dxa"/>
          </w:tblCellMar>
        </w:tblPrEx>
        <w:trPr>
          <w:trHeight w:val="124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成本指标</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18"/>
              </w:rPr>
            </w:pPr>
            <w:r>
              <w:rPr>
                <w:rFonts w:hint="eastAsia" w:ascii="宋体" w:hAnsi="宋体" w:cs="宋体"/>
                <w:color w:val="000000"/>
                <w:kern w:val="0"/>
                <w:sz w:val="18"/>
              </w:rPr>
              <w:t>平均没人发放补助</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=3176元/人</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0元/人</w:t>
            </w:r>
          </w:p>
        </w:tc>
        <w:tc>
          <w:tcPr>
            <w:tcW w:w="0" w:type="auto"/>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20</w:t>
            </w:r>
          </w:p>
        </w:tc>
        <w:tc>
          <w:tcPr>
            <w:tcW w:w="0" w:type="auto"/>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0</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rPr>
            </w:pPr>
            <w:r>
              <w:rPr>
                <w:rFonts w:hint="eastAsia" w:ascii="宋体" w:hAnsi="宋体" w:cs="宋体"/>
                <w:color w:val="000000"/>
                <w:kern w:val="0"/>
                <w:sz w:val="18"/>
              </w:rPr>
              <w:t>未使用该项目资金，用其他项目资金完成了发放工作。</w:t>
            </w:r>
          </w:p>
        </w:tc>
      </w:tr>
      <w:tr>
        <w:tblPrEx>
          <w:tblCellMar>
            <w:top w:w="0" w:type="dxa"/>
            <w:left w:w="108" w:type="dxa"/>
            <w:bottom w:w="0" w:type="dxa"/>
            <w:right w:w="108" w:type="dxa"/>
          </w:tblCellMar>
        </w:tblPrEx>
        <w:trPr>
          <w:trHeight w:val="398"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效益指标</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经济效益指标</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18"/>
              </w:rPr>
            </w:pPr>
            <w:r>
              <w:rPr>
                <w:rFonts w:hint="eastAsia" w:ascii="宋体" w:hAnsi="宋体" w:cs="宋体"/>
                <w:color w:val="000000"/>
                <w:kern w:val="0"/>
                <w:sz w:val="18"/>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c>
          <w:tcPr>
            <w:tcW w:w="0" w:type="auto"/>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c>
          <w:tcPr>
            <w:tcW w:w="0" w:type="auto"/>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rPr>
            </w:pPr>
            <w:r>
              <w:rPr>
                <w:rFonts w:hint="eastAsia" w:ascii="宋体" w:hAnsi="宋体" w:cs="宋体"/>
                <w:color w:val="000000"/>
                <w:kern w:val="0"/>
                <w:sz w:val="18"/>
              </w:rPr>
              <w:t>　</w:t>
            </w:r>
          </w:p>
        </w:tc>
      </w:tr>
      <w:tr>
        <w:tblPrEx>
          <w:tblCellMar>
            <w:top w:w="0" w:type="dxa"/>
            <w:left w:w="108" w:type="dxa"/>
            <w:bottom w:w="0" w:type="dxa"/>
            <w:right w:w="108" w:type="dxa"/>
          </w:tblCellMar>
        </w:tblPrEx>
        <w:trPr>
          <w:trHeight w:val="90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社会效益指标</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18"/>
              </w:rPr>
            </w:pPr>
            <w:r>
              <w:rPr>
                <w:rFonts w:hint="eastAsia" w:ascii="宋体" w:hAnsi="宋体" w:cs="宋体"/>
                <w:color w:val="000000"/>
                <w:kern w:val="0"/>
                <w:sz w:val="18"/>
              </w:rPr>
              <w:t>提高企退教师生活质量，保障企退教师晚年生活</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有效提高</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基本达到预期指标</w:t>
            </w:r>
          </w:p>
        </w:tc>
        <w:tc>
          <w:tcPr>
            <w:tcW w:w="0" w:type="auto"/>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30</w:t>
            </w:r>
          </w:p>
        </w:tc>
        <w:tc>
          <w:tcPr>
            <w:tcW w:w="0" w:type="auto"/>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24</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rPr>
            </w:pPr>
            <w:r>
              <w:rPr>
                <w:rFonts w:hint="eastAsia" w:ascii="宋体" w:hAnsi="宋体" w:cs="宋体"/>
                <w:color w:val="000000"/>
                <w:kern w:val="0"/>
                <w:sz w:val="18"/>
              </w:rPr>
              <w:t>因疫情原因未开展活动，无法达到预期效果</w:t>
            </w:r>
          </w:p>
        </w:tc>
      </w:tr>
      <w:tr>
        <w:tblPrEx>
          <w:tblCellMar>
            <w:top w:w="0" w:type="dxa"/>
            <w:left w:w="108" w:type="dxa"/>
            <w:bottom w:w="0" w:type="dxa"/>
            <w:right w:w="108" w:type="dxa"/>
          </w:tblCellMar>
        </w:tblPrEx>
        <w:trPr>
          <w:trHeight w:val="60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生态效益指标</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18"/>
              </w:rPr>
            </w:pPr>
            <w:r>
              <w:rPr>
                <w:rFonts w:hint="eastAsia" w:ascii="宋体" w:hAnsi="宋体" w:cs="宋体"/>
                <w:color w:val="000000"/>
                <w:kern w:val="0"/>
                <w:sz w:val="18"/>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c>
          <w:tcPr>
            <w:tcW w:w="0" w:type="auto"/>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c>
          <w:tcPr>
            <w:tcW w:w="0" w:type="auto"/>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rPr>
            </w:pPr>
            <w:r>
              <w:rPr>
                <w:rFonts w:hint="eastAsia" w:ascii="宋体" w:hAnsi="宋体" w:cs="宋体"/>
                <w:color w:val="000000"/>
                <w:kern w:val="0"/>
                <w:sz w:val="18"/>
              </w:rPr>
              <w:t>　</w:t>
            </w:r>
          </w:p>
        </w:tc>
      </w:tr>
      <w:tr>
        <w:tblPrEx>
          <w:tblCellMar>
            <w:top w:w="0" w:type="dxa"/>
            <w:left w:w="108" w:type="dxa"/>
            <w:bottom w:w="0" w:type="dxa"/>
            <w:right w:w="108" w:type="dxa"/>
          </w:tblCellMar>
        </w:tblPrEx>
        <w:trPr>
          <w:trHeight w:val="70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可持续影响指标</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18"/>
              </w:rPr>
            </w:pPr>
            <w:r>
              <w:rPr>
                <w:rFonts w:hint="eastAsia" w:ascii="宋体" w:hAnsi="宋体" w:cs="宋体"/>
                <w:color w:val="000000"/>
                <w:kern w:val="0"/>
                <w:sz w:val="18"/>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c>
          <w:tcPr>
            <w:tcW w:w="0" w:type="auto"/>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c>
          <w:tcPr>
            <w:tcW w:w="0" w:type="auto"/>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rPr>
            </w:pPr>
            <w:r>
              <w:rPr>
                <w:rFonts w:hint="eastAsia" w:ascii="宋体" w:hAnsi="宋体" w:cs="宋体"/>
                <w:color w:val="000000"/>
                <w:kern w:val="0"/>
                <w:sz w:val="18"/>
              </w:rPr>
              <w:t>　</w:t>
            </w:r>
          </w:p>
        </w:tc>
      </w:tr>
      <w:tr>
        <w:tblPrEx>
          <w:tblCellMar>
            <w:top w:w="0" w:type="dxa"/>
            <w:left w:w="108" w:type="dxa"/>
            <w:bottom w:w="0" w:type="dxa"/>
            <w:right w:w="108" w:type="dxa"/>
          </w:tblCellMar>
        </w:tblPrEx>
        <w:trPr>
          <w:trHeight w:val="51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满意度指标</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满意度指标</w:t>
            </w:r>
          </w:p>
        </w:tc>
        <w:tc>
          <w:tcPr>
            <w:tcW w:w="0" w:type="auto"/>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18"/>
              </w:rPr>
            </w:pPr>
            <w:r>
              <w:rPr>
                <w:rFonts w:hint="eastAsia" w:ascii="宋体" w:hAnsi="宋体" w:cs="宋体"/>
                <w:color w:val="000000"/>
                <w:kern w:val="0"/>
                <w:sz w:val="18"/>
              </w:rPr>
              <w:t>企业退休教师满意度</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&gt;=95%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95%</w:t>
            </w:r>
          </w:p>
        </w:tc>
        <w:tc>
          <w:tcPr>
            <w:tcW w:w="0" w:type="auto"/>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10</w:t>
            </w:r>
          </w:p>
        </w:tc>
        <w:tc>
          <w:tcPr>
            <w:tcW w:w="0" w:type="auto"/>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10</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rPr>
            </w:pPr>
            <w:r>
              <w:rPr>
                <w:rFonts w:hint="eastAsia" w:ascii="宋体" w:hAnsi="宋体" w:cs="宋体"/>
                <w:color w:val="000000"/>
                <w:kern w:val="0"/>
                <w:sz w:val="18"/>
              </w:rPr>
              <w:t>　</w:t>
            </w:r>
          </w:p>
        </w:tc>
      </w:tr>
      <w:tr>
        <w:tblPrEx>
          <w:tblCellMar>
            <w:top w:w="0" w:type="dxa"/>
            <w:left w:w="108" w:type="dxa"/>
            <w:bottom w:w="0" w:type="dxa"/>
            <w:right w:w="108" w:type="dxa"/>
          </w:tblCellMar>
        </w:tblPrEx>
        <w:trPr>
          <w:trHeight w:val="398" w:hRule="atLeast"/>
        </w:trPr>
        <w:tc>
          <w:tcPr>
            <w:tcW w:w="0" w:type="auto"/>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总分</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100</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61.02分</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rPr>
            </w:pPr>
            <w:r>
              <w:rPr>
                <w:rFonts w:hint="eastAsia" w:ascii="宋体" w:hAnsi="宋体" w:cs="宋体"/>
                <w:color w:val="000000"/>
                <w:kern w:val="0"/>
                <w:sz w:val="18"/>
              </w:rPr>
              <w:t>　</w:t>
            </w:r>
          </w:p>
        </w:tc>
      </w:tr>
    </w:tbl>
    <w:p>
      <w:pPr>
        <w:outlineLvl w:val="0"/>
        <w:rPr>
          <w:rFonts w:hint="eastAsia" w:ascii="黑体" w:hAnsi="黑体" w:eastAsia="黑体"/>
          <w:sz w:val="32"/>
          <w:szCs w:val="32"/>
        </w:rPr>
      </w:pPr>
      <w:bookmarkStart w:id="34" w:name="_Toc24143"/>
      <w:bookmarkStart w:id="35" w:name="_Toc3250"/>
    </w:p>
    <w:p>
      <w:pPr>
        <w:ind w:firstLine="2240" w:firstLineChars="700"/>
        <w:outlineLvl w:val="0"/>
        <w:rPr>
          <w:rFonts w:ascii="黑体" w:hAnsi="黑体" w:eastAsia="黑体"/>
          <w:sz w:val="32"/>
          <w:szCs w:val="32"/>
        </w:rPr>
      </w:pPr>
      <w:r>
        <w:rPr>
          <w:rFonts w:hint="eastAsia" w:ascii="黑体" w:hAnsi="黑体" w:eastAsia="黑体"/>
          <w:sz w:val="32"/>
          <w:szCs w:val="32"/>
        </w:rPr>
        <w:t>第三部分 专业名词解释</w:t>
      </w:r>
      <w:bookmarkEnd w:id="34"/>
      <w:bookmarkEnd w:id="35"/>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财政拨款收入：指同级财政当年拨付的资金。</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上级补助收入：指事业单位从主管部门和上级单位取得的非财政补助收入。</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事业收入：指事业单位开展专业业务活动及其辅助活动所取得的收入。</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经营收入：指事业单位在专业业务活动及其辅助活动之外开展非独立核算经营活动取得的收入。</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附属单位上缴收入：指事业单位附属的独立核算单位按有关规定上缴的收入。</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其他收入：指除上述“财政拨款收入”、“事业收入”、“经营收入”、“附属单位上缴收入”等之外取得的收入。</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年初结转和结余：指以前年度支出预算因客观条件变化未执行完毕、结转到本年度按有关规定继续使用的资金，既包括财政拨款结转和结余，也包括事业收入、经营收入、其他收入的结转和结余。</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基本支出：指为保障机构正常运转、完成日常工作任务而发生的人员支出和公用支出。</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项目支出：指在基本支出之外为完成特定行政任务和事业发展目标所发生的支出。</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经营支出：指事业单位在专业业务活动及其辅助活动之外开展非独立核算经营活动发生的支出。</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对附属单位补助支出：指事业单位发生的用非财政预算资金对附属单位的补助支出。</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三公”经费：指用财政拨款安排的因公出国（境）费、公务用车购置及运行费和公务接待费。其中，因公出国（境）费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ind w:firstLine="640" w:firstLineChars="200"/>
        <w:rPr>
          <w:rFonts w:ascii="仿宋_GB2312" w:eastAsia="仿宋_GB2312"/>
          <w:sz w:val="32"/>
          <w:szCs w:val="32"/>
        </w:rPr>
      </w:pPr>
      <w:r>
        <w:rPr>
          <w:rFonts w:hint="eastAsia" w:ascii="仿宋_GB2312" w:eastAsia="仿宋_GB2312"/>
          <w:sz w:val="32"/>
          <w:szCs w:val="32"/>
        </w:rPr>
        <w:t>机关运行经费：行政单位和参照公务员法管理的事业单位财政拨款基本支出中的公用经费支出。</w:t>
      </w:r>
    </w:p>
    <w:p>
      <w:pPr>
        <w:ind w:firstLine="640" w:firstLineChars="200"/>
        <w:jc w:val="center"/>
        <w:outlineLvl w:val="0"/>
        <w:rPr>
          <w:rFonts w:ascii="黑体" w:hAnsi="黑体" w:eastAsia="黑体"/>
          <w:sz w:val="32"/>
          <w:szCs w:val="32"/>
        </w:rPr>
      </w:pPr>
      <w:bookmarkStart w:id="36" w:name="_Toc28903"/>
      <w:bookmarkStart w:id="37" w:name="_Toc22784"/>
      <w:r>
        <w:rPr>
          <w:rFonts w:hint="eastAsia" w:ascii="黑体" w:hAnsi="黑体" w:eastAsia="黑体"/>
          <w:sz w:val="32"/>
          <w:szCs w:val="32"/>
        </w:rPr>
        <w:br w:type="page"/>
      </w:r>
      <w:r>
        <w:rPr>
          <w:rFonts w:hint="eastAsia" w:ascii="黑体" w:hAnsi="黑体" w:eastAsia="黑体"/>
          <w:sz w:val="32"/>
          <w:szCs w:val="32"/>
        </w:rPr>
        <w:t>第四部分 部门决算报表（见附表）</w:t>
      </w:r>
      <w:bookmarkEnd w:id="36"/>
      <w:bookmarkEnd w:id="37"/>
    </w:p>
    <w:p>
      <w:pPr>
        <w:ind w:firstLine="640" w:firstLineChars="200"/>
        <w:outlineLvl w:val="1"/>
        <w:rPr>
          <w:rFonts w:ascii="黑体" w:hAnsi="黑体" w:eastAsia="黑体" w:cs="宋体"/>
          <w:bCs/>
          <w:kern w:val="0"/>
          <w:sz w:val="32"/>
          <w:szCs w:val="32"/>
        </w:rPr>
      </w:pPr>
      <w:bookmarkStart w:id="38" w:name="_Toc6062"/>
      <w:bookmarkStart w:id="39" w:name="_Toc2183"/>
      <w:r>
        <w:rPr>
          <w:rFonts w:hint="eastAsia" w:ascii="黑体" w:hAnsi="黑体" w:eastAsia="黑体" w:cs="宋体"/>
          <w:bCs/>
          <w:kern w:val="0"/>
          <w:sz w:val="32"/>
          <w:szCs w:val="32"/>
        </w:rPr>
        <w:t>一、《收入支出决算总表》</w:t>
      </w:r>
      <w:bookmarkEnd w:id="38"/>
      <w:bookmarkEnd w:id="39"/>
    </w:p>
    <w:p>
      <w:pPr>
        <w:ind w:firstLine="640" w:firstLineChars="200"/>
        <w:outlineLvl w:val="1"/>
        <w:rPr>
          <w:rFonts w:ascii="黑体" w:hAnsi="黑体" w:eastAsia="黑体" w:cs="宋体"/>
          <w:bCs/>
          <w:kern w:val="0"/>
          <w:sz w:val="32"/>
          <w:szCs w:val="32"/>
        </w:rPr>
      </w:pPr>
      <w:bookmarkStart w:id="40" w:name="_Toc24532"/>
      <w:bookmarkStart w:id="41" w:name="_Toc30364"/>
      <w:r>
        <w:rPr>
          <w:rFonts w:hint="eastAsia" w:ascii="黑体" w:hAnsi="黑体" w:eastAsia="黑体" w:cs="宋体"/>
          <w:bCs/>
          <w:kern w:val="0"/>
          <w:sz w:val="32"/>
          <w:szCs w:val="32"/>
        </w:rPr>
        <w:t>二、《收入决算表》</w:t>
      </w:r>
      <w:bookmarkEnd w:id="40"/>
      <w:bookmarkEnd w:id="41"/>
    </w:p>
    <w:p>
      <w:pPr>
        <w:ind w:firstLine="640" w:firstLineChars="200"/>
        <w:outlineLvl w:val="1"/>
        <w:rPr>
          <w:rFonts w:ascii="黑体" w:hAnsi="黑体" w:eastAsia="黑体" w:cs="宋体"/>
          <w:bCs/>
          <w:kern w:val="0"/>
          <w:sz w:val="32"/>
          <w:szCs w:val="32"/>
        </w:rPr>
      </w:pPr>
      <w:bookmarkStart w:id="42" w:name="_Toc32434"/>
      <w:bookmarkStart w:id="43" w:name="_Toc21304"/>
      <w:r>
        <w:rPr>
          <w:rFonts w:hint="eastAsia" w:ascii="黑体" w:hAnsi="黑体" w:eastAsia="黑体" w:cs="宋体"/>
          <w:bCs/>
          <w:kern w:val="0"/>
          <w:sz w:val="32"/>
          <w:szCs w:val="32"/>
        </w:rPr>
        <w:t>三、《支出决算表》</w:t>
      </w:r>
      <w:bookmarkEnd w:id="42"/>
      <w:bookmarkEnd w:id="43"/>
    </w:p>
    <w:p>
      <w:pPr>
        <w:ind w:firstLine="640" w:firstLineChars="200"/>
        <w:outlineLvl w:val="1"/>
        <w:rPr>
          <w:rFonts w:ascii="黑体" w:hAnsi="黑体" w:eastAsia="黑体" w:cs="宋体"/>
          <w:bCs/>
          <w:kern w:val="0"/>
          <w:sz w:val="32"/>
          <w:szCs w:val="32"/>
        </w:rPr>
      </w:pPr>
      <w:bookmarkStart w:id="44" w:name="_Toc28786"/>
      <w:bookmarkStart w:id="45" w:name="_Toc14238"/>
      <w:r>
        <w:rPr>
          <w:rFonts w:hint="eastAsia" w:ascii="黑体" w:hAnsi="黑体" w:eastAsia="黑体" w:cs="宋体"/>
          <w:bCs/>
          <w:kern w:val="0"/>
          <w:sz w:val="32"/>
          <w:szCs w:val="32"/>
        </w:rPr>
        <w:t>四、《财政拨款收入支出决算总表》</w:t>
      </w:r>
      <w:bookmarkEnd w:id="44"/>
      <w:bookmarkEnd w:id="45"/>
    </w:p>
    <w:p>
      <w:pPr>
        <w:ind w:firstLine="640" w:firstLineChars="200"/>
        <w:outlineLvl w:val="1"/>
        <w:rPr>
          <w:rFonts w:ascii="黑体" w:hAnsi="黑体" w:eastAsia="黑体" w:cs="宋体"/>
          <w:bCs/>
          <w:kern w:val="0"/>
          <w:sz w:val="32"/>
          <w:szCs w:val="32"/>
        </w:rPr>
      </w:pPr>
      <w:bookmarkStart w:id="46" w:name="_Toc14869"/>
      <w:bookmarkStart w:id="47" w:name="_Toc10347"/>
      <w:r>
        <w:rPr>
          <w:rFonts w:hint="eastAsia" w:ascii="黑体" w:hAnsi="黑体" w:eastAsia="黑体" w:cs="宋体"/>
          <w:bCs/>
          <w:kern w:val="0"/>
          <w:sz w:val="32"/>
          <w:szCs w:val="32"/>
        </w:rPr>
        <w:t>五、《一般公共预算财政拨款支出决算表》</w:t>
      </w:r>
      <w:bookmarkEnd w:id="46"/>
      <w:bookmarkEnd w:id="47"/>
    </w:p>
    <w:p>
      <w:pPr>
        <w:ind w:firstLine="640" w:firstLineChars="200"/>
        <w:outlineLvl w:val="1"/>
        <w:rPr>
          <w:rFonts w:ascii="黑体" w:hAnsi="黑体" w:eastAsia="黑体" w:cs="宋体"/>
          <w:bCs/>
          <w:kern w:val="0"/>
          <w:sz w:val="32"/>
          <w:szCs w:val="32"/>
        </w:rPr>
      </w:pPr>
      <w:bookmarkStart w:id="48" w:name="_Toc8884"/>
      <w:bookmarkStart w:id="49" w:name="_Toc5626"/>
      <w:r>
        <w:rPr>
          <w:rFonts w:hint="eastAsia" w:ascii="黑体" w:hAnsi="黑体" w:eastAsia="黑体" w:cs="宋体"/>
          <w:bCs/>
          <w:kern w:val="0"/>
          <w:sz w:val="32"/>
          <w:szCs w:val="32"/>
        </w:rPr>
        <w:t>六、《一般公共预算财政拨款基本支出决算表》</w:t>
      </w:r>
      <w:bookmarkEnd w:id="48"/>
      <w:bookmarkEnd w:id="49"/>
    </w:p>
    <w:p>
      <w:pPr>
        <w:ind w:firstLine="640" w:firstLineChars="200"/>
        <w:outlineLvl w:val="1"/>
        <w:rPr>
          <w:rFonts w:ascii="黑体" w:hAnsi="黑体" w:eastAsia="黑体" w:cs="宋体"/>
          <w:bCs/>
          <w:kern w:val="0"/>
          <w:sz w:val="32"/>
          <w:szCs w:val="32"/>
        </w:rPr>
      </w:pPr>
      <w:r>
        <w:rPr>
          <w:rFonts w:hint="eastAsia" w:ascii="黑体" w:hAnsi="黑体" w:eastAsia="黑体" w:cs="宋体"/>
          <w:bCs/>
          <w:kern w:val="0"/>
          <w:sz w:val="32"/>
          <w:szCs w:val="32"/>
        </w:rPr>
        <w:t>七、</w:t>
      </w:r>
      <w:bookmarkStart w:id="50" w:name="_Toc29106"/>
      <w:bookmarkStart w:id="51" w:name="_Toc32663"/>
      <w:r>
        <w:rPr>
          <w:rFonts w:hint="eastAsia" w:ascii="黑体" w:hAnsi="黑体" w:eastAsia="黑体" w:cs="宋体"/>
          <w:bCs/>
          <w:kern w:val="0"/>
          <w:sz w:val="32"/>
          <w:szCs w:val="32"/>
        </w:rPr>
        <w:t>《财政拨款“三公”经费支出决算表》</w:t>
      </w:r>
      <w:bookmarkEnd w:id="50"/>
      <w:bookmarkEnd w:id="51"/>
    </w:p>
    <w:p>
      <w:pPr>
        <w:ind w:firstLine="640" w:firstLineChars="200"/>
        <w:outlineLvl w:val="1"/>
        <w:rPr>
          <w:rFonts w:ascii="黑体" w:hAnsi="黑体" w:eastAsia="黑体" w:cs="宋体"/>
          <w:bCs/>
          <w:kern w:val="0"/>
          <w:sz w:val="32"/>
          <w:szCs w:val="32"/>
        </w:rPr>
      </w:pPr>
      <w:bookmarkStart w:id="52" w:name="_Toc7643"/>
      <w:bookmarkStart w:id="53" w:name="_Toc5453"/>
      <w:r>
        <w:rPr>
          <w:rFonts w:hint="eastAsia" w:ascii="黑体" w:hAnsi="黑体" w:eastAsia="黑体" w:cs="宋体"/>
          <w:bCs/>
          <w:kern w:val="0"/>
          <w:sz w:val="32"/>
          <w:szCs w:val="32"/>
        </w:rPr>
        <w:t>八、《政府性基金预算财政拨款收入支出决算表》</w:t>
      </w:r>
      <w:bookmarkEnd w:id="52"/>
      <w:bookmarkEnd w:id="53"/>
    </w:p>
    <w:p>
      <w:pPr>
        <w:ind w:firstLine="640" w:firstLineChars="200"/>
        <w:outlineLvl w:val="1"/>
        <w:rPr>
          <w:rFonts w:ascii="黑体" w:hAnsi="黑体" w:eastAsia="黑体" w:cs="宋体"/>
          <w:bCs/>
          <w:kern w:val="0"/>
          <w:sz w:val="32"/>
          <w:szCs w:val="32"/>
        </w:rPr>
      </w:pPr>
      <w:r>
        <w:rPr>
          <w:rFonts w:hint="eastAsia" w:ascii="黑体" w:hAnsi="黑体" w:eastAsia="黑体" w:cs="宋体"/>
          <w:bCs/>
          <w:kern w:val="0"/>
          <w:sz w:val="32"/>
          <w:szCs w:val="32"/>
        </w:rPr>
        <w:t>九、《国有资本经营预算财政拨款收入支出决算表》</w:t>
      </w:r>
    </w:p>
    <w:p>
      <w:pPr>
        <w:ind w:firstLine="640" w:firstLineChars="200"/>
        <w:outlineLvl w:val="1"/>
        <w:rPr>
          <w:rFonts w:ascii="黑体" w:hAnsi="黑体" w:eastAsia="黑体" w:cs="宋体"/>
          <w:bCs/>
          <w:kern w:val="0"/>
          <w:sz w:val="32"/>
          <w:szCs w:val="32"/>
        </w:rPr>
      </w:pPr>
    </w:p>
    <w:p>
      <w:pPr>
        <w:ind w:firstLine="640" w:firstLineChars="200"/>
        <w:outlineLvl w:val="1"/>
        <w:rPr>
          <w:rFonts w:ascii="黑体" w:hAnsi="黑体" w:eastAsia="黑体" w:cs="宋体"/>
          <w:bCs/>
          <w:kern w:val="0"/>
          <w:sz w:val="32"/>
          <w:szCs w:val="32"/>
        </w:rPr>
      </w:pPr>
    </w:p>
    <w:p>
      <w:pPr>
        <w:ind w:firstLine="640" w:firstLineChars="200"/>
        <w:outlineLvl w:val="1"/>
        <w:rPr>
          <w:rFonts w:ascii="黑体" w:hAnsi="黑体" w:eastAsia="黑体" w:cs="宋体"/>
          <w:bCs/>
          <w:kern w:val="0"/>
          <w:sz w:val="32"/>
          <w:szCs w:val="32"/>
        </w:rPr>
      </w:pPr>
    </w:p>
    <w:p>
      <w:pPr>
        <w:ind w:firstLine="640" w:firstLineChars="200"/>
        <w:outlineLvl w:val="1"/>
        <w:rPr>
          <w:rFonts w:ascii="黑体" w:hAnsi="黑体" w:eastAsia="黑体" w:cs="宋体"/>
          <w:bCs/>
          <w:kern w:val="0"/>
          <w:sz w:val="32"/>
          <w:szCs w:val="32"/>
        </w:rPr>
      </w:pPr>
    </w:p>
    <w:p>
      <w:pPr>
        <w:ind w:firstLine="640" w:firstLineChars="200"/>
        <w:outlineLvl w:val="1"/>
        <w:rPr>
          <w:rFonts w:ascii="黑体" w:hAnsi="黑体" w:eastAsia="黑体" w:cs="宋体"/>
          <w:bCs/>
          <w:kern w:val="0"/>
          <w:sz w:val="32"/>
          <w:szCs w:val="32"/>
        </w:rPr>
      </w:pPr>
    </w:p>
    <w:p>
      <w:pPr>
        <w:ind w:firstLine="640" w:firstLineChars="200"/>
        <w:outlineLvl w:val="1"/>
        <w:rPr>
          <w:rFonts w:ascii="黑体" w:hAnsi="黑体" w:eastAsia="黑体" w:cs="宋体"/>
          <w:bCs/>
          <w:kern w:val="0"/>
          <w:sz w:val="32"/>
          <w:szCs w:val="32"/>
        </w:rPr>
      </w:pPr>
    </w:p>
    <w:p>
      <w:pPr>
        <w:ind w:firstLine="640" w:firstLineChars="200"/>
        <w:outlineLvl w:val="1"/>
        <w:rPr>
          <w:rFonts w:ascii="黑体" w:hAnsi="黑体" w:eastAsia="黑体" w:cs="宋体"/>
          <w:bCs/>
          <w:kern w:val="0"/>
          <w:sz w:val="32"/>
          <w:szCs w:val="32"/>
        </w:rPr>
      </w:pPr>
    </w:p>
    <w:p>
      <w:pPr>
        <w:ind w:firstLine="640" w:firstLineChars="200"/>
        <w:outlineLvl w:val="1"/>
        <w:rPr>
          <w:rFonts w:ascii="黑体" w:hAnsi="黑体" w:eastAsia="黑体" w:cs="宋体"/>
          <w:bCs/>
          <w:kern w:val="0"/>
          <w:sz w:val="32"/>
          <w:szCs w:val="32"/>
        </w:rPr>
      </w:pPr>
    </w:p>
    <w:p>
      <w:pPr>
        <w:ind w:firstLine="640" w:firstLineChars="200"/>
        <w:outlineLvl w:val="1"/>
        <w:rPr>
          <w:rFonts w:ascii="黑体" w:hAnsi="黑体" w:eastAsia="黑体" w:cs="宋体"/>
          <w:bCs/>
          <w:kern w:val="0"/>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4NjEzNjE0ZTlhYzdkNWYzMTk3MGNlZGYyNjFlNjIifQ=="/>
  </w:docVars>
  <w:rsids>
    <w:rsidRoot w:val="00ED2FA3"/>
    <w:rsid w:val="001A46A6"/>
    <w:rsid w:val="001C1F0E"/>
    <w:rsid w:val="002B7C95"/>
    <w:rsid w:val="002D4726"/>
    <w:rsid w:val="003126DD"/>
    <w:rsid w:val="00472033"/>
    <w:rsid w:val="006F56EC"/>
    <w:rsid w:val="008141EF"/>
    <w:rsid w:val="00A4650B"/>
    <w:rsid w:val="00BC4994"/>
    <w:rsid w:val="00C95DCA"/>
    <w:rsid w:val="00DE46BF"/>
    <w:rsid w:val="00ED2FA3"/>
    <w:rsid w:val="00F279FD"/>
    <w:rsid w:val="00F821B2"/>
    <w:rsid w:val="00FA4789"/>
    <w:rsid w:val="01837C58"/>
    <w:rsid w:val="02F73D26"/>
    <w:rsid w:val="034D4FEF"/>
    <w:rsid w:val="043E5B56"/>
    <w:rsid w:val="06792773"/>
    <w:rsid w:val="0A7B4867"/>
    <w:rsid w:val="0A922A39"/>
    <w:rsid w:val="0B8C3ECC"/>
    <w:rsid w:val="0C7227A7"/>
    <w:rsid w:val="0EA37FCC"/>
    <w:rsid w:val="1DAF458D"/>
    <w:rsid w:val="20DD6197"/>
    <w:rsid w:val="22123047"/>
    <w:rsid w:val="23BC04D2"/>
    <w:rsid w:val="26FE46DF"/>
    <w:rsid w:val="27CF2642"/>
    <w:rsid w:val="2A053397"/>
    <w:rsid w:val="2D1136DF"/>
    <w:rsid w:val="2FD27414"/>
    <w:rsid w:val="31C63837"/>
    <w:rsid w:val="385E742E"/>
    <w:rsid w:val="3914510A"/>
    <w:rsid w:val="3CA54DD0"/>
    <w:rsid w:val="3D5275AC"/>
    <w:rsid w:val="40834692"/>
    <w:rsid w:val="42721AED"/>
    <w:rsid w:val="46901EEE"/>
    <w:rsid w:val="469C74D2"/>
    <w:rsid w:val="4B4C0111"/>
    <w:rsid w:val="4F8F6833"/>
    <w:rsid w:val="50DB5F45"/>
    <w:rsid w:val="52F92565"/>
    <w:rsid w:val="583059FA"/>
    <w:rsid w:val="5FA17648"/>
    <w:rsid w:val="61A46A97"/>
    <w:rsid w:val="62DD7D21"/>
    <w:rsid w:val="65AE6FE4"/>
    <w:rsid w:val="65D97752"/>
    <w:rsid w:val="68DB0208"/>
    <w:rsid w:val="69AD798C"/>
    <w:rsid w:val="6B68175F"/>
    <w:rsid w:val="6E0F7A08"/>
    <w:rsid w:val="71473612"/>
    <w:rsid w:val="718F7F65"/>
    <w:rsid w:val="73FB6630"/>
    <w:rsid w:val="74E76DCD"/>
    <w:rsid w:val="77792CB5"/>
    <w:rsid w:val="77ED6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toc 3"/>
    <w:basedOn w:val="1"/>
    <w:next w:val="1"/>
    <w:uiPriority w:val="0"/>
    <w:pPr>
      <w:ind w:left="840" w:leftChars="4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uiPriority w:val="0"/>
  </w:style>
  <w:style w:type="paragraph" w:styleId="7">
    <w:name w:val="toc 2"/>
    <w:basedOn w:val="1"/>
    <w:next w:val="1"/>
    <w:uiPriority w:val="0"/>
    <w:pPr>
      <w:ind w:left="420" w:leftChars="200"/>
    </w:pPr>
  </w:style>
  <w:style w:type="paragraph" w:customStyle="1" w:styleId="10">
    <w:name w:val="WPSOffice手动目录 3"/>
    <w:uiPriority w:val="0"/>
    <w:pPr>
      <w:ind w:left="400" w:leftChars="400"/>
    </w:pPr>
    <w:rPr>
      <w:rFonts w:ascii="Times New Roman" w:hAnsi="Times New Roman" w:eastAsia="宋体" w:cs="Times New Roman"/>
      <w:lang w:val="en-US" w:eastAsia="zh-CN" w:bidi="ar-SA"/>
    </w:rPr>
  </w:style>
  <w:style w:type="paragraph" w:customStyle="1" w:styleId="11">
    <w:name w:val="WPSOffice手动目录 2"/>
    <w:uiPriority w:val="0"/>
    <w:pPr>
      <w:ind w:left="200" w:leftChars="200"/>
    </w:pPr>
    <w:rPr>
      <w:rFonts w:ascii="Times New Roman" w:hAnsi="Times New Roman" w:eastAsia="宋体" w:cs="Times New Roman"/>
      <w:lang w:val="en-US" w:eastAsia="zh-CN" w:bidi="ar-SA"/>
    </w:rPr>
  </w:style>
  <w:style w:type="paragraph" w:customStyle="1" w:styleId="12">
    <w:name w:val="WPSOffice手动目录 1"/>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1789</Words>
  <Characters>10201</Characters>
  <Lines>85</Lines>
  <Paragraphs>23</Paragraphs>
  <TotalTime>5</TotalTime>
  <ScaleCrop>false</ScaleCrop>
  <LinksUpToDate>false</LinksUpToDate>
  <CharactersWithSpaces>11967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卡师夫</cp:lastModifiedBy>
  <dcterms:modified xsi:type="dcterms:W3CDTF">2024-02-18T11:36:36Z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23ABCED72514481BB7D4D5C50FE472DD</vt:lpwstr>
  </property>
</Properties>
</file>