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乌鲁木齐市水磨沟区虹桥污水处理厂</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shd w:val="clear" w:color="auto" w:fill="FFFFFF"/>
        <w:autoSpaceDE w:val="0"/>
        <w:autoSpaceDN w:val="0"/>
        <w:adjustRightInd w:val="0"/>
        <w:spacing w:before="100" w:line="360" w:lineRule="auto"/>
        <w:ind w:firstLine="482"/>
        <w:rPr>
          <w:rFonts w:hint="eastAsia" w:ascii="仿宋_GB2312" w:hAnsi="Times New Roman" w:eastAsia="仿宋_GB2312" w:cs="仿宋_GB2312"/>
          <w:kern w:val="0"/>
          <w:sz w:val="32"/>
          <w:szCs w:val="32"/>
          <w:highlight w:val="yellow"/>
        </w:rPr>
      </w:pPr>
      <w:bookmarkStart w:id="4" w:name="_Toc31238"/>
      <w:bookmarkStart w:id="5" w:name="_Toc2151"/>
      <w:r>
        <w:rPr>
          <w:rFonts w:hint="eastAsia" w:ascii="仿宋_GB2312" w:hAnsi="黑体" w:eastAsia="仿宋_GB2312" w:cs="宋体"/>
          <w:bCs/>
          <w:kern w:val="0"/>
          <w:sz w:val="32"/>
          <w:szCs w:val="32"/>
        </w:rPr>
        <w:t>乌鲁木齐水磨沟区虹桥污水处理厂，坐落于新疆乌鲁木齐市，厂区具体位于乌鲁木齐市高尔夫路1号，设计处理能力为日处理污水3.00万立方米。主要建设内容包括厂区土建施工，工艺设备、工艺管道安装，电气、自控系统安装，照明，防雷接地，采暖，通风，厂区道路施工及绿化等。乌鲁木齐水磨沟区虹桥污水处理厂自2002年11月正式投入运行以来，污水处理设备运转良好，日平均处理污水量为1.87万立方米。该项目采用先进的污水处理设备，厂区主体工艺采用AB法处理工艺。乌鲁木齐水磨沟区虹桥污水处理厂建成后极大地改善了城市水环境，对治理污染，保护当地流域水质和生态平衡具有十分重要的作用，同时对改善乌鲁木齐市的投资环境，实现乌鲁木齐市经济社会可持续发展具有积极的推进作用。</w:t>
      </w:r>
    </w:p>
    <w:p>
      <w:pPr>
        <w:shd w:val="clear" w:color="auto" w:fill="FFFFFF"/>
        <w:autoSpaceDE w:val="0"/>
        <w:autoSpaceDN w:val="0"/>
        <w:adjustRightInd w:val="0"/>
        <w:spacing w:before="100" w:line="360" w:lineRule="auto"/>
        <w:ind w:firstLine="482"/>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乌鲁木齐市水磨沟区虹桥污水处理厂负责收集、处理城市污水，为城市绿化提供灌溉水源，促进生态环境改善。主要职能是：</w:t>
      </w:r>
    </w:p>
    <w:p>
      <w:pPr>
        <w:shd w:val="clear" w:color="auto" w:fill="FFFFFF"/>
        <w:autoSpaceDE w:val="0"/>
        <w:autoSpaceDN w:val="0"/>
        <w:adjustRightInd w:val="0"/>
        <w:spacing w:before="100" w:line="360" w:lineRule="auto"/>
        <w:ind w:firstLine="482"/>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1.贯彻执行国家、自治区、市、区人民政府有关环境保护的规定、制度、办法，依据《城镇污水处理厂污染物排放标准》等相关的国家标准，确保污水厂出水达标，正常运行，并依照相关法规进行处理。</w:t>
      </w:r>
    </w:p>
    <w:p>
      <w:pPr>
        <w:shd w:val="clear" w:color="auto" w:fill="FFFFFF"/>
        <w:autoSpaceDE w:val="0"/>
        <w:autoSpaceDN w:val="0"/>
        <w:adjustRightInd w:val="0"/>
        <w:spacing w:before="100" w:line="360" w:lineRule="auto"/>
        <w:ind w:firstLine="482"/>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2.负责厂内现有资源的合理使用和管理。</w:t>
      </w:r>
    </w:p>
    <w:p>
      <w:pPr>
        <w:shd w:val="clear" w:color="auto" w:fill="FFFFFF"/>
        <w:autoSpaceDE w:val="0"/>
        <w:autoSpaceDN w:val="0"/>
        <w:adjustRightInd w:val="0"/>
        <w:spacing w:before="100" w:line="360" w:lineRule="auto"/>
        <w:ind w:firstLine="482"/>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3.完成领导交办的其他任务和临时任务。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乌鲁木齐市水磨沟区虹桥污水处理厂202</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kern w:val="0"/>
          <w:sz w:val="32"/>
          <w:szCs w:val="32"/>
        </w:rPr>
        <w:t>年度，实有人数</w:t>
      </w:r>
      <w:r>
        <w:rPr>
          <w:rFonts w:hint="eastAsia" w:ascii="仿宋_GB2312" w:eastAsia="仿宋_GB2312" w:cs="仿宋_GB2312"/>
          <w:kern w:val="0"/>
          <w:sz w:val="32"/>
          <w:szCs w:val="32"/>
          <w:lang w:val="en-US" w:eastAsia="zh-CN"/>
        </w:rPr>
        <w:t>31</w:t>
      </w:r>
      <w:r>
        <w:rPr>
          <w:rFonts w:hint="eastAsia" w:ascii="仿宋_GB2312" w:hAnsi="Times New Roman" w:eastAsia="仿宋_GB2312" w:cs="仿宋_GB2312"/>
          <w:kern w:val="0"/>
          <w:sz w:val="32"/>
          <w:szCs w:val="32"/>
        </w:rPr>
        <w:t>人，其中：在职人员</w:t>
      </w:r>
      <w:r>
        <w:rPr>
          <w:rFonts w:hint="eastAsia" w:ascii="仿宋_GB2312" w:eastAsia="仿宋_GB2312" w:cs="仿宋_GB2312"/>
          <w:kern w:val="0"/>
          <w:sz w:val="32"/>
          <w:szCs w:val="32"/>
          <w:lang w:val="en-US" w:eastAsia="zh-CN"/>
        </w:rPr>
        <w:t>17</w:t>
      </w:r>
      <w:r>
        <w:rPr>
          <w:rFonts w:hint="eastAsia" w:ascii="仿宋_GB2312" w:hAnsi="Times New Roman" w:eastAsia="仿宋_GB2312" w:cs="仿宋_GB2312"/>
          <w:kern w:val="0"/>
          <w:sz w:val="32"/>
          <w:szCs w:val="32"/>
        </w:rPr>
        <w:t>人，离休人员0人，退</w:t>
      </w:r>
      <w:r>
        <w:rPr>
          <w:rFonts w:hint="eastAsia" w:ascii="仿宋_GB2312" w:hAnsi="Times New Roman" w:eastAsia="仿宋_GB2312" w:cs="仿宋_GB2312"/>
          <w:kern w:val="0"/>
          <w:sz w:val="32"/>
          <w:szCs w:val="32"/>
          <w:highlight w:val="none"/>
        </w:rPr>
        <w:t>休人员</w:t>
      </w:r>
      <w:r>
        <w:rPr>
          <w:rFonts w:hint="eastAsia" w:ascii="仿宋_GB2312" w:eastAsia="仿宋_GB2312" w:cs="仿宋_GB2312"/>
          <w:kern w:val="0"/>
          <w:sz w:val="32"/>
          <w:szCs w:val="32"/>
          <w:highlight w:val="none"/>
          <w:lang w:val="en-US" w:eastAsia="zh-CN"/>
        </w:rPr>
        <w:t>14</w:t>
      </w:r>
      <w:r>
        <w:rPr>
          <w:rFonts w:hint="eastAsia" w:ascii="仿宋_GB2312" w:hAnsi="Times New Roman" w:eastAsia="仿宋_GB2312" w:cs="仿宋_GB2312"/>
          <w:kern w:val="0"/>
          <w:sz w:val="32"/>
          <w:szCs w:val="32"/>
        </w:rPr>
        <w:t>人。</w:t>
      </w:r>
    </w:p>
    <w:p>
      <w:pPr>
        <w:shd w:val="clear" w:color="auto" w:fill="FFFFFF"/>
        <w:autoSpaceDE w:val="0"/>
        <w:autoSpaceDN w:val="0"/>
        <w:adjustRightInd w:val="0"/>
        <w:spacing w:before="100" w:line="360" w:lineRule="auto"/>
        <w:ind w:firstLine="482"/>
        <w:rPr>
          <w:rFonts w:hint="eastAsia" w:ascii="仿宋_GB2312" w:hAnsi="Times New Roman" w:eastAsia="仿宋_GB2312" w:cs="仿宋_GB2312"/>
          <w:kern w:val="0"/>
          <w:sz w:val="32"/>
          <w:szCs w:val="32"/>
          <w:highlight w:val="white"/>
          <w:lang w:val="zh-CN"/>
        </w:rPr>
      </w:pPr>
      <w:r>
        <w:rPr>
          <w:rFonts w:hint="eastAsia" w:ascii="仿宋_GB2312" w:hAnsi="Times New Roman" w:eastAsia="仿宋_GB2312" w:cs="仿宋_GB2312"/>
          <w:kern w:val="0"/>
          <w:sz w:val="32"/>
          <w:szCs w:val="32"/>
        </w:rPr>
        <w:t>从部门决算单位构成看，乌鲁木齐市水磨沟区虹桥污水处理厂部门决算包括：乌鲁木齐市水磨沟区虹桥污水处理厂</w:t>
      </w:r>
      <w:r>
        <w:rPr>
          <w:rFonts w:hint="eastAsia" w:ascii="仿宋_GB2312" w:hAnsi="Times New Roman" w:eastAsia="仿宋_GB2312" w:cs="仿宋_GB2312"/>
          <w:kern w:val="0"/>
          <w:sz w:val="32"/>
          <w:szCs w:val="32"/>
          <w:lang w:val="zh-CN"/>
        </w:rPr>
        <w:t>决算。单位无下属预算单位，下设</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zh-CN"/>
        </w:rPr>
        <w:t>个科室，分别是</w:t>
      </w:r>
      <w:r>
        <w:rPr>
          <w:rFonts w:hint="eastAsia" w:ascii="仿宋_GB2312" w:hAnsi="Times New Roman" w:eastAsia="仿宋_GB2312" w:cs="仿宋_GB2312"/>
          <w:kern w:val="0"/>
          <w:sz w:val="32"/>
          <w:szCs w:val="32"/>
          <w:highlight w:val="white"/>
          <w:lang w:val="zh-CN"/>
        </w:rPr>
        <w:t>：</w:t>
      </w:r>
      <w:r>
        <w:rPr>
          <w:rFonts w:hint="eastAsia" w:ascii="仿宋_GB2312" w:hAnsi="黑体" w:eastAsia="仿宋_GB2312" w:cs="宋体"/>
          <w:kern w:val="0"/>
          <w:sz w:val="32"/>
          <w:szCs w:val="32"/>
        </w:rPr>
        <w:t>办公室、设备科</w:t>
      </w:r>
      <w:r>
        <w:rPr>
          <w:rFonts w:hint="eastAsia" w:ascii="仿宋_GB2312" w:hAnsi="Times New Roman" w:eastAsia="仿宋_GB2312" w:cs="仿宋_GB2312"/>
          <w:kern w:val="0"/>
          <w:sz w:val="32"/>
          <w:szCs w:val="32"/>
          <w:highlight w:val="whit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343.52万元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rPr>
        <w:t>321.09万元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22.43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201.76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：本年PPP项目特许经营费</w:t>
      </w:r>
      <w:r>
        <w:rPr>
          <w:rFonts w:hint="eastAsia" w:ascii="仿宋_GB2312" w:eastAsia="仿宋_GB2312"/>
          <w:sz w:val="32"/>
          <w:szCs w:val="32"/>
          <w:highlight w:val="none"/>
          <w:lang w:val="en-US" w:eastAsia="zh-CN"/>
        </w:rPr>
        <w:t>因时间不足</w:t>
      </w:r>
      <w:r>
        <w:rPr>
          <w:rFonts w:hint="eastAsia" w:ascii="仿宋_GB2312" w:eastAsia="仿宋_GB2312"/>
          <w:sz w:val="32"/>
          <w:szCs w:val="32"/>
          <w:highlight w:val="none"/>
        </w:rPr>
        <w:t>，未拨付资金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343.52万元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305.03万元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38.49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201.76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：本年PPP项目特许经营费</w:t>
      </w:r>
      <w:r>
        <w:rPr>
          <w:rFonts w:hint="eastAsia" w:ascii="仿宋_GB2312" w:eastAsia="仿宋_GB2312"/>
          <w:sz w:val="32"/>
          <w:szCs w:val="32"/>
          <w:highlight w:val="none"/>
          <w:lang w:val="en-US" w:eastAsia="zh-CN"/>
        </w:rPr>
        <w:t>因时间不足</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该项目的没有发生相关的支出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本年收入321.09万元，其中：财政拨款收入303.34万元，占</w:t>
      </w:r>
      <w:r>
        <w:rPr>
          <w:rFonts w:hint="eastAsia" w:ascii="仿宋_GB2312" w:eastAsia="仿宋_GB2312"/>
          <w:sz w:val="32"/>
          <w:szCs w:val="32"/>
          <w:highlight w:val="none"/>
          <w:lang w:val="en-US" w:eastAsia="zh-CN"/>
        </w:rPr>
        <w:t>94.47</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%；其他收入17.75万元，占</w:t>
      </w:r>
      <w:r>
        <w:rPr>
          <w:rFonts w:hint="eastAsia" w:ascii="仿宋_GB2312" w:eastAsia="仿宋_GB2312"/>
          <w:sz w:val="32"/>
          <w:szCs w:val="32"/>
          <w:highlight w:val="none"/>
          <w:lang w:val="en-US" w:eastAsia="zh-CN"/>
        </w:rPr>
        <w:t>5.53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本年支出305.03万元，其中：基本支出303.37万元，占</w:t>
      </w:r>
      <w:r>
        <w:rPr>
          <w:rFonts w:hint="eastAsia" w:ascii="仿宋_GB2312" w:eastAsia="仿宋_GB2312"/>
          <w:sz w:val="32"/>
          <w:szCs w:val="32"/>
          <w:highlight w:val="none"/>
          <w:lang w:val="en-US" w:eastAsia="zh-CN"/>
        </w:rPr>
        <w:t>99.46</w:t>
      </w:r>
      <w:r>
        <w:rPr>
          <w:rFonts w:hint="eastAsia" w:ascii="仿宋_GB2312" w:eastAsia="仿宋_GB2312"/>
          <w:sz w:val="32"/>
          <w:szCs w:val="32"/>
          <w:highlight w:val="none"/>
        </w:rPr>
        <w:t>%；项目支出1.66万元，占</w:t>
      </w:r>
      <w:r>
        <w:rPr>
          <w:rFonts w:hint="eastAsia" w:ascii="仿宋_GB2312" w:eastAsia="仿宋_GB2312"/>
          <w:sz w:val="32"/>
          <w:szCs w:val="32"/>
          <w:highlight w:val="none"/>
          <w:lang w:val="en-US" w:eastAsia="zh-CN"/>
        </w:rPr>
        <w:t>0.54</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303.34万元，</w:t>
      </w:r>
      <w:r>
        <w:rPr>
          <w:rFonts w:hint="eastAsia" w:ascii="仿宋_GB2312" w:eastAsia="仿宋_GB2312"/>
          <w:sz w:val="32"/>
          <w:szCs w:val="32"/>
          <w:highlight w:val="none"/>
          <w:lang w:val="en-US" w:eastAsia="zh-CN"/>
        </w:rPr>
        <w:t>其中：年初财政拨款结转和结余0.00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w:t>
      </w:r>
      <w:r>
        <w:rPr>
          <w:rFonts w:hint="eastAsia" w:ascii="仿宋_GB2312" w:eastAsia="仿宋_GB2312"/>
          <w:sz w:val="32"/>
          <w:szCs w:val="32"/>
          <w:highlight w:val="none"/>
        </w:rPr>
        <w:t>303.34万元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210.50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40.97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：PPP特许经营费</w:t>
      </w:r>
      <w:r>
        <w:rPr>
          <w:rFonts w:hint="eastAsia" w:ascii="仿宋_GB2312" w:eastAsia="仿宋_GB2312"/>
          <w:sz w:val="32"/>
          <w:szCs w:val="32"/>
          <w:highlight w:val="none"/>
          <w:lang w:eastAsia="zh-CN"/>
        </w:rPr>
        <w:t>项目本年度</w:t>
      </w:r>
      <w:r>
        <w:rPr>
          <w:rFonts w:hint="eastAsia" w:ascii="仿宋_GB2312" w:eastAsia="仿宋_GB2312"/>
          <w:sz w:val="32"/>
          <w:szCs w:val="32"/>
          <w:highlight w:val="none"/>
        </w:rPr>
        <w:t>未</w:t>
      </w:r>
      <w:r>
        <w:rPr>
          <w:rFonts w:hint="eastAsia" w:ascii="仿宋_GB2312" w:eastAsia="仿宋_GB2312"/>
          <w:sz w:val="32"/>
          <w:szCs w:val="32"/>
          <w:highlight w:val="none"/>
          <w:lang w:eastAsia="zh-CN"/>
        </w:rPr>
        <w:t>发生相关经费支出。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总计303.34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财政拨款本年支出303.34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210.50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40.97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：PPP特许经营费</w:t>
      </w:r>
      <w:r>
        <w:rPr>
          <w:rFonts w:hint="eastAsia" w:ascii="仿宋_GB2312" w:eastAsia="仿宋_GB2312"/>
          <w:sz w:val="32"/>
          <w:szCs w:val="32"/>
          <w:highlight w:val="none"/>
          <w:lang w:eastAsia="zh-CN"/>
        </w:rPr>
        <w:t>项目本年度</w:t>
      </w:r>
      <w:r>
        <w:rPr>
          <w:rFonts w:hint="eastAsia" w:ascii="仿宋_GB2312" w:eastAsia="仿宋_GB2312"/>
          <w:sz w:val="32"/>
          <w:szCs w:val="32"/>
          <w:highlight w:val="none"/>
        </w:rPr>
        <w:t>未</w:t>
      </w:r>
      <w:r>
        <w:rPr>
          <w:rFonts w:hint="eastAsia" w:ascii="仿宋_GB2312" w:eastAsia="仿宋_GB2312"/>
          <w:sz w:val="32"/>
          <w:szCs w:val="32"/>
          <w:highlight w:val="none"/>
          <w:lang w:eastAsia="zh-CN"/>
        </w:rPr>
        <w:t>发生相关经费支出。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803.84万元，决算数303.34万元，预决算差异率</w:t>
      </w:r>
      <w:r>
        <w:rPr>
          <w:rFonts w:hint="eastAsia" w:ascii="仿宋_GB2312" w:eastAsia="仿宋_GB2312"/>
          <w:sz w:val="32"/>
          <w:szCs w:val="32"/>
          <w:highlight w:val="none"/>
          <w:lang w:val="en-US" w:eastAsia="zh-CN"/>
        </w:rPr>
        <w:t>-62.26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年初预算安排了</w:t>
      </w:r>
      <w:r>
        <w:rPr>
          <w:rFonts w:hint="eastAsia" w:ascii="仿宋_GB2312" w:eastAsia="仿宋_GB2312"/>
          <w:sz w:val="32"/>
          <w:szCs w:val="32"/>
          <w:highlight w:val="none"/>
        </w:rPr>
        <w:t>PPP项目特许经营费</w:t>
      </w:r>
      <w:r>
        <w:rPr>
          <w:rFonts w:hint="eastAsia" w:ascii="仿宋_GB2312" w:eastAsia="仿宋_GB2312"/>
          <w:sz w:val="32"/>
          <w:szCs w:val="32"/>
          <w:highlight w:val="none"/>
          <w:lang w:val="en-US" w:eastAsia="zh-CN"/>
        </w:rPr>
        <w:t>500万元，</w:t>
      </w:r>
      <w:r>
        <w:rPr>
          <w:rFonts w:hint="eastAsia" w:ascii="仿宋_GB2312" w:eastAsia="仿宋_GB2312"/>
          <w:sz w:val="32"/>
          <w:szCs w:val="32"/>
          <w:highlight w:val="none"/>
        </w:rPr>
        <w:t>PPP特许经营费</w:t>
      </w:r>
      <w:r>
        <w:rPr>
          <w:rFonts w:hint="eastAsia" w:ascii="仿宋_GB2312" w:eastAsia="仿宋_GB2312"/>
          <w:sz w:val="32"/>
          <w:szCs w:val="32"/>
          <w:highlight w:val="none"/>
          <w:lang w:eastAsia="zh-CN"/>
        </w:rPr>
        <w:t>项目本年度</w:t>
      </w:r>
      <w:r>
        <w:rPr>
          <w:rFonts w:hint="eastAsia" w:ascii="仿宋_GB2312" w:eastAsia="仿宋_GB2312"/>
          <w:sz w:val="32"/>
          <w:szCs w:val="32"/>
          <w:highlight w:val="none"/>
        </w:rPr>
        <w:t>未</w:t>
      </w:r>
      <w:r>
        <w:rPr>
          <w:rFonts w:hint="eastAsia" w:ascii="仿宋_GB2312" w:eastAsia="仿宋_GB2312"/>
          <w:sz w:val="32"/>
          <w:szCs w:val="32"/>
          <w:highlight w:val="none"/>
          <w:lang w:eastAsia="zh-CN"/>
        </w:rPr>
        <w:t>发生相关经费支出。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803.84</w:t>
      </w:r>
      <w:r>
        <w:rPr>
          <w:rFonts w:hint="eastAsia" w:ascii="仿宋_GB2312" w:eastAsia="仿宋_GB2312"/>
          <w:sz w:val="32"/>
          <w:szCs w:val="32"/>
          <w:highlight w:val="none"/>
        </w:rPr>
        <w:t>万元，决算数305.03万元，预决算差异率</w:t>
      </w:r>
      <w:r>
        <w:rPr>
          <w:rFonts w:hint="eastAsia" w:ascii="仿宋_GB2312" w:eastAsia="仿宋_GB2312"/>
          <w:sz w:val="32"/>
          <w:szCs w:val="32"/>
          <w:highlight w:val="none"/>
          <w:lang w:val="en-US" w:eastAsia="zh-CN"/>
        </w:rPr>
        <w:t>-62.05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PPP特许经营费</w:t>
      </w:r>
      <w:r>
        <w:rPr>
          <w:rFonts w:hint="eastAsia" w:ascii="仿宋_GB2312" w:eastAsia="仿宋_GB2312"/>
          <w:sz w:val="32"/>
          <w:szCs w:val="32"/>
          <w:highlight w:val="none"/>
          <w:lang w:eastAsia="zh-CN"/>
        </w:rPr>
        <w:t>项目本年度</w:t>
      </w:r>
      <w:r>
        <w:rPr>
          <w:rFonts w:hint="eastAsia" w:ascii="仿宋_GB2312" w:eastAsia="仿宋_GB2312"/>
          <w:sz w:val="32"/>
          <w:szCs w:val="32"/>
          <w:highlight w:val="none"/>
        </w:rPr>
        <w:t>未</w:t>
      </w:r>
      <w:r>
        <w:rPr>
          <w:rFonts w:hint="eastAsia" w:ascii="仿宋_GB2312" w:eastAsia="仿宋_GB2312"/>
          <w:sz w:val="32"/>
          <w:szCs w:val="32"/>
          <w:highlight w:val="none"/>
          <w:lang w:eastAsia="zh-CN"/>
        </w:rPr>
        <w:t>发生相关经费支出。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rPr>
        <w:t>303.34</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99.45</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9.60</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3.07</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pacing w:val="0"/>
          <w:sz w:val="32"/>
          <w:szCs w:val="32"/>
          <w:highlight w:val="none"/>
          <w:lang w:val="en-US" w:eastAsia="zh-CN"/>
        </w:rPr>
        <w:t>今年较上年减少2人，相关经费支出也较去年有所减少</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1.社会保障和就业支出（类）</w:t>
      </w:r>
      <w:r>
        <w:rPr>
          <w:rFonts w:hint="eastAsia" w:ascii="仿宋_GB2312" w:eastAsia="仿宋_GB2312"/>
          <w:spacing w:val="0"/>
          <w:sz w:val="32"/>
          <w:szCs w:val="32"/>
          <w:highlight w:val="none"/>
        </w:rPr>
        <w:t>33.82</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11.15</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2.节能环保支出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类）269.52万元，占88.85%。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1.社会保障和就业支出（类）行政事业单位养老支出（款）事业单位离退休（项）: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为3.94万元，比上年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3.94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21年未安排相关预算资金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为23.64万元，比上年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1.09</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4.83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今年调整养老保险缴纳基数，因此支出较上年度有所增加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.社会保障和就业支出（类）行政事业单位养老支出（款）机关事业单位职业年金缴费支出（项）: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为6.24万元，比上年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增加6.24万元，增长</w:t>
      </w:r>
      <w:r>
        <w:rPr>
          <w:rFonts w:hint="eastAsia" w:ascii="仿宋_GB2312" w:hAnsi="仿宋_GB2312" w:eastAsia="仿宋_GB2312" w:cs="仿宋_GB2312"/>
          <w:kern w:val="0"/>
          <w:sz w:val="32"/>
          <w:szCs w:val="32"/>
          <w:highlight w:val="none"/>
          <w:lang w:val="en-US" w:eastAsia="zh-CN"/>
        </w:rPr>
        <w:t>100.00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21年未安排相关预算资金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.节能环保支出（类）环境保护管理事务（款）机关服务（项）: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为269.52万元，比上年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20.87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7.19</w:t>
      </w:r>
      <w:r>
        <w:rPr>
          <w:rFonts w:hint="eastAsia" w:ascii="仿宋_GB2312" w:hAnsi="仿宋_GB2312" w:eastAsia="仿宋_GB2312" w:cs="仿宋_GB2312"/>
          <w:kern w:val="0"/>
          <w:sz w:val="32"/>
          <w:szCs w:val="32"/>
          <w:highlight w:val="none"/>
        </w:rPr>
        <w:t>%，主要原因是：</w:t>
      </w:r>
      <w:r>
        <w:rPr>
          <w:rFonts w:hint="eastAsia" w:ascii="仿宋_GB2312" w:eastAsia="仿宋_GB2312"/>
          <w:spacing w:val="0"/>
          <w:sz w:val="32"/>
          <w:szCs w:val="32"/>
          <w:highlight w:val="none"/>
          <w:lang w:val="en-US" w:eastAsia="zh-CN"/>
        </w:rPr>
        <w:t>今年较上年减少2人，相关经费支出也较去年有所减少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一般公共预算财政拨款基本支出303.34万元，其中：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人员经费291.9</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11.44</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维修（护）费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未发生相关经费支出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年初预算未安排相关资金</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年初预算未安排相关资金</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未发生相关经费支出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未发生相关经费支出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val="en-US" w:eastAsia="zh-CN"/>
        </w:rPr>
        <w:t>年初预算未安排相关资金</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val="en-US" w:eastAsia="zh-CN"/>
        </w:rPr>
        <w:t>年初预算未安排相关资金</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0.05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2022年度未发生相关经费</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年初预算未安排资金预算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w:t>
      </w:r>
      <w:bookmarkStart w:id="54" w:name="_GoBack"/>
      <w:bookmarkEnd w:id="54"/>
      <w:r>
        <w:rPr>
          <w:rFonts w:hint="eastAsia" w:ascii="仿宋_GB2312" w:hAnsi="宋体" w:eastAsia="仿宋_GB2312" w:cs="宋体"/>
          <w:kern w:val="0"/>
          <w:sz w:val="32"/>
          <w:szCs w:val="32"/>
          <w:highlight w:val="none"/>
        </w:rPr>
        <w:t>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年初预算未安排资金预算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年初预算未安排资金预算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0.05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2022年度未发生相关经费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hAnsi="Times New Roman" w:eastAsia="仿宋_GB2312" w:cs="仿宋_GB2312"/>
          <w:kern w:val="0"/>
          <w:sz w:val="32"/>
          <w:szCs w:val="32"/>
        </w:rPr>
        <w:t>乌鲁木齐市水磨沟区虹桥污水处理厂</w:t>
      </w:r>
      <w:r>
        <w:rPr>
          <w:rFonts w:hint="eastAsia" w:ascii="仿宋_GB2312" w:eastAsia="仿宋_GB2312"/>
          <w:sz w:val="32"/>
          <w:szCs w:val="32"/>
          <w:highlight w:val="none"/>
        </w:rPr>
        <w:t>单位（事业单位）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11.44</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7.78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212.57</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工会经费和福利费支出增加，由于防控原因单位相关支出增加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0.21</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0.21</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0.21</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0.21</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rPr>
        <w:t>6,412.27</w:t>
      </w:r>
      <w:r>
        <w:rPr>
          <w:rFonts w:hint="eastAsia" w:ascii="仿宋_GB2312" w:eastAsia="仿宋_GB2312"/>
          <w:sz w:val="32"/>
          <w:szCs w:val="32"/>
          <w:highlight w:val="none"/>
          <w:lang w:val="en-US" w:eastAsia="zh-CN"/>
        </w:rPr>
        <w:t>万元，房</w:t>
      </w:r>
      <w:r>
        <w:rPr>
          <w:rFonts w:hint="eastAsia" w:ascii="仿宋_GB2312" w:eastAsia="仿宋_GB2312"/>
          <w:sz w:val="32"/>
          <w:szCs w:val="32"/>
          <w:highlight w:val="none"/>
        </w:rPr>
        <w:t>屋5,472.72平方米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rPr>
        <w:t>2,225.43万元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辆，价值134.46万元，其中：副部（省）级及以上领导用车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单位办公用车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预算绩效管理取得的成效：一是进一步加强对绩效目标监控的重视，定期对预算执行情况进行监督，使绩效目标监控与行政工作、财务工作挂钩，做到及时监控，及时控制，避免疏忽；二是加强各部门衔接，使预算绩效目标实施进度得到及时反馈，便于及时汇总监控。</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发现的问题及原因：一是工作机制有待进一步完善，平时工作中未加强绩效监控工作的重视，绩效监控工作容易滞后；二是单位各部门衔接不及时，无法及时监控预算绩效目标实施情况。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下一步改进措施：一是进一步完善工作机制，加强绩效监控，达到制度化、规范化；二是加大沟通协调，及时掌握绩效实施情况。具体项目自评情况附项目支出绩效自评表。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p>
    <w:tbl>
      <w:tblPr>
        <w:tblStyle w:val="8"/>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6"/>
        <w:gridCol w:w="356"/>
        <w:gridCol w:w="885"/>
        <w:gridCol w:w="244"/>
        <w:gridCol w:w="1545"/>
        <w:gridCol w:w="133"/>
        <w:gridCol w:w="1133"/>
        <w:gridCol w:w="922"/>
        <w:gridCol w:w="145"/>
        <w:gridCol w:w="422"/>
        <w:gridCol w:w="622"/>
        <w:gridCol w:w="45"/>
        <w:gridCol w:w="722"/>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424"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8424"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1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ppp项目特许经营费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0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乌鲁木齐市水磨沟区虹桥污水处理厂</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乌鲁木齐市水磨沟区虹桥污水处理厂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1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29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77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29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磨沟区虹桥污水处理厂改造（暨深度处理）工程，该工程位于乌鲁木齐市高尔夫路200号，设计处理规模为：日处理污水能力3万吨。主要接纳天山区碱泉街地段城市生活污水，处理后的再生水全部用于周边景区绿化。</w:t>
            </w:r>
          </w:p>
        </w:tc>
        <w:tc>
          <w:tcPr>
            <w:tcW w:w="377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单位子4月23日值2022年10月23日开始生产，日处理污水3万吨，运行共计210天，全年处理污水351.86万m3，污泥运输处置451.68吨，中水绿化供水228.89m3，全年处理污水水水质达标率100%，我厂圆满的完成了上级交给的处理城市污水及绿化周边景区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6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2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日处理污水吨数</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&gt;=3万吨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3万吨</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城镇污水处理厂污染物排放标准(GB18198-2002)一级A排放标准达标率</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资金支持使用天数</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=37.5天</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37.5天</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支付污水处理单价服务费</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=4.41元/吨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0元/吨</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最近几年根据相续出台PPP项目相关文件和规范，需要完善项目补充协议，按照绩效考核履行情况支付费用。单位补充协议还没有细化签署。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处理后再生水用于周边景观绿化的利用率</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处理污染的同时，满足城市绿化用水要求</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有效满足</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完全达到预期效果</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污水处理后再生用水使环境得到明显改善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完全达到预期效果</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天山区碱泉街地段居民满意度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80.00分</w:t>
            </w:r>
          </w:p>
        </w:tc>
        <w:tc>
          <w:tcPr>
            <w:tcW w:w="16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3250"/>
      <w:bookmarkStart w:id="35" w:name="_Toc24143"/>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YzA5MTk0NTY5NGNmMTQwNGMzM2M1NjQzZDU0ZjkifQ=="/>
  </w:docVars>
  <w:rsids>
    <w:rsidRoot w:val="00000000"/>
    <w:rsid w:val="02F73D26"/>
    <w:rsid w:val="034D4FEF"/>
    <w:rsid w:val="043E5B56"/>
    <w:rsid w:val="06792773"/>
    <w:rsid w:val="06F36526"/>
    <w:rsid w:val="0A7B4867"/>
    <w:rsid w:val="0B660664"/>
    <w:rsid w:val="0B8C3ECC"/>
    <w:rsid w:val="0C7227A7"/>
    <w:rsid w:val="1B710093"/>
    <w:rsid w:val="1DAF458D"/>
    <w:rsid w:val="20DD6197"/>
    <w:rsid w:val="23BC04D2"/>
    <w:rsid w:val="27783E7D"/>
    <w:rsid w:val="27CF2642"/>
    <w:rsid w:val="27E20672"/>
    <w:rsid w:val="2A053397"/>
    <w:rsid w:val="2D1136DF"/>
    <w:rsid w:val="2FD27414"/>
    <w:rsid w:val="31C63837"/>
    <w:rsid w:val="3914510A"/>
    <w:rsid w:val="3D5275AC"/>
    <w:rsid w:val="40834692"/>
    <w:rsid w:val="46901EEE"/>
    <w:rsid w:val="469C74D2"/>
    <w:rsid w:val="4AFE7B3B"/>
    <w:rsid w:val="4B4C0111"/>
    <w:rsid w:val="50DB5F45"/>
    <w:rsid w:val="52F92565"/>
    <w:rsid w:val="583059FA"/>
    <w:rsid w:val="5FA17648"/>
    <w:rsid w:val="61A46A97"/>
    <w:rsid w:val="62DD7D21"/>
    <w:rsid w:val="65D97752"/>
    <w:rsid w:val="68DB0208"/>
    <w:rsid w:val="69AD798C"/>
    <w:rsid w:val="6B68175F"/>
    <w:rsid w:val="6C5F4E4C"/>
    <w:rsid w:val="6E0F7A08"/>
    <w:rsid w:val="6FBB39A3"/>
    <w:rsid w:val="71465625"/>
    <w:rsid w:val="71473612"/>
    <w:rsid w:val="718F7F65"/>
    <w:rsid w:val="73FB6630"/>
    <w:rsid w:val="74E76DCD"/>
    <w:rsid w:val="77ED6F44"/>
    <w:rsid w:val="7E201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rFonts w:ascii="Times New Roman" w:hAnsi="Times New Roman" w:eastAsia="宋体" w:cs="Times New Roman"/>
      <w:sz w:val="20"/>
      <w:szCs w:val="20"/>
    </w:rPr>
  </w:style>
  <w:style w:type="paragraph" w:customStyle="1" w:styleId="11">
    <w:name w:val="WPSOffice手动目录 2"/>
    <w:uiPriority w:val="0"/>
    <w:pPr>
      <w:ind w:leftChars="200"/>
    </w:pPr>
    <w:rPr>
      <w:rFonts w:ascii="Times New Roman" w:hAnsi="Times New Roman" w:eastAsia="宋体" w:cs="Times New Roman"/>
      <w:sz w:val="20"/>
      <w:szCs w:val="20"/>
    </w:rPr>
  </w:style>
  <w:style w:type="paragraph" w:customStyle="1" w:styleId="1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5875</Words>
  <Characters>6613</Characters>
  <Lines>0</Lines>
  <Paragraphs>0</Paragraphs>
  <TotalTime>2</TotalTime>
  <ScaleCrop>false</ScaleCrop>
  <LinksUpToDate>false</LinksUpToDate>
  <CharactersWithSpaces>6623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寻</cp:lastModifiedBy>
  <dcterms:modified xsi:type="dcterms:W3CDTF">2024-02-07T06:36:42Z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D10F7311D9E14647A57D686FD10BD41A</vt:lpwstr>
  </property>
</Properties>
</file>