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乌鲁木齐市水磨沟区市场监督管理局</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default" w:ascii="Times New Roman" w:hAnsi="Times New Roman" w:eastAsia="方正小标宋_GBK" w:cs="Times New Roman"/>
          <w:sz w:val="44"/>
          <w:szCs w:val="44"/>
          <w:highlight w:val="none"/>
          <w:lang w:val="en-US" w:eastAsia="zh-CN"/>
        </w:rPr>
        <w:t>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4" w:name="_Toc31238"/>
      <w:bookmarkStart w:id="5" w:name="_Toc2151"/>
      <w:r>
        <w:rPr>
          <w:rFonts w:hint="eastAsia" w:ascii="仿宋_GB2312" w:eastAsia="仿宋_GB2312"/>
          <w:sz w:val="32"/>
          <w:szCs w:val="32"/>
          <w:highlight w:val="none"/>
        </w:rPr>
        <w:t>（一）负责市场综合监督管理和知识产权管理。贯彻执行国家、自治区、乌鲁木齐市和我区有关市场监督管理和知识产权管理的方针、政策和法律、法规及相关规章标准；组织实施质量强区战略、食品药品安全战略、标准化战略和知识产权战略；拟订并组织实施我区市场监督管理工作中长期规划、年度计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二）负责市场主体统一登记注册。组织实施商事制度改革；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（三）组织市场监管和知识产权综合执法工作。组织查处违法案件；规范市场监管和知识产权行政执法行为。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（四）负责监督管理市场秩序。依法监督管理市场交易，网络商品交易及有关服务的行为；查处价格收费违法违规、</w:t>
      </w:r>
      <w:r>
        <w:rPr>
          <w:rFonts w:hint="eastAsia" w:ascii="仿宋_GB2312" w:eastAsia="仿宋_GB2312"/>
          <w:sz w:val="32"/>
          <w:szCs w:val="32"/>
          <w:highlight w:val="none"/>
          <w:lang w:eastAsia="zh-CN"/>
        </w:rPr>
        <w:t>不</w:t>
      </w:r>
      <w:r>
        <w:rPr>
          <w:rFonts w:hint="eastAsia" w:ascii="仿宋_GB2312" w:eastAsia="仿宋_GB2312"/>
          <w:sz w:val="32"/>
          <w:szCs w:val="32"/>
          <w:highlight w:val="none"/>
        </w:rPr>
        <w:t>正当竞争、违法直销、传销、侵犯商标专利知识产权和制售假冒伪劣商品行为；依法实施合同行政监督管理，指导、监督管理动产抵押物登记和拍卖行为；指导广告业发展，监督管理广告活动；指导查处无照生产经营和相关无证生产经营行为；指导区消费者协会开展消费维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（五）负责宏观质量管理。实施质量发展的制度措施；组织质量事故调查，组织实施缺陷产品召回制度，监督管理产品防伪工作。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（六）负责产品质量安全监督管理。管理产品质量监督抽查、风险监控工作；组织实施质量分级制度、质量安全追溯制度；推进产品质量诚信体系建设；负责工业产品生产许可证的监督管理。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（七）负责特种设备安全监督管理。综合管理特种设备安全监察、监督工作，监督检查高耗能特种设备节能标准和锅炉环境保护标准的执行情况。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（八）负责食品安全监督管理综合协调。负责食品安全应急体系建设，组织指导食品安全事件应急处置和调查处理工作；落实食品安全重要信息直报制度。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食盐质量安全监督管理工作；组织特殊食品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负责药品（含中药、民族药，下同）、医疗器械和化妆品安全监督管理。监督实施药品、医疗器械、化妆品标准和分类管理制度，配合实施国家基本药物制度；监督、指导实施药品、化妆品经营和使用质量管理规范；监督、指导实施医疗器械生产、经营和使用质量管理规范；负责药品、医疗器械和化妆品上市后风险管理，组织开展药品、化妆品不良反应和医疗器械不良事件监测、评价和处置工作；依法承担药品、医疗器械和化妆品安全应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一）负责统一管理计量工作。执行国家计量制度，推行国家法定计量单位，依法管理计量器具，组织量值传递；规范、监督商品计量和市场计量行为；负责对计量检定机构及检定人员的资质资格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（十二）负责统一管理标准化工作。依法协调指导团体标准、企业标准制定工作；管理和指导标准化试点示范项目。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（十三）负责统一管理、监督和综合协调认证认可工作。依法对获得资质认定（计量认证、审查认可）的实验室、检查机构和认证机构实施监督管理；依法组织实施强制性产品认证活动的监督管理。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（十四）负责市场监督管理和知识产权科技与信息化建设、新闻宣传，以及对外交流合作；按规定承担技术性贸易措施有关工作。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五）负责知识产权保护与促进工作。实施严格保护商标、专利、原产地地理标志等知识产权制度措施；依法承担商标、专利、原产地地理标志等知识产权相关工作；监督指导知识产权争议处理、维权援助和纠纷调处；组织实施知识产权激励奖励、知识产权转化运用和交易运营政策措施；指导和促进知识产权服务业发展；组织实施知识产权宣传、推广工作，指导协调知识产权对外交流与合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（十六）负责行政事业性收费管理工作；实施价格监督检查工作，依法查处价格违法和价格垄断等行为。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（十七）承担区食品安全委员会的具体工作。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（十八）承办区委、区人民政府交办的其他事项。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rPr>
        <w:t>乌鲁木齐市水磨沟区市场监督管理局202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年度，实有人数22</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138</w:t>
      </w:r>
      <w:r>
        <w:rPr>
          <w:rFonts w:hint="eastAsia" w:ascii="仿宋_GB2312" w:eastAsia="仿宋_GB2312"/>
          <w:sz w:val="32"/>
          <w:szCs w:val="32"/>
          <w:highlight w:val="none"/>
        </w:rPr>
        <w:t>人，离休人员0人，退休人员</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人。</w:t>
      </w:r>
    </w:p>
    <w:p>
      <w:pPr>
        <w:widowControl/>
        <w:spacing w:line="560" w:lineRule="exact"/>
        <w:ind w:firstLine="640"/>
        <w:jc w:val="left"/>
        <w:rPr>
          <w:rFonts w:ascii="仿宋_GB2312" w:hAnsi="宋体" w:eastAsia="仿宋_GB2312" w:cs="宋体"/>
          <w:kern w:val="0"/>
          <w:sz w:val="32"/>
          <w:szCs w:val="32"/>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决算单位构成看，乌鲁木齐市水磨沟区市场监督管理局部门决算包括：乌鲁木齐市水磨沟区市场监督管理局决算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hAnsi="黑体" w:eastAsia="仿宋_GB2312" w:cs="宋体"/>
          <w:bCs/>
          <w:kern w:val="0"/>
          <w:sz w:val="32"/>
          <w:szCs w:val="32"/>
          <w:highlight w:val="none"/>
          <w:lang w:val="en-US" w:eastAsia="zh-CN"/>
        </w:rPr>
        <w:t>9</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lang w:eastAsia="zh-CN"/>
        </w:rPr>
        <w:t>组教科、办公室、法规科、特设科、食药科、监管一科、监管二科、执法科、注册科</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2564.87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其中：本年收入合计2433.44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131.43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500.12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人员经费</w:t>
      </w:r>
      <w:r>
        <w:rPr>
          <w:rFonts w:hint="eastAsia" w:ascii="仿宋_GB2312" w:eastAsia="仿宋_GB2312"/>
          <w:sz w:val="32"/>
          <w:szCs w:val="32"/>
          <w:highlight w:val="none"/>
        </w:rPr>
        <w:t>减少职业年金和住房公积金</w:t>
      </w:r>
      <w:r>
        <w:rPr>
          <w:rFonts w:hint="eastAsia" w:ascii="仿宋_GB2312" w:eastAsia="仿宋_GB2312"/>
          <w:sz w:val="32"/>
          <w:szCs w:val="32"/>
          <w:highlight w:val="none"/>
          <w:lang w:eastAsia="zh-CN"/>
        </w:rPr>
        <w:t>，节约开支，压减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，项目经费</w:t>
      </w:r>
      <w:r>
        <w:rPr>
          <w:rFonts w:hint="eastAsia" w:ascii="仿宋_GB2312" w:eastAsia="仿宋_GB2312"/>
          <w:sz w:val="32"/>
          <w:szCs w:val="32"/>
          <w:highlight w:val="none"/>
        </w:rPr>
        <w:t>减少临聘人员工资和食品抽检经费。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总计2564.87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其中：本年支出合计2501.12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63.76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500.12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：减少临聘人员工资和食品抽检经费。</w:t>
      </w:r>
      <w:r>
        <w:rPr>
          <w:rFonts w:hint="eastAsia" w:ascii="仿宋_GB2312" w:eastAsia="仿宋_GB2312"/>
          <w:sz w:val="32"/>
          <w:szCs w:val="32"/>
          <w:highlight w:val="none"/>
          <w:lang w:eastAsia="zh-CN"/>
        </w:rPr>
        <w:t>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办公物业费、租赁费、暖气费未支付</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访惠聚工作经费未支付</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2433.44</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2433.11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0.33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2501.12</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2481.14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99.2</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19.97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0.8</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总计2559.3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其中：年初财政拨款结转和结余126.19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财政拨款本年收入2433.11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500.44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人员经费</w:t>
      </w:r>
      <w:r>
        <w:rPr>
          <w:rFonts w:hint="eastAsia" w:ascii="仿宋_GB2312" w:eastAsia="仿宋_GB2312"/>
          <w:sz w:val="32"/>
          <w:szCs w:val="32"/>
          <w:highlight w:val="none"/>
        </w:rPr>
        <w:t>减少职业年金和住房公积金</w:t>
      </w:r>
      <w:r>
        <w:rPr>
          <w:rFonts w:hint="eastAsia" w:ascii="仿宋_GB2312" w:eastAsia="仿宋_GB2312"/>
          <w:sz w:val="32"/>
          <w:szCs w:val="32"/>
          <w:highlight w:val="none"/>
          <w:lang w:eastAsia="zh-CN"/>
        </w:rPr>
        <w:t>，节约开支，压减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，项目经费</w:t>
      </w:r>
      <w:r>
        <w:rPr>
          <w:rFonts w:hint="eastAsia" w:ascii="仿宋_GB2312" w:eastAsia="仿宋_GB2312"/>
          <w:sz w:val="32"/>
          <w:szCs w:val="32"/>
          <w:highlight w:val="none"/>
        </w:rPr>
        <w:t>减少临聘人员工资和食品抽检经费。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总计2559.3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其中：年末财政拨款结转和结余58.18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财政拨款本年支出2501.12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500.44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16.36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：减少临聘人员工资和食品抽检经费。</w:t>
      </w:r>
      <w:r>
        <w:rPr>
          <w:rFonts w:hint="eastAsia" w:ascii="仿宋_GB2312" w:eastAsia="仿宋_GB2312"/>
          <w:sz w:val="32"/>
          <w:szCs w:val="32"/>
          <w:highlight w:val="none"/>
          <w:lang w:eastAsia="zh-CN"/>
        </w:rPr>
        <w:t>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办公物业费、租赁费、暖气费未支付</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访惠聚工作经费未支付</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2737.9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2559.3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-6.52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主要原因是：人员经费</w:t>
      </w:r>
      <w:r>
        <w:rPr>
          <w:rFonts w:hint="eastAsia" w:ascii="仿宋_GB2312" w:eastAsia="仿宋_GB2312"/>
          <w:sz w:val="32"/>
          <w:szCs w:val="32"/>
          <w:highlight w:val="none"/>
        </w:rPr>
        <w:t>减少职业年金和住房公积金</w:t>
      </w:r>
      <w:r>
        <w:rPr>
          <w:rFonts w:hint="eastAsia" w:ascii="仿宋_GB2312" w:eastAsia="仿宋_GB2312"/>
          <w:sz w:val="32"/>
          <w:szCs w:val="32"/>
          <w:highlight w:val="none"/>
          <w:lang w:eastAsia="zh-CN"/>
        </w:rPr>
        <w:t>，节约开支压减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，追减</w:t>
      </w:r>
      <w:r>
        <w:rPr>
          <w:rFonts w:hint="eastAsia" w:ascii="仿宋_GB2312" w:eastAsia="仿宋_GB2312"/>
          <w:sz w:val="32"/>
          <w:szCs w:val="32"/>
          <w:highlight w:val="none"/>
        </w:rPr>
        <w:t>临聘人员工资和食品抽检经费。财政拨款支出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2737.9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2559.3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-6.52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主要原因是：人员经费</w:t>
      </w:r>
      <w:r>
        <w:rPr>
          <w:rFonts w:hint="eastAsia" w:ascii="仿宋_GB2312" w:eastAsia="仿宋_GB2312"/>
          <w:sz w:val="32"/>
          <w:szCs w:val="32"/>
          <w:highlight w:val="none"/>
        </w:rPr>
        <w:t>减少职业年金和住房公积金</w:t>
      </w:r>
      <w:r>
        <w:rPr>
          <w:rFonts w:hint="eastAsia" w:ascii="仿宋_GB2312" w:eastAsia="仿宋_GB2312"/>
          <w:sz w:val="32"/>
          <w:szCs w:val="32"/>
          <w:highlight w:val="none"/>
          <w:lang w:eastAsia="zh-CN"/>
        </w:rPr>
        <w:t>，节约开支压减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，追减</w:t>
      </w:r>
      <w:r>
        <w:rPr>
          <w:rFonts w:hint="eastAsia" w:ascii="仿宋_GB2312" w:eastAsia="仿宋_GB2312"/>
          <w:sz w:val="32"/>
          <w:szCs w:val="32"/>
          <w:highlight w:val="none"/>
        </w:rPr>
        <w:t>临聘人员工资和食品抽检经费。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z w:val="32"/>
          <w:szCs w:val="32"/>
          <w:highlight w:val="none"/>
          <w:lang w:val="en-US" w:eastAsia="zh-CN"/>
        </w:rPr>
        <w:t>2501.12</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432.43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14.74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：减少临聘人员工资和食品抽检经费。</w:t>
      </w:r>
      <w:r>
        <w:rPr>
          <w:rFonts w:hint="eastAsia" w:ascii="仿宋_GB2312" w:eastAsia="仿宋_GB2312"/>
          <w:sz w:val="32"/>
          <w:szCs w:val="32"/>
          <w:highlight w:val="none"/>
          <w:lang w:eastAsia="zh-CN"/>
        </w:rPr>
        <w:t>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办公物业费、租赁费、暖气费未支付</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访惠聚工作经费未支付</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2266.97</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90.64</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2.社会保障和就业支出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kern w:val="0"/>
          <w:sz w:val="32"/>
          <w:szCs w:val="32"/>
          <w:highlight w:val="none"/>
          <w:lang w:val="en-US" w:eastAsia="zh-CN"/>
        </w:rPr>
        <w:t>223.3万元，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8.93</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3.其他支出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rPr>
        <w:t>10.84万元，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0.43</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1.一般公共服务（类）市场监督管理事务（款）行政运行（项）: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2203.1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128.1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5.5</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rPr>
        <w:t>因财政资金紧张，</w:t>
      </w:r>
      <w:r>
        <w:rPr>
          <w:rFonts w:hint="eastAsia" w:ascii="仿宋_GB2312" w:eastAsia="仿宋_GB2312"/>
          <w:sz w:val="32"/>
          <w:szCs w:val="32"/>
          <w:highlight w:val="none"/>
          <w:lang w:eastAsia="zh-CN"/>
        </w:rPr>
        <w:t>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支出</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2.一般公共服务（类）市场监督管理事务（款）食品安全监管（项）: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134.21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今年未安排食品抽检项目经费。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一般公共服务（类）市场监督管理事务（款）事业运行（项）: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63.87</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5.77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8.29</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事业人员减少相应人员经费减少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4.社会保障和就业支出</w:t>
      </w:r>
      <w:r>
        <w:rPr>
          <w:rFonts w:hint="eastAsia" w:ascii="仿宋_GB2312" w:hAnsi="仿宋_GB2312" w:eastAsia="仿宋_GB2312" w:cs="仿宋_GB2312"/>
          <w:kern w:val="0"/>
          <w:sz w:val="32"/>
          <w:szCs w:val="32"/>
          <w:highlight w:val="none"/>
        </w:rPr>
        <w:t>（类）民政管理事务（款）基层政权建设和社区治理（项）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9.13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25.12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73.34</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减少临聘人员工资</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5.社会保障和就业支出</w:t>
      </w:r>
      <w:r>
        <w:rPr>
          <w:rFonts w:hint="eastAsia" w:ascii="仿宋_GB2312" w:hAnsi="仿宋_GB2312" w:eastAsia="仿宋_GB2312" w:cs="仿宋_GB2312"/>
          <w:kern w:val="0"/>
          <w:sz w:val="32"/>
          <w:szCs w:val="32"/>
          <w:highlight w:val="none"/>
        </w:rPr>
        <w:t>（类）行政事业单位养老支出（款）行政单位离退休（项）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24.69</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24.69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上年度退休人员经费在行政运行中列支</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6.社会保障和就业支出</w:t>
      </w:r>
      <w:r>
        <w:rPr>
          <w:rFonts w:hint="eastAsia" w:ascii="仿宋_GB2312" w:hAnsi="仿宋_GB2312" w:eastAsia="仿宋_GB2312" w:cs="仿宋_GB2312"/>
          <w:kern w:val="0"/>
          <w:sz w:val="32"/>
          <w:szCs w:val="32"/>
          <w:highlight w:val="none"/>
        </w:rPr>
        <w:t>（类）行政事业单位养老支出（款）机关事业单位基本养老保险缴费支出（项）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189.48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1.85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0.97</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基本与去年持平</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7.社会保障和就业支出</w:t>
      </w:r>
      <w:r>
        <w:rPr>
          <w:rFonts w:hint="eastAsia" w:ascii="仿宋_GB2312" w:hAnsi="仿宋_GB2312" w:eastAsia="仿宋_GB2312" w:cs="仿宋_GB2312"/>
          <w:kern w:val="0"/>
          <w:sz w:val="32"/>
          <w:szCs w:val="32"/>
          <w:highlight w:val="none"/>
        </w:rPr>
        <w:t>（类）行政事业单位养老支出（款）  机关事业单位职业年金缴费支出（项）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64.97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今年未安排</w:t>
      </w:r>
      <w:r>
        <w:rPr>
          <w:rFonts w:hint="eastAsia" w:ascii="仿宋_GB2312" w:hAnsi="仿宋_GB2312" w:eastAsia="仿宋_GB2312" w:cs="仿宋_GB2312"/>
          <w:kern w:val="0"/>
          <w:sz w:val="32"/>
          <w:szCs w:val="32"/>
          <w:highlight w:val="none"/>
        </w:rPr>
        <w:t>机关事业单位职业年金缴费支出</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8.城乡社区支出</w:t>
      </w:r>
      <w:r>
        <w:rPr>
          <w:rFonts w:hint="eastAsia" w:ascii="仿宋_GB2312" w:hAnsi="仿宋_GB2312" w:eastAsia="仿宋_GB2312" w:cs="仿宋_GB2312"/>
          <w:kern w:val="0"/>
          <w:sz w:val="32"/>
          <w:szCs w:val="32"/>
          <w:highlight w:val="none"/>
        </w:rPr>
        <w:t>（类）城乡社区公共设施（款）其他城乡社区公共设施支出（项）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9.89</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今年未安排</w:t>
      </w:r>
      <w:r>
        <w:rPr>
          <w:rFonts w:hint="eastAsia" w:ascii="仿宋_GB2312" w:hAnsi="仿宋_GB2312" w:eastAsia="仿宋_GB2312" w:cs="仿宋_GB2312"/>
          <w:kern w:val="0"/>
          <w:sz w:val="32"/>
          <w:szCs w:val="32"/>
          <w:highlight w:val="none"/>
        </w:rPr>
        <w:t>其他城乡社区公共设施支出</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9.城乡社区支出</w:t>
      </w:r>
      <w:r>
        <w:rPr>
          <w:rFonts w:hint="eastAsia" w:ascii="仿宋_GB2312" w:hAnsi="仿宋_GB2312" w:eastAsia="仿宋_GB2312" w:cs="仿宋_GB2312"/>
          <w:kern w:val="0"/>
          <w:sz w:val="32"/>
          <w:szCs w:val="32"/>
          <w:highlight w:val="none"/>
        </w:rPr>
        <w:t>（类）其他城乡社区支出（款）其他城乡社区支出（项）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77.96</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今年未安排</w:t>
      </w:r>
      <w:r>
        <w:rPr>
          <w:rFonts w:hint="eastAsia" w:ascii="仿宋_GB2312" w:hAnsi="仿宋_GB2312" w:eastAsia="仿宋_GB2312" w:cs="仿宋_GB2312"/>
          <w:kern w:val="0"/>
          <w:sz w:val="32"/>
          <w:szCs w:val="32"/>
          <w:highlight w:val="none"/>
        </w:rPr>
        <w:t>其他城乡社区支出</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bookmarkStart w:id="54" w:name="_GoBack"/>
      <w:bookmarkEnd w:id="54"/>
      <w:r>
        <w:rPr>
          <w:rFonts w:hint="eastAsia" w:ascii="仿宋_GB2312" w:hAnsi="仿宋_GB2312" w:eastAsia="仿宋_GB2312" w:cs="仿宋_GB2312"/>
          <w:kern w:val="0"/>
          <w:sz w:val="32"/>
          <w:szCs w:val="32"/>
          <w:highlight w:val="none"/>
          <w:lang w:val="en-US" w:eastAsia="zh-CN"/>
        </w:rPr>
        <w:t>.其他支出</w:t>
      </w:r>
      <w:r>
        <w:rPr>
          <w:rFonts w:hint="eastAsia" w:ascii="仿宋_GB2312" w:hAnsi="仿宋_GB2312" w:eastAsia="仿宋_GB2312" w:cs="仿宋_GB2312"/>
          <w:kern w:val="0"/>
          <w:sz w:val="32"/>
          <w:szCs w:val="32"/>
          <w:highlight w:val="none"/>
        </w:rPr>
        <w:t>（类）其他支出（款）其他支出（项）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10.84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9.27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46.1</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一部分访惠聚人员补助在</w:t>
      </w:r>
      <w:r>
        <w:rPr>
          <w:rFonts w:hint="eastAsia" w:ascii="仿宋_GB2312" w:hAnsi="仿宋_GB2312" w:eastAsia="仿宋_GB2312" w:cs="仿宋_GB2312"/>
          <w:kern w:val="0"/>
          <w:sz w:val="32"/>
          <w:szCs w:val="32"/>
          <w:highlight w:val="none"/>
        </w:rPr>
        <w:t>基层政权建设和社区治理</w:t>
      </w:r>
      <w:r>
        <w:rPr>
          <w:rFonts w:hint="eastAsia" w:ascii="仿宋_GB2312" w:hAnsi="仿宋_GB2312" w:eastAsia="仿宋_GB2312" w:cs="仿宋_GB2312"/>
          <w:kern w:val="0"/>
          <w:sz w:val="32"/>
          <w:szCs w:val="32"/>
          <w:highlight w:val="none"/>
          <w:lang w:eastAsia="zh-CN"/>
        </w:rPr>
        <w:t>中列支。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2481.14</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2384.92</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96.22</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印刷费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、差旅费、</w:t>
      </w:r>
      <w:r>
        <w:rPr>
          <w:rFonts w:hint="eastAsia" w:ascii="仿宋_GB2312" w:eastAsia="仿宋_GB2312"/>
          <w:sz w:val="32"/>
          <w:szCs w:val="32"/>
          <w:highlight w:val="none"/>
        </w:rPr>
        <w:t>维修（护）费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租赁费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开支内容包括本年单位无因公出国（境）费支出。单位全年安排的因公出国（境）团组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万元。公务用车运行维护费开支内容包括本年单位</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公务用车运行维护费。公务用车购置数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万元，开支内容包括本年单位</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公务接待费。单位全年安排的国内公务接待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本年单位无此项支出。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乌鲁木齐市水磨沟区市场监督管理局单位（行政单位和参照公务员法管理事业单位）机关运行经费支出</w:t>
      </w:r>
      <w:r>
        <w:rPr>
          <w:rFonts w:hint="eastAsia" w:ascii="仿宋_GB2312" w:eastAsia="仿宋_GB2312"/>
          <w:sz w:val="32"/>
          <w:szCs w:val="32"/>
          <w:highlight w:val="none"/>
          <w:lang w:val="en-US" w:eastAsia="zh-CN"/>
        </w:rPr>
        <w:t>96.22</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69.93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42.09</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：压减</w:t>
      </w:r>
      <w:r>
        <w:rPr>
          <w:rFonts w:hint="eastAsia" w:ascii="仿宋_GB2312" w:eastAsia="仿宋_GB2312"/>
          <w:sz w:val="32"/>
          <w:szCs w:val="32"/>
          <w:highlight w:val="none"/>
        </w:rPr>
        <w:t>公用经费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办公</w:t>
      </w:r>
      <w:r>
        <w:rPr>
          <w:rFonts w:hint="eastAsia" w:ascii="仿宋_GB2312" w:eastAsia="仿宋_GB2312"/>
          <w:sz w:val="32"/>
          <w:szCs w:val="32"/>
          <w:highlight w:val="none"/>
          <w:lang w:eastAsia="zh-CN"/>
        </w:rPr>
        <w:t>费、</w:t>
      </w:r>
      <w:r>
        <w:rPr>
          <w:rFonts w:hint="eastAsia" w:ascii="仿宋_GB2312" w:eastAsia="仿宋_GB2312"/>
          <w:sz w:val="32"/>
          <w:szCs w:val="32"/>
          <w:highlight w:val="none"/>
        </w:rPr>
        <w:t>物业费、租赁费、暖气费未支付。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3.68</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3.68</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3.68</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3.68</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2257.73万元，房</w:t>
      </w:r>
      <w:r>
        <w:rPr>
          <w:rFonts w:hint="eastAsia" w:ascii="仿宋_GB2312" w:eastAsia="仿宋_GB2312"/>
          <w:sz w:val="32"/>
          <w:szCs w:val="32"/>
          <w:highlight w:val="none"/>
        </w:rPr>
        <w:t>屋15,263.96平方米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rPr>
        <w:t>1786.86万元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车辆13辆，价值181.57万元，其中：副部（省）级及以上领导用车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辆，其他用车主要是：单位无其他车辆；单价100万元（含）以上设备（不含车辆）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。预算绩效管理取得的成效：我单位202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年度整体支出绩效情况良好，项目绩效目标基本完成，较好地完成我局日常工作，满意度较高。发现的问题及原因：一是对个别项目资金使用方面预算不够细致；二是预算绩效管理水平仍有欠缺。在202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年预算绩效管理工作中，存在“重投入轻管理、重支出轻绩效”的情况，对全面实施预算绩效管理的要求认识还不到位，项目申报、实施等环节与预算绩效管理各个环节联系不够紧密。下一步改进措施：一是在今后的财务工作中严格执行财务制度，加强财务管理，加强项目资金管理，规范财务行为，完善单位内部会计控制制度，各专项资金的使用均能严格按照规定坚持专款专用的原则，严格支出审批报销程序，做到了无虚列套取；无截留、挤占、挪用；无开支超预算或超标准等情况；二是进一步加强对绩效管理工作的组织领导，提高对预算绩效管理工作重要性的认识，总结经验查找问题，抓紧研究制定更全面更完善的绩效评价管理办法，让“花钱必问效，无效必问责”的理念深入工作每个环节。具体项目自评情况附项目支出绩效自评表。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rPr>
      </w:pP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657"/>
        <w:gridCol w:w="540"/>
        <w:gridCol w:w="1041"/>
        <w:gridCol w:w="846"/>
        <w:gridCol w:w="124"/>
        <w:gridCol w:w="1184"/>
        <w:gridCol w:w="795"/>
        <w:gridCol w:w="319"/>
        <w:gridCol w:w="176"/>
        <w:gridCol w:w="585"/>
        <w:gridCol w:w="82"/>
        <w:gridCol w:w="816"/>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228"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食药安全专项经费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19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乌鲁木齐市水磨沟区市场监督管理局</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38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2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9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2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6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9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2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56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9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2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56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9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2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9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57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03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57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1.开展水区食品药品安全监督抽检工作。通过政府采购购买社会服务实施，委托专业检测机构开展抽样、送样、检测、出具报告等。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2.通过食品药品抽检，掌握和分析我区食品药品安全状况，为食品药品安全监管采取针对性措施提供科学依据，让食品药品执法监管工作有的放矢，精准法力，筑牢我区人民舌尖上的安全网。</w:t>
            </w:r>
          </w:p>
        </w:tc>
        <w:tc>
          <w:tcPr>
            <w:tcW w:w="203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水区市场监管局根据市市场监督管理局食品抽检计划开展2022年食品抽检工作，一共抽检食用农产品和餐饮552批次，食品抽检合格率达到99%，抽检占比50%，群众满意度90%。通过此次食品抽检工作，能基本掌握和分析我区食品安全状况，为日后的食品安全监管工作采取针对性措施提供科学依据，让食品执法监管工作有的放矢，精准法力，筑牢我区人民舌尖上的安全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10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76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2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93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10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6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抽检批次</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=600批</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552批</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做2022年预算时，计划抽检600批次。2022年抽检任务下达为552批次。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检测合格率</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抽检占比</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&gt;=50%</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任务完成时间</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=11个月</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11个月</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每批次检测成本</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&lt;2000元</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未使用该笔资金支付检测成本，故实际值为0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加强食药安全环境构筑</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逐步加强</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提高食药安全质量</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持续提高</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群众满意率</w:t>
            </w:r>
          </w:p>
        </w:tc>
        <w:tc>
          <w:tcPr>
            <w:tcW w:w="76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429"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2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79.20分</w:t>
            </w:r>
          </w:p>
        </w:tc>
        <w:tc>
          <w:tcPr>
            <w:tcW w:w="937"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496" w:type="pct"/>
            <w:gridSpan w:val="4"/>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阿依古丽</w:t>
            </w:r>
          </w:p>
        </w:tc>
        <w:tc>
          <w:tcPr>
            <w:tcW w:w="1348" w:type="pct"/>
            <w:gridSpan w:val="3"/>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383" w:type="pct"/>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1"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1496" w:type="pct"/>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阿依古丽</w:t>
            </w:r>
          </w:p>
        </w:tc>
        <w:tc>
          <w:tcPr>
            <w:tcW w:w="1348" w:type="pct"/>
            <w:gridSpan w:val="3"/>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383" w:type="pct"/>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4641981</w:t>
            </w:r>
          </w:p>
        </w:tc>
      </w:tr>
    </w:tbl>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24143"/>
      <w:bookmarkStart w:id="35" w:name="_Toc3250"/>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EA6669-5526-4C24-ABB3-2196435F36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2703CBB1-EC5C-4C81-9AD5-2BE15C581322}"/>
  </w:font>
  <w:font w:name="仿宋_GB2312">
    <w:panose1 w:val="02010609030101010101"/>
    <w:charset w:val="86"/>
    <w:family w:val="modern"/>
    <w:pitch w:val="default"/>
    <w:sig w:usb0="00000001" w:usb1="080E0000" w:usb2="00000000" w:usb3="00000000" w:csb0="00040000" w:csb1="00000000"/>
    <w:embedRegular r:id="rId3" w:fontKey="{5B48E0A8-57A1-454D-A2DF-4469BB6AD8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TcxZmQ0OGZkYTZhZmE0YTc5YTlhN2MyYzkzNDgifQ=="/>
  </w:docVars>
  <w:rsids>
    <w:rsidRoot w:val="00000000"/>
    <w:rsid w:val="00FB014D"/>
    <w:rsid w:val="01E054EB"/>
    <w:rsid w:val="02CE0A8F"/>
    <w:rsid w:val="02F73D26"/>
    <w:rsid w:val="034D4FEF"/>
    <w:rsid w:val="03F2214F"/>
    <w:rsid w:val="0410030A"/>
    <w:rsid w:val="043E5B56"/>
    <w:rsid w:val="04654116"/>
    <w:rsid w:val="05D219CA"/>
    <w:rsid w:val="06792773"/>
    <w:rsid w:val="0A7B4867"/>
    <w:rsid w:val="0B8036AE"/>
    <w:rsid w:val="0B8C3ECC"/>
    <w:rsid w:val="0C7227A7"/>
    <w:rsid w:val="0CB21420"/>
    <w:rsid w:val="0EDB7766"/>
    <w:rsid w:val="103A3322"/>
    <w:rsid w:val="10FD7E68"/>
    <w:rsid w:val="12164131"/>
    <w:rsid w:val="13E250F3"/>
    <w:rsid w:val="157F0F22"/>
    <w:rsid w:val="16FC64CC"/>
    <w:rsid w:val="17602EFE"/>
    <w:rsid w:val="19FC63B9"/>
    <w:rsid w:val="1A0538E9"/>
    <w:rsid w:val="1CC66D52"/>
    <w:rsid w:val="1DAF458D"/>
    <w:rsid w:val="1E647CA1"/>
    <w:rsid w:val="1FFF3DD1"/>
    <w:rsid w:val="20DD6197"/>
    <w:rsid w:val="231C707E"/>
    <w:rsid w:val="23BC04D2"/>
    <w:rsid w:val="266F33B0"/>
    <w:rsid w:val="26CF3C8C"/>
    <w:rsid w:val="272B0B25"/>
    <w:rsid w:val="27543EB8"/>
    <w:rsid w:val="276F6228"/>
    <w:rsid w:val="27CF2642"/>
    <w:rsid w:val="2A053397"/>
    <w:rsid w:val="2A127CEE"/>
    <w:rsid w:val="2A8F09F4"/>
    <w:rsid w:val="2B6401FE"/>
    <w:rsid w:val="2BD90FBB"/>
    <w:rsid w:val="2D1136DF"/>
    <w:rsid w:val="2FD27414"/>
    <w:rsid w:val="30E422BB"/>
    <w:rsid w:val="31C63837"/>
    <w:rsid w:val="33D6202B"/>
    <w:rsid w:val="34342CFC"/>
    <w:rsid w:val="3527024C"/>
    <w:rsid w:val="3914510A"/>
    <w:rsid w:val="3A875455"/>
    <w:rsid w:val="3ADE5D64"/>
    <w:rsid w:val="3B677EEA"/>
    <w:rsid w:val="3CB80047"/>
    <w:rsid w:val="3D5275AC"/>
    <w:rsid w:val="3DA64985"/>
    <w:rsid w:val="40834692"/>
    <w:rsid w:val="41B66E26"/>
    <w:rsid w:val="41E204B9"/>
    <w:rsid w:val="42E574F9"/>
    <w:rsid w:val="44DD2402"/>
    <w:rsid w:val="457948A6"/>
    <w:rsid w:val="46901EEE"/>
    <w:rsid w:val="469C74D2"/>
    <w:rsid w:val="47CF55EF"/>
    <w:rsid w:val="47FB3494"/>
    <w:rsid w:val="49A92B1C"/>
    <w:rsid w:val="49F86DB3"/>
    <w:rsid w:val="4B4C0111"/>
    <w:rsid w:val="50DB5F45"/>
    <w:rsid w:val="510D04B1"/>
    <w:rsid w:val="52432ADE"/>
    <w:rsid w:val="52854FEC"/>
    <w:rsid w:val="52F92565"/>
    <w:rsid w:val="53B368C6"/>
    <w:rsid w:val="55AC288F"/>
    <w:rsid w:val="561123F0"/>
    <w:rsid w:val="56FC600E"/>
    <w:rsid w:val="57F453AF"/>
    <w:rsid w:val="583059FA"/>
    <w:rsid w:val="596649E2"/>
    <w:rsid w:val="5A600310"/>
    <w:rsid w:val="5A635E9C"/>
    <w:rsid w:val="5F9C1566"/>
    <w:rsid w:val="5FA17648"/>
    <w:rsid w:val="5FB421DE"/>
    <w:rsid w:val="60FE60E8"/>
    <w:rsid w:val="61A46A97"/>
    <w:rsid w:val="62B10EB1"/>
    <w:rsid w:val="62BD23D2"/>
    <w:rsid w:val="62DD7D21"/>
    <w:rsid w:val="65D97752"/>
    <w:rsid w:val="68DB0208"/>
    <w:rsid w:val="68F6059A"/>
    <w:rsid w:val="69AD798C"/>
    <w:rsid w:val="6A10482B"/>
    <w:rsid w:val="6B68175F"/>
    <w:rsid w:val="6C3A4B46"/>
    <w:rsid w:val="6D6630DF"/>
    <w:rsid w:val="6DBC708D"/>
    <w:rsid w:val="6E0F7A08"/>
    <w:rsid w:val="6F211DF5"/>
    <w:rsid w:val="6F3A52BA"/>
    <w:rsid w:val="7062364E"/>
    <w:rsid w:val="71473612"/>
    <w:rsid w:val="718F7F65"/>
    <w:rsid w:val="72080E01"/>
    <w:rsid w:val="73FB6630"/>
    <w:rsid w:val="74E76DCD"/>
    <w:rsid w:val="772F33E6"/>
    <w:rsid w:val="77ED6F44"/>
    <w:rsid w:val="78D61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rFonts w:ascii="Times New Roman" w:hAnsi="Times New Roman" w:eastAsia="宋体" w:cs="Times New Roman"/>
      <w:sz w:val="20"/>
      <w:szCs w:val="20"/>
    </w:rPr>
  </w:style>
  <w:style w:type="paragraph" w:customStyle="1" w:styleId="11">
    <w:name w:val="WPSOffice手动目录 2"/>
    <w:uiPriority w:val="0"/>
    <w:pPr>
      <w:ind w:leftChars="200"/>
    </w:pPr>
    <w:rPr>
      <w:rFonts w:ascii="Times New Roman" w:hAnsi="Times New Roman" w:eastAsia="宋体" w:cs="Times New Roman"/>
      <w:sz w:val="20"/>
      <w:szCs w:val="20"/>
    </w:rPr>
  </w:style>
  <w:style w:type="paragraph" w:customStyle="1" w:styleId="1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7968</Words>
  <Characters>8531</Characters>
  <Lines>0</Lines>
  <Paragraphs>0</Paragraphs>
  <TotalTime>1</TotalTime>
  <ScaleCrop>false</ScaleCrop>
  <LinksUpToDate>false</LinksUpToDate>
  <CharactersWithSpaces>8552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2024-02-07T07:06:51Z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3CEA5B824FC44DD2997485781A3B2E63</vt:lpwstr>
  </property>
</Properties>
</file>