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textAlignment w:val="auto"/>
        <w:rPr>
          <w:rFonts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宋体" w:eastAsia="方正小标宋_GBK"/>
          <w:sz w:val="44"/>
          <w:szCs w:val="44"/>
          <w:highlight w:val="none"/>
        </w:rPr>
      </w:pPr>
    </w:p>
    <w:p>
      <w:pPr>
        <w:keepNext w:val="0"/>
        <w:keepLines w:val="0"/>
        <w:pageBreakBefore w:val="0"/>
        <w:widowControl/>
        <w:suppressLineNumbers w:val="0"/>
        <w:kinsoku/>
        <w:wordWrap/>
        <w:overflowPunct/>
        <w:topLinePunct w:val="0"/>
        <w:bidi w:val="0"/>
        <w:adjustRightInd/>
        <w:snapToGrid/>
        <w:spacing w:line="560" w:lineRule="exact"/>
        <w:jc w:val="left"/>
        <w:rPr>
          <w:rFonts w:hint="eastAsia" w:ascii="方正小标宋_GBK" w:hAnsi="方正小标宋_GBK" w:eastAsia="方正小标宋_GBK" w:cs="方正小标宋_GBK"/>
          <w:color w:val="000000"/>
          <w:kern w:val="0"/>
          <w:sz w:val="44"/>
          <w:szCs w:val="44"/>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560" w:lineRule="exact"/>
        <w:jc w:val="center"/>
        <w:rPr>
          <w:rFonts w:hint="eastAsia" w:ascii="方正小标宋_GBK" w:hAnsi="方正小标宋_GBK" w:eastAsia="方正小标宋_GBK" w:cs="方正小标宋_GBK"/>
          <w:sz w:val="44"/>
          <w:szCs w:val="44"/>
          <w:highlight w:val="none"/>
        </w:rPr>
      </w:pPr>
      <w:r>
        <w:rPr>
          <w:rFonts w:hint="default" w:ascii="Times New Roman" w:hAnsi="Times New Roman" w:eastAsia="方正小标宋_GBK" w:cs="Times New Roman"/>
          <w:color w:val="000000"/>
          <w:kern w:val="0"/>
          <w:sz w:val="44"/>
          <w:szCs w:val="44"/>
          <w:highlight w:val="none"/>
          <w:lang w:val="en-US" w:eastAsia="zh-CN" w:bidi="ar"/>
        </w:rPr>
        <w:t>乌鲁木齐市水磨沟区河马泉片区管理委员会2022年度部门决算公开说明</w:t>
      </w: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7"/>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keepNext w:val="0"/>
        <w:keepLines w:val="0"/>
        <w:pageBreakBefore w:val="0"/>
        <w:kinsoku/>
        <w:wordWrap/>
        <w:overflowPunct/>
        <w:topLinePunct w:val="0"/>
        <w:bidi w:val="0"/>
        <w:adjustRightInd/>
        <w:snapToGrid/>
        <w:spacing w:line="560" w:lineRule="exact"/>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32314"/>
      <w:bookmarkStart w:id="1" w:name="_Toc24028"/>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黑体" w:hAnsi="黑体" w:eastAsia="黑体" w:cs="宋体"/>
          <w:bCs/>
          <w:kern w:val="0"/>
          <w:sz w:val="32"/>
          <w:szCs w:val="32"/>
          <w:highlight w:val="none"/>
        </w:rPr>
      </w:pPr>
      <w:bookmarkStart w:id="2" w:name="_Toc30738"/>
      <w:bookmarkStart w:id="3" w:name="_Toc30567"/>
      <w:r>
        <w:rPr>
          <w:rFonts w:hint="eastAsia" w:ascii="黑体" w:hAnsi="黑体" w:eastAsia="黑体" w:cs="宋体"/>
          <w:bCs/>
          <w:kern w:val="0"/>
          <w:sz w:val="32"/>
          <w:szCs w:val="32"/>
          <w:highlight w:val="none"/>
        </w:rPr>
        <w:t>一、主要职能</w:t>
      </w:r>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仿宋_GB2312" w:eastAsia="仿宋_GB2312"/>
          <w:sz w:val="32"/>
          <w:szCs w:val="32"/>
          <w:highlight w:val="none"/>
          <w:lang w:val="en-US" w:eastAsia="zh-CN"/>
        </w:rPr>
      </w:pPr>
      <w:bookmarkStart w:id="4" w:name="_Toc31238"/>
      <w:bookmarkStart w:id="5" w:name="_Toc2151"/>
      <w:r>
        <w:rPr>
          <w:rFonts w:hint="eastAsia" w:ascii="仿宋_GB2312" w:eastAsia="仿宋_GB2312"/>
          <w:sz w:val="32"/>
          <w:szCs w:val="32"/>
          <w:highlight w:val="none"/>
          <w:lang w:eastAsia="zh-CN"/>
        </w:rPr>
        <w:t>我单位</w:t>
      </w:r>
      <w:r>
        <w:rPr>
          <w:rFonts w:hint="eastAsia" w:ascii="仿宋_GB2312" w:eastAsia="仿宋_GB2312"/>
          <w:sz w:val="32"/>
          <w:szCs w:val="32"/>
          <w:highlight w:val="none"/>
          <w:lang w:val="en-US" w:eastAsia="zh-CN"/>
        </w:rPr>
        <w:t>主要职能为：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both"/>
        <w:textAlignment w:val="auto"/>
        <w:outlineLvl w:val="1"/>
        <w:rPr>
          <w:rFonts w:hint="eastAsia" w:ascii="仿宋_GB2312" w:eastAsia="仿宋_GB2312"/>
          <w:sz w:val="32"/>
          <w:szCs w:val="32"/>
          <w:highlight w:val="none"/>
          <w:lang w:eastAsia="zh-CN"/>
        </w:rPr>
      </w:pPr>
      <w:r>
        <w:rPr>
          <w:rFonts w:hint="eastAsia" w:ascii="仿宋_GB2312" w:eastAsia="仿宋_GB2312"/>
          <w:sz w:val="32"/>
          <w:szCs w:val="32"/>
          <w:highlight w:val="none"/>
        </w:rPr>
        <w:t>主要负责党务、组织、宣传、人事、老干部等工作；承担人大、工青妇等群</w:t>
      </w:r>
      <w:r>
        <w:rPr>
          <w:rFonts w:hint="eastAsia" w:ascii="仿宋_GB2312" w:eastAsia="仿宋_GB2312"/>
          <w:sz w:val="32"/>
          <w:szCs w:val="32"/>
          <w:highlight w:val="none"/>
          <w:lang w:val="en-US" w:eastAsia="zh-CN"/>
        </w:rPr>
        <w:t>团</w:t>
      </w:r>
      <w:r>
        <w:rPr>
          <w:rFonts w:hint="eastAsia" w:ascii="仿宋_GB2312" w:eastAsia="仿宋_GB2312"/>
          <w:sz w:val="32"/>
          <w:szCs w:val="32"/>
          <w:highlight w:val="none"/>
        </w:rPr>
        <w:t>组织的日常工作及政协委员的联络工作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主要负责文秘、档案、保密、翻译、综合协调、后勤</w:t>
      </w:r>
      <w:r>
        <w:rPr>
          <w:rFonts w:hint="eastAsia" w:ascii="仿宋_GB2312" w:eastAsia="仿宋_GB2312"/>
          <w:sz w:val="32"/>
          <w:szCs w:val="32"/>
          <w:highlight w:val="none"/>
          <w:lang w:val="en-US" w:eastAsia="zh-CN"/>
        </w:rPr>
        <w:t>保障</w:t>
      </w:r>
      <w:r>
        <w:rPr>
          <w:rFonts w:hint="eastAsia" w:ascii="仿宋_GB2312" w:eastAsia="仿宋_GB2312"/>
          <w:sz w:val="32"/>
          <w:szCs w:val="32"/>
          <w:highlight w:val="none"/>
        </w:rPr>
        <w:t>等工作，负</w:t>
      </w:r>
      <w:r>
        <w:rPr>
          <w:rFonts w:hint="eastAsia" w:ascii="仿宋_GB2312" w:eastAsia="仿宋_GB2312"/>
          <w:sz w:val="32"/>
          <w:szCs w:val="32"/>
          <w:highlight w:val="none"/>
          <w:lang w:val="en-US" w:eastAsia="zh-CN"/>
        </w:rPr>
        <w:t>责</w:t>
      </w:r>
      <w:r>
        <w:rPr>
          <w:rFonts w:hint="eastAsia" w:ascii="仿宋_GB2312" w:eastAsia="仿宋_GB2312"/>
          <w:sz w:val="32"/>
          <w:szCs w:val="32"/>
          <w:highlight w:val="none"/>
        </w:rPr>
        <w:t>行政执法工作的规划、管理、</w:t>
      </w:r>
      <w:r>
        <w:rPr>
          <w:rFonts w:hint="eastAsia" w:ascii="仿宋_GB2312" w:eastAsia="仿宋_GB2312"/>
          <w:sz w:val="32"/>
          <w:szCs w:val="32"/>
          <w:highlight w:val="none"/>
          <w:lang w:val="en-US" w:eastAsia="zh-CN"/>
        </w:rPr>
        <w:t>协调</w:t>
      </w:r>
      <w:r>
        <w:rPr>
          <w:rFonts w:hint="eastAsia" w:ascii="仿宋_GB2312" w:eastAsia="仿宋_GB2312"/>
          <w:sz w:val="32"/>
          <w:szCs w:val="32"/>
          <w:highlight w:val="none"/>
        </w:rPr>
        <w:t>和监督工作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主要承担辖区居民宣传发动、“访惠聚</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工作以及社团组织培育、发展和管理等服务工作</w:t>
      </w:r>
      <w:r>
        <w:rPr>
          <w:rFonts w:hint="eastAsia" w:ascii="仿宋_GB2312" w:eastAsia="仿宋_GB2312"/>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both"/>
        <w:textAlignment w:val="auto"/>
        <w:outlineLvl w:val="1"/>
        <w:rPr>
          <w:rFonts w:hint="eastAsia" w:ascii="仿宋_GB2312" w:eastAsia="仿宋_GB2312"/>
          <w:sz w:val="32"/>
          <w:szCs w:val="32"/>
          <w:highlight w:val="none"/>
          <w:lang w:eastAsia="zh-CN"/>
        </w:rPr>
      </w:pPr>
      <w:r>
        <w:rPr>
          <w:rFonts w:hint="eastAsia" w:ascii="仿宋_GB2312" w:eastAsia="仿宋_GB2312"/>
          <w:sz w:val="32"/>
          <w:szCs w:val="32"/>
          <w:highlight w:val="none"/>
        </w:rPr>
        <w:t>主要承担辖区经济发展、民政、教育、劳动就业、社会保障、社会救助、退很军人服务管理、</w:t>
      </w:r>
      <w:r>
        <w:rPr>
          <w:rFonts w:hint="eastAsia" w:ascii="仿宋_GB2312" w:eastAsia="仿宋_GB2312"/>
          <w:sz w:val="32"/>
          <w:szCs w:val="32"/>
          <w:highlight w:val="none"/>
          <w:lang w:val="en-US" w:eastAsia="zh-CN"/>
        </w:rPr>
        <w:t>残疾</w:t>
      </w:r>
      <w:r>
        <w:rPr>
          <w:rFonts w:hint="eastAsia" w:ascii="仿宋_GB2312" w:eastAsia="仿宋_GB2312"/>
          <w:sz w:val="32"/>
          <w:szCs w:val="32"/>
          <w:highlight w:val="none"/>
        </w:rPr>
        <w:t>人事业、统计、生态环保等工作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主要承担辖区公共卫生、计划生育、健康教育、防疫宣传、预防接种等工作，协助专业部门开展</w:t>
      </w:r>
      <w:r>
        <w:rPr>
          <w:rFonts w:hint="eastAsia" w:ascii="仿宋_GB2312" w:eastAsia="仿宋_GB2312"/>
          <w:sz w:val="32"/>
          <w:szCs w:val="32"/>
          <w:highlight w:val="none"/>
          <w:lang w:eastAsia="zh-CN"/>
        </w:rPr>
        <w:t>防疫</w:t>
      </w:r>
      <w:r>
        <w:rPr>
          <w:rFonts w:hint="eastAsia" w:ascii="仿宋_GB2312" w:eastAsia="仿宋_GB2312"/>
          <w:sz w:val="32"/>
          <w:szCs w:val="32"/>
          <w:highlight w:val="none"/>
        </w:rPr>
        <w:t>防控工作</w:t>
      </w:r>
      <w:r>
        <w:rPr>
          <w:rFonts w:hint="eastAsia" w:ascii="仿宋_GB2312" w:eastAsia="仿宋_GB2312"/>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both"/>
        <w:textAlignment w:val="auto"/>
        <w:outlineLvl w:val="1"/>
        <w:rPr>
          <w:rFonts w:hint="eastAsia" w:ascii="仿宋_GB2312" w:eastAsia="仿宋_GB2312"/>
          <w:sz w:val="32"/>
          <w:szCs w:val="32"/>
          <w:highlight w:val="none"/>
          <w:lang w:eastAsia="zh-CN"/>
        </w:rPr>
      </w:pPr>
      <w:r>
        <w:rPr>
          <w:rFonts w:hint="eastAsia" w:ascii="仿宋_GB2312" w:eastAsia="仿宋_GB2312"/>
          <w:sz w:val="32"/>
          <w:szCs w:val="32"/>
          <w:highlight w:val="none"/>
        </w:rPr>
        <w:t>主要承担辖区社会治安综合治理、 法治建设、平安建设、民族宗教事务、网格化管理、安全生产、应急管理、人民武装、流动人口、安置帮教、社区矫正、“扫黄打非”、普法、预防未成年人违法犯罪等服务工作，以及群众信访矛盾纠纷调解和群众各类诉求归口收集、精准分流、更进督办等群众工作</w:t>
      </w:r>
      <w:r>
        <w:rPr>
          <w:rFonts w:hint="eastAsia" w:ascii="仿宋_GB2312" w:eastAsia="仿宋_GB2312"/>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both"/>
        <w:textAlignment w:val="auto"/>
        <w:outlineLvl w:val="1"/>
        <w:rPr>
          <w:rFonts w:hint="eastAsia" w:ascii="仿宋_GB2312" w:eastAsia="仿宋_GB2312"/>
          <w:sz w:val="32"/>
          <w:szCs w:val="32"/>
          <w:highlight w:val="none"/>
          <w:lang w:eastAsia="zh-CN"/>
        </w:rPr>
      </w:pPr>
      <w:r>
        <w:rPr>
          <w:rFonts w:hint="eastAsia" w:ascii="仿宋_GB2312" w:eastAsia="仿宋_GB2312"/>
          <w:sz w:val="32"/>
          <w:szCs w:val="32"/>
          <w:highlight w:val="none"/>
        </w:rPr>
        <w:t>负责辖区民族宗教管理相关事务性工作，了解</w:t>
      </w:r>
      <w:r>
        <w:rPr>
          <w:rFonts w:hint="eastAsia" w:ascii="仿宋_GB2312" w:eastAsia="仿宋_GB2312"/>
          <w:sz w:val="32"/>
          <w:szCs w:val="32"/>
          <w:highlight w:val="none"/>
          <w:lang w:eastAsia="zh-CN"/>
        </w:rPr>
        <w:t>掌握</w:t>
      </w:r>
      <w:r>
        <w:rPr>
          <w:rFonts w:hint="eastAsia" w:ascii="仿宋_GB2312" w:eastAsia="仿宋_GB2312"/>
          <w:sz w:val="32"/>
          <w:szCs w:val="32"/>
          <w:highlight w:val="none"/>
        </w:rPr>
        <w:t>辖区少数民族及信教群众、宗教</w:t>
      </w:r>
      <w:r>
        <w:rPr>
          <w:rFonts w:hint="eastAsia" w:ascii="仿宋_GB2312" w:eastAsia="仿宋_GB2312"/>
          <w:sz w:val="32"/>
          <w:szCs w:val="32"/>
          <w:highlight w:val="none"/>
          <w:lang w:eastAsia="zh-CN"/>
        </w:rPr>
        <w:t>活动</w:t>
      </w:r>
      <w:r>
        <w:rPr>
          <w:rFonts w:hint="eastAsia" w:ascii="仿宋_GB2312" w:eastAsia="仿宋_GB2312"/>
          <w:sz w:val="32"/>
          <w:szCs w:val="32"/>
          <w:highlight w:val="none"/>
        </w:rPr>
        <w:t>场所等情况；依法妥善处置涉及民族宗教方面的突发事件并及时上报；组织开展民族团结进步教育和民族团结进步创建工作；加强对辖区宗教教职人员和宗教活动场所负责人的思想教育、法制教育；组织开展民族宗教政策、法律法规的宣传教育工作;教育引导各族群众之间、信教群众与不信教群众之问相互尊重、加强团结、共建和谐社会</w:t>
      </w:r>
      <w:r>
        <w:rPr>
          <w:rFonts w:hint="eastAsia" w:ascii="仿宋_GB2312" w:eastAsia="仿宋_GB2312"/>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负责市容和环境卫生管理工作；负责指导、协调、督促辖区物业和企业（商户) 的管理服务工作；组织开展环境卫生整治工作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负责辖区经济发展，优化营商环境，协调做好各类经济体制、招商引资等管理服务工作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根据授权做好辖区综合行政执法工作。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pStyle w:val="3"/>
        <w:keepNext w:val="0"/>
        <w:keepLines w:val="0"/>
        <w:pageBreakBefore w:val="0"/>
        <w:widowControl w:val="0"/>
        <w:kinsoku/>
        <w:wordWrap/>
        <w:overflowPunct/>
        <w:topLinePunct w:val="0"/>
        <w:autoSpaceDE/>
        <w:autoSpaceDN/>
        <w:bidi w:val="0"/>
        <w:adjustRightInd/>
        <w:snapToGrid/>
        <w:spacing w:line="560" w:lineRule="exact"/>
        <w:ind w:right="258" w:firstLine="640"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乌鲁木齐市水磨沟区河马泉片区管理委员会2022年度，实有人数134人，其中：在职人员134人，离休人员0人，退休人员0人。</w:t>
      </w:r>
    </w:p>
    <w:p>
      <w:pPr>
        <w:pStyle w:val="3"/>
        <w:keepNext w:val="0"/>
        <w:keepLines w:val="0"/>
        <w:pageBreakBefore w:val="0"/>
        <w:widowControl w:val="0"/>
        <w:kinsoku/>
        <w:wordWrap/>
        <w:overflowPunct/>
        <w:topLinePunct w:val="0"/>
        <w:autoSpaceDE/>
        <w:autoSpaceDN/>
        <w:bidi w:val="0"/>
        <w:adjustRightInd/>
        <w:snapToGrid/>
        <w:spacing w:before="48" w:line="560" w:lineRule="exact"/>
        <w:ind w:right="88" w:firstLine="640" w:firstLineChars="200"/>
        <w:jc w:val="left"/>
        <w:textAlignment w:val="auto"/>
        <w:rPr>
          <w:rFonts w:hint="eastAsia"/>
          <w:w w:val="95"/>
          <w:highlight w:val="none"/>
          <w:lang w:eastAsia="zh-CN"/>
        </w:rPr>
      </w:pPr>
      <w:r>
        <w:rPr>
          <w:highlight w:val="none"/>
        </w:rPr>
        <w:t>从部门决算单位构成看，乌鲁木齐市水磨沟区河马泉片区管理委员会部门决算包括：乌鲁木齐市水磨沟区河马泉片区管</w:t>
      </w:r>
      <w:r>
        <w:rPr>
          <w:w w:val="95"/>
          <w:highlight w:val="none"/>
        </w:rPr>
        <w:t>理委员会</w:t>
      </w:r>
      <w:r>
        <w:rPr>
          <w:rFonts w:hint="eastAsia" w:ascii="仿宋_GB2312" w:eastAsia="仿宋_GB2312"/>
          <w:sz w:val="32"/>
          <w:szCs w:val="32"/>
          <w:highlight w:val="none"/>
        </w:rPr>
        <w:t>本级</w:t>
      </w:r>
      <w:r>
        <w:rPr>
          <w:w w:val="95"/>
          <w:highlight w:val="none"/>
        </w:rPr>
        <w:t>决算</w:t>
      </w:r>
      <w:r>
        <w:rPr>
          <w:rFonts w:hint="eastAsia"/>
          <w:w w:val="95"/>
          <w:highlight w:val="none"/>
          <w:lang w:eastAsia="zh-CN"/>
        </w:rPr>
        <w:t>，</w:t>
      </w:r>
      <w:r>
        <w:rPr>
          <w:w w:val="95"/>
          <w:highlight w:val="none"/>
        </w:rPr>
        <w:t>单位无下属预算单位</w:t>
      </w:r>
      <w:r>
        <w:rPr>
          <w:rFonts w:hint="eastAsia"/>
          <w:w w:val="95"/>
          <w:highlight w:val="none"/>
          <w:lang w:eastAsia="zh-CN"/>
        </w:rPr>
        <w:t>。</w:t>
      </w:r>
    </w:p>
    <w:p>
      <w:pPr>
        <w:pStyle w:val="3"/>
        <w:keepNext w:val="0"/>
        <w:keepLines w:val="0"/>
        <w:pageBreakBefore w:val="0"/>
        <w:kinsoku/>
        <w:wordWrap/>
        <w:overflowPunct/>
        <w:topLinePunct w:val="0"/>
        <w:bidi w:val="0"/>
        <w:adjustRightInd/>
        <w:snapToGrid/>
        <w:spacing w:before="48" w:line="560" w:lineRule="exact"/>
        <w:ind w:right="88" w:firstLine="640"/>
        <w:jc w:val="left"/>
        <w:rPr>
          <w:highlight w:val="none"/>
        </w:rPr>
      </w:pPr>
      <w:r>
        <w:rPr>
          <w:highlight w:val="none"/>
        </w:rPr>
        <w:t>乌鲁木齐市水磨沟区河马泉片区管理委员会</w:t>
      </w:r>
      <w:r>
        <w:rPr>
          <w:rFonts w:hint="eastAsia" w:ascii="仿宋_GB2312" w:hAnsi="宋体" w:eastAsia="仿宋_GB2312" w:cs="宋体"/>
          <w:kern w:val="0"/>
          <w:sz w:val="32"/>
          <w:szCs w:val="32"/>
          <w:highlight w:val="none"/>
        </w:rPr>
        <w:t>本级</w:t>
      </w:r>
      <w:r>
        <w:rPr>
          <w:w w:val="95"/>
          <w:highlight w:val="none"/>
        </w:rPr>
        <w:t>下设</w:t>
      </w:r>
      <w:r>
        <w:rPr>
          <w:rFonts w:hint="eastAsia"/>
          <w:w w:val="95"/>
          <w:highlight w:val="none"/>
          <w:lang w:val="en-US" w:eastAsia="zh-CN"/>
        </w:rPr>
        <w:t>10</w:t>
      </w:r>
      <w:r>
        <w:rPr>
          <w:w w:val="95"/>
          <w:highlight w:val="none"/>
        </w:rPr>
        <w:t>个科室，分别是：</w:t>
      </w:r>
      <w:r>
        <w:rPr>
          <w:rFonts w:hint="eastAsia"/>
          <w:highlight w:val="none"/>
          <w:lang w:val="en-US" w:eastAsia="zh-CN"/>
        </w:rPr>
        <w:t>党</w:t>
      </w:r>
      <w:r>
        <w:rPr>
          <w:rFonts w:hint="eastAsia"/>
          <w:highlight w:val="none"/>
        </w:rPr>
        <w:t>建办公室</w:t>
      </w:r>
      <w:r>
        <w:rPr>
          <w:spacing w:val="-6"/>
          <w:highlight w:val="none"/>
        </w:rPr>
        <w:t>、</w:t>
      </w:r>
      <w:r>
        <w:rPr>
          <w:rFonts w:hint="eastAsia"/>
          <w:highlight w:val="none"/>
        </w:rPr>
        <w:t>综合协调办公室（综合执法办公室）</w:t>
      </w:r>
      <w:r>
        <w:rPr>
          <w:rFonts w:hint="eastAsia"/>
          <w:highlight w:val="none"/>
          <w:lang w:eastAsia="zh-CN"/>
        </w:rPr>
        <w:t>、</w:t>
      </w:r>
      <w:r>
        <w:rPr>
          <w:rFonts w:hint="eastAsia"/>
          <w:highlight w:val="none"/>
          <w:lang w:val="en-US" w:eastAsia="zh-CN"/>
        </w:rPr>
        <w:t>党</w:t>
      </w:r>
      <w:r>
        <w:rPr>
          <w:rFonts w:hint="eastAsia"/>
          <w:highlight w:val="none"/>
        </w:rPr>
        <w:t>群服务中心</w:t>
      </w:r>
      <w:r>
        <w:rPr>
          <w:rFonts w:hint="eastAsia"/>
          <w:highlight w:val="none"/>
          <w:lang w:eastAsia="zh-CN"/>
        </w:rPr>
        <w:t>、</w:t>
      </w:r>
      <w:r>
        <w:rPr>
          <w:rFonts w:hint="eastAsia"/>
          <w:highlight w:val="none"/>
        </w:rPr>
        <w:t>社会事务(统计）服务中心(退役军人服务站）</w:t>
      </w:r>
      <w:r>
        <w:rPr>
          <w:spacing w:val="-6"/>
          <w:highlight w:val="none"/>
        </w:rPr>
        <w:t>、</w:t>
      </w:r>
      <w:r>
        <w:rPr>
          <w:rFonts w:hint="eastAsia"/>
          <w:highlight w:val="none"/>
        </w:rPr>
        <w:t>公共卫生服务指导中心(防疫专员办公室）</w:t>
      </w:r>
      <w:r>
        <w:rPr>
          <w:rFonts w:hint="eastAsia"/>
          <w:highlight w:val="none"/>
          <w:lang w:eastAsia="zh-CN"/>
        </w:rPr>
        <w:t>、</w:t>
      </w:r>
      <w:r>
        <w:rPr>
          <w:rFonts w:hint="eastAsia"/>
          <w:highlight w:val="none"/>
        </w:rPr>
        <w:t>综治中心（网格化服务中心、群众工作中心)</w:t>
      </w:r>
      <w:r>
        <w:rPr>
          <w:rFonts w:hint="eastAsia"/>
          <w:highlight w:val="none"/>
          <w:lang w:eastAsia="zh-CN"/>
        </w:rPr>
        <w:t>、</w:t>
      </w:r>
      <w:r>
        <w:rPr>
          <w:rFonts w:hint="eastAsia"/>
          <w:highlight w:val="none"/>
        </w:rPr>
        <w:t>民族宗教事务中心</w:t>
      </w:r>
      <w:r>
        <w:rPr>
          <w:rFonts w:hint="eastAsia"/>
          <w:highlight w:val="none"/>
          <w:lang w:eastAsia="zh-CN"/>
        </w:rPr>
        <w:t>、</w:t>
      </w:r>
      <w:r>
        <w:rPr>
          <w:rFonts w:hint="eastAsia"/>
          <w:highlight w:val="none"/>
        </w:rPr>
        <w:t>城区（物业）管理服务中心</w:t>
      </w:r>
      <w:r>
        <w:rPr>
          <w:rFonts w:hint="eastAsia"/>
          <w:highlight w:val="none"/>
          <w:lang w:eastAsia="zh-CN"/>
        </w:rPr>
        <w:t>、</w:t>
      </w:r>
      <w:r>
        <w:rPr>
          <w:rFonts w:hint="eastAsia"/>
          <w:highlight w:val="none"/>
        </w:rPr>
        <w:t>经济发展服务中心</w:t>
      </w:r>
      <w:r>
        <w:rPr>
          <w:rFonts w:hint="eastAsia"/>
          <w:highlight w:val="none"/>
          <w:lang w:eastAsia="zh-CN"/>
        </w:rPr>
        <w:t>、</w:t>
      </w:r>
      <w:r>
        <w:rPr>
          <w:rFonts w:hint="eastAsia"/>
          <w:highlight w:val="none"/>
        </w:rPr>
        <w:t>综合行政执法队</w:t>
      </w:r>
      <w:r>
        <w:rPr>
          <w:spacing w:val="-6"/>
          <w:highlight w:val="none"/>
        </w:rPr>
        <w:t>。</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sz w:val="32"/>
          <w:szCs w:val="32"/>
          <w:highlight w:val="none"/>
        </w:rPr>
      </w:pPr>
      <w:bookmarkStart w:id="6" w:name="_Toc29374"/>
      <w:bookmarkStart w:id="7" w:name="_Toc309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br w:type="page"/>
      </w:r>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rPr>
      </w:pPr>
      <w:bookmarkStart w:id="8" w:name="_Toc12566"/>
      <w:bookmarkStart w:id="9" w:name="_Toc25314"/>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lang w:val="en-US" w:eastAsia="zh-CN"/>
        </w:rPr>
        <w:t>1778.45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其中：本年收入合计1777.35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，使用非财政拨款结余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lang w:val="en-US" w:eastAsia="zh-CN"/>
        </w:rPr>
        <w:t>1.11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1619.35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47.66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：本年收入将项目款一般公共预算调入预拨款，总收入减少</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总计1778.45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其中：本年支出合计1777.1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lang w:val="en-US" w:eastAsia="zh-CN"/>
        </w:rPr>
        <w:t>1.36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1619.35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47.66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：本年</w:t>
      </w:r>
      <w:r>
        <w:rPr>
          <w:rFonts w:hint="eastAsia" w:ascii="仿宋_GB2312" w:eastAsia="仿宋_GB2312"/>
          <w:sz w:val="32"/>
          <w:szCs w:val="32"/>
          <w:highlight w:val="none"/>
          <w:lang w:val="en-US" w:eastAsia="zh-CN"/>
        </w:rPr>
        <w:t>支出</w:t>
      </w:r>
      <w:r>
        <w:rPr>
          <w:rFonts w:hint="eastAsia" w:ascii="仿宋_GB2312" w:eastAsia="仿宋_GB2312"/>
          <w:sz w:val="32"/>
          <w:szCs w:val="32"/>
          <w:highlight w:val="none"/>
        </w:rPr>
        <w:t>将项目款一般公共预算调入预拨款，总</w:t>
      </w:r>
      <w:r>
        <w:rPr>
          <w:rFonts w:hint="eastAsia" w:ascii="仿宋_GB2312" w:eastAsia="仿宋_GB2312"/>
          <w:sz w:val="32"/>
          <w:szCs w:val="32"/>
          <w:highlight w:val="none"/>
          <w:lang w:val="en-US" w:eastAsia="zh-CN"/>
        </w:rPr>
        <w:t>支出</w:t>
      </w:r>
      <w:r>
        <w:rPr>
          <w:rFonts w:hint="eastAsia" w:ascii="仿宋_GB2312" w:eastAsia="仿宋_GB2312"/>
          <w:sz w:val="32"/>
          <w:szCs w:val="32"/>
          <w:highlight w:val="none"/>
        </w:rPr>
        <w:t>减少</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rPr>
      </w:pPr>
      <w:bookmarkStart w:id="10" w:name="_Toc12142"/>
      <w:bookmarkStart w:id="11" w:name="_Toc1979"/>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本年收入</w:t>
      </w:r>
      <w:r>
        <w:rPr>
          <w:rFonts w:hint="eastAsia" w:ascii="仿宋_GB2312" w:eastAsia="仿宋_GB2312"/>
          <w:sz w:val="32"/>
          <w:szCs w:val="32"/>
          <w:highlight w:val="none"/>
          <w:lang w:val="en-US" w:eastAsia="zh-CN"/>
        </w:rPr>
        <w:t>1777.35</w:t>
      </w:r>
      <w:r>
        <w:rPr>
          <w:rFonts w:hint="eastAsia" w:ascii="仿宋_GB2312" w:eastAsia="仿宋_GB2312"/>
          <w:sz w:val="32"/>
          <w:szCs w:val="32"/>
          <w:highlight w:val="none"/>
        </w:rPr>
        <w:t>万元，其中：财政拨款收入</w:t>
      </w:r>
      <w:r>
        <w:rPr>
          <w:rFonts w:hint="eastAsia" w:ascii="仿宋_GB2312" w:eastAsia="仿宋_GB2312"/>
          <w:sz w:val="32"/>
          <w:szCs w:val="32"/>
          <w:highlight w:val="none"/>
          <w:lang w:val="en-US" w:eastAsia="zh-CN"/>
        </w:rPr>
        <w:t>1777.1</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99.99</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%；其他收入</w:t>
      </w:r>
      <w:r>
        <w:rPr>
          <w:rFonts w:hint="eastAsia" w:ascii="仿宋_GB2312" w:eastAsia="仿宋_GB2312"/>
          <w:sz w:val="32"/>
          <w:szCs w:val="32"/>
          <w:highlight w:val="none"/>
          <w:lang w:val="en-US" w:eastAsia="zh-CN"/>
        </w:rPr>
        <w:t>0.25</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0.01</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27961"/>
      <w:bookmarkStart w:id="13" w:name="_Toc1320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1777.1</w:t>
      </w:r>
      <w:r>
        <w:rPr>
          <w:rFonts w:hint="eastAsia" w:ascii="仿宋_GB2312" w:eastAsia="仿宋_GB2312"/>
          <w:sz w:val="32"/>
          <w:szCs w:val="32"/>
          <w:highlight w:val="none"/>
        </w:rPr>
        <w:t>万元，其中：基本支出</w:t>
      </w:r>
      <w:r>
        <w:rPr>
          <w:rFonts w:hint="eastAsia" w:ascii="仿宋_GB2312" w:eastAsia="仿宋_GB2312"/>
          <w:sz w:val="32"/>
          <w:szCs w:val="32"/>
          <w:highlight w:val="none"/>
          <w:lang w:val="en-US" w:eastAsia="zh-CN"/>
        </w:rPr>
        <w:t>1691.26</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95.17</w:t>
      </w:r>
      <w:r>
        <w:rPr>
          <w:rFonts w:hint="eastAsia" w:ascii="仿宋_GB2312" w:eastAsia="仿宋_GB2312"/>
          <w:sz w:val="32"/>
          <w:szCs w:val="32"/>
          <w:highlight w:val="none"/>
        </w:rPr>
        <w:t>%；项目支出</w:t>
      </w:r>
      <w:r>
        <w:rPr>
          <w:rFonts w:hint="eastAsia" w:ascii="仿宋_GB2312" w:eastAsia="仿宋_GB2312"/>
          <w:sz w:val="32"/>
          <w:szCs w:val="32"/>
          <w:highlight w:val="none"/>
          <w:lang w:val="en-US" w:eastAsia="zh-CN"/>
        </w:rPr>
        <w:t>85.83</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4.83</w:t>
      </w:r>
      <w:r>
        <w:rPr>
          <w:rFonts w:hint="eastAsia" w:ascii="仿宋_GB2312" w:eastAsia="仿宋_GB2312"/>
          <w:sz w:val="32"/>
          <w:szCs w:val="32"/>
          <w:highlight w:val="none"/>
        </w:rPr>
        <w:t>%；上缴上级支出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26564"/>
      <w:bookmarkStart w:id="15" w:name="_Toc4393"/>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总计1777.1</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其中：年初财政拨款结转和结余0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财政拨款本年收入1777.1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1587.6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47.18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：本年收入将项目款一般公共预算调入预拨款，总收入减少。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总计1777.1</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其中：年末财政拨款结转和结余0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财政拨款本年支出1777.1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1587.6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47.18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：本年</w:t>
      </w:r>
      <w:r>
        <w:rPr>
          <w:rFonts w:hint="eastAsia" w:ascii="仿宋_GB2312" w:eastAsia="仿宋_GB2312"/>
          <w:sz w:val="32"/>
          <w:szCs w:val="32"/>
          <w:highlight w:val="none"/>
          <w:lang w:val="en-US" w:eastAsia="zh-CN"/>
        </w:rPr>
        <w:t>支出</w:t>
      </w:r>
      <w:r>
        <w:rPr>
          <w:rFonts w:hint="eastAsia" w:ascii="仿宋_GB2312" w:eastAsia="仿宋_GB2312"/>
          <w:sz w:val="32"/>
          <w:szCs w:val="32"/>
          <w:highlight w:val="none"/>
        </w:rPr>
        <w:t>将项目款一般公共预算调入预拨款，总</w:t>
      </w:r>
      <w:r>
        <w:rPr>
          <w:rFonts w:hint="eastAsia" w:ascii="仿宋_GB2312" w:eastAsia="仿宋_GB2312"/>
          <w:sz w:val="32"/>
          <w:szCs w:val="32"/>
          <w:highlight w:val="none"/>
          <w:lang w:val="en-US" w:eastAsia="zh-CN"/>
        </w:rPr>
        <w:t>支出</w:t>
      </w:r>
      <w:r>
        <w:rPr>
          <w:rFonts w:hint="eastAsia" w:ascii="仿宋_GB2312" w:eastAsia="仿宋_GB2312"/>
          <w:sz w:val="32"/>
          <w:szCs w:val="32"/>
          <w:highlight w:val="none"/>
        </w:rPr>
        <w:t>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2434.12</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1777.1</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-26.99</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本年我单位</w:t>
      </w:r>
      <w:r>
        <w:rPr>
          <w:rFonts w:hint="eastAsia" w:ascii="仿宋_GB2312" w:eastAsia="仿宋_GB2312"/>
          <w:sz w:val="32"/>
          <w:szCs w:val="32"/>
          <w:highlight w:val="none"/>
          <w:lang w:eastAsia="zh-CN"/>
        </w:rPr>
        <w:t>社区经费、社区食堂补助经费、便民服务站运行经费、便民服务站人员伙食费、</w:t>
      </w:r>
      <w:r>
        <w:rPr>
          <w:rFonts w:hint="eastAsia" w:ascii="仿宋_GB2312" w:eastAsia="仿宋_GB2312"/>
          <w:sz w:val="32"/>
          <w:szCs w:val="32"/>
          <w:highlight w:val="none"/>
        </w:rPr>
        <w:t>临时聘用人员经费项目</w:t>
      </w:r>
      <w:r>
        <w:rPr>
          <w:rFonts w:hint="eastAsia" w:ascii="仿宋_GB2312" w:eastAsia="仿宋_GB2312"/>
          <w:sz w:val="32"/>
          <w:szCs w:val="32"/>
          <w:highlight w:val="none"/>
          <w:lang w:eastAsia="zh-CN"/>
        </w:rPr>
        <w:t>调入预拨款，</w:t>
      </w:r>
      <w:r>
        <w:rPr>
          <w:rFonts w:hint="eastAsia" w:ascii="仿宋_GB2312" w:eastAsia="仿宋_GB2312"/>
          <w:sz w:val="32"/>
          <w:szCs w:val="32"/>
          <w:highlight w:val="none"/>
        </w:rPr>
        <w:t>收入较预算减少。财政拨款支出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2434.12</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1777.1</w:t>
      </w:r>
      <w:r>
        <w:rPr>
          <w:rFonts w:hint="eastAsia" w:ascii="仿宋_GB2312" w:eastAsia="仿宋_GB2312"/>
          <w:sz w:val="32"/>
          <w:szCs w:val="32"/>
          <w:highlight w:val="none"/>
        </w:rPr>
        <w:t>万元</w:t>
      </w:r>
      <w:r>
        <w:rPr>
          <w:rFonts w:hint="eastAsia" w:ascii="仿宋_GB2312" w:hAnsi="仿宋_GB2312" w:eastAsia="仿宋_GB2312" w:cs="仿宋_GB2312"/>
          <w:sz w:val="32"/>
          <w:szCs w:val="32"/>
          <w:highlight w:val="none"/>
        </w:rPr>
        <w:t>一般公共服务</w:t>
      </w:r>
      <w:r>
        <w:rPr>
          <w:rFonts w:hint="eastAsia" w:ascii="仿宋_GB2312" w:hAnsi="仿宋_GB2312" w:eastAsia="仿宋_GB2312" w:cs="仿宋_GB2312"/>
          <w:sz w:val="32"/>
          <w:szCs w:val="32"/>
          <w:highlight w:val="none"/>
          <w:lang w:val="en-US" w:eastAsia="zh-CN"/>
        </w:rPr>
        <w:t>支出</w:t>
      </w:r>
      <w:r>
        <w:rPr>
          <w:rFonts w:hint="eastAsia" w:ascii="仿宋_GB2312" w:hAnsi="仿宋_GB2312" w:eastAsia="仿宋_GB2312" w:cs="仿宋_GB2312"/>
          <w:sz w:val="32"/>
          <w:szCs w:val="32"/>
          <w:highlight w:val="none"/>
        </w:rPr>
        <w:t>（类）政府办公厅（室）及相关机构事务（款）行政运行（项）:</w:t>
      </w:r>
      <w:r>
        <w:rPr>
          <w:rFonts w:hint="eastAsia" w:ascii="仿宋_GB2312" w:hAnsi="仿宋_GB2312" w:eastAsia="仿宋_GB2312" w:cs="仿宋_GB2312"/>
          <w:sz w:val="32"/>
          <w:szCs w:val="32"/>
          <w:highlight w:val="none"/>
          <w:lang w:val="en-US" w:eastAsia="zh-CN"/>
        </w:rPr>
        <w:t>支出决算数</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244.32</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val="en-US" w:eastAsia="zh-CN"/>
        </w:rPr>
        <w:t>决算</w:t>
      </w:r>
      <w:r>
        <w:rPr>
          <w:rFonts w:hint="eastAsia" w:ascii="仿宋_GB2312" w:hAnsi="仿宋_GB2312" w:eastAsia="仿宋_GB2312" w:cs="仿宋_GB2312"/>
          <w:sz w:val="32"/>
          <w:szCs w:val="32"/>
          <w:highlight w:val="none"/>
        </w:rPr>
        <w:t>增加</w:t>
      </w:r>
      <w:r>
        <w:rPr>
          <w:rFonts w:hint="eastAsia" w:ascii="仿宋_GB2312" w:hAnsi="仿宋_GB2312" w:eastAsia="仿宋_GB2312" w:cs="仿宋_GB2312"/>
          <w:sz w:val="32"/>
          <w:szCs w:val="32"/>
          <w:highlight w:val="none"/>
          <w:lang w:val="en-US" w:eastAsia="zh-CN"/>
        </w:rPr>
        <w:t>52.12</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27.12</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在编人员</w:t>
      </w:r>
      <w:r>
        <w:rPr>
          <w:rFonts w:hint="eastAsia" w:ascii="仿宋_GB2312" w:hAnsi="仿宋_GB2312" w:eastAsia="仿宋_GB2312" w:cs="仿宋_GB2312"/>
          <w:sz w:val="32"/>
          <w:szCs w:val="32"/>
          <w:highlight w:val="none"/>
          <w:lang w:val="en-US" w:eastAsia="zh-CN"/>
        </w:rPr>
        <w:t>2022年基本工资增加</w:t>
      </w:r>
      <w:r>
        <w:rPr>
          <w:rFonts w:hint="eastAsia" w:ascii="仿宋_GB2312" w:hAnsi="仿宋_GB2312" w:eastAsia="仿宋_GB2312" w:cs="仿宋_GB2312"/>
          <w:sz w:val="32"/>
          <w:szCs w:val="32"/>
          <w:highlight w:val="none"/>
          <w:lang w:eastAsia="zh-CN"/>
        </w:rPr>
        <w:t>。</w:t>
      </w:r>
      <w:r>
        <w:rPr>
          <w:rFonts w:hint="eastAsia" w:ascii="仿宋_GB2312" w:eastAsia="仿宋_GB2312"/>
          <w:sz w:val="32"/>
          <w:szCs w:val="32"/>
          <w:highlight w:val="none"/>
        </w:rPr>
        <w:t>，预决算差异率</w:t>
      </w:r>
      <w:r>
        <w:rPr>
          <w:rFonts w:hint="eastAsia" w:ascii="仿宋_GB2312" w:eastAsia="仿宋_GB2312"/>
          <w:sz w:val="32"/>
          <w:szCs w:val="32"/>
          <w:highlight w:val="none"/>
          <w:lang w:val="en-US" w:eastAsia="zh-CN"/>
        </w:rPr>
        <w:t>-26.99</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主要原因是：本年我单位社区经费、社区食堂补助经费、便民服务站运行经费、便民服务站人员伙食费、临时聘用人员经费项目调入预拨款，支出较预算减少。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13833"/>
      <w:bookmarkStart w:id="17" w:name="_Toc20360"/>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pacing w:val="0"/>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年度一般公共预算财政拨款支出</w:t>
      </w:r>
      <w:r>
        <w:rPr>
          <w:rFonts w:hint="eastAsia" w:ascii="仿宋_GB2312" w:eastAsia="仿宋_GB2312"/>
          <w:spacing w:val="0"/>
          <w:sz w:val="32"/>
          <w:szCs w:val="32"/>
          <w:highlight w:val="none"/>
          <w:lang w:val="en-US" w:eastAsia="zh-CN"/>
        </w:rPr>
        <w:t>1777.1</w:t>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lang w:val="en-US" w:eastAsia="zh-CN"/>
        </w:rPr>
        <w:t>100</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与上年相比，减少</w:t>
      </w:r>
      <w:r>
        <w:rPr>
          <w:rFonts w:hint="eastAsia" w:ascii="仿宋_GB2312" w:eastAsia="仿宋_GB2312"/>
          <w:spacing w:val="0"/>
          <w:sz w:val="32"/>
          <w:szCs w:val="32"/>
          <w:highlight w:val="none"/>
          <w:lang w:val="en-US" w:eastAsia="zh-CN"/>
        </w:rPr>
        <w:t>1587.6</w:t>
      </w:r>
      <w:r>
        <w:rPr>
          <w:rFonts w:hint="eastAsia" w:ascii="仿宋_GB2312" w:eastAsia="仿宋_GB2312"/>
          <w:spacing w:val="0"/>
          <w:sz w:val="32"/>
          <w:szCs w:val="32"/>
          <w:highlight w:val="none"/>
        </w:rPr>
        <w:t>万元，</w:t>
      </w:r>
      <w:r>
        <w:rPr>
          <w:rFonts w:hint="eastAsia" w:ascii="仿宋_GB2312" w:eastAsia="仿宋_GB2312"/>
          <w:spacing w:val="0"/>
          <w:sz w:val="32"/>
          <w:szCs w:val="32"/>
          <w:highlight w:val="none"/>
          <w:lang w:eastAsia="zh-CN"/>
        </w:rPr>
        <w:t>下降</w:t>
      </w:r>
      <w:r>
        <w:rPr>
          <w:rFonts w:hint="eastAsia" w:ascii="仿宋_GB2312" w:eastAsia="仿宋_GB2312"/>
          <w:spacing w:val="0"/>
          <w:sz w:val="32"/>
          <w:szCs w:val="32"/>
          <w:highlight w:val="none"/>
          <w:lang w:val="en-US" w:eastAsia="zh-CN"/>
        </w:rPr>
        <w:t>47.18</w:t>
      </w:r>
      <w:r>
        <w:rPr>
          <w:rFonts w:hint="eastAsia" w:ascii="仿宋_GB2312" w:eastAsia="仿宋_GB2312"/>
          <w:spacing w:val="0"/>
          <w:sz w:val="32"/>
          <w:szCs w:val="32"/>
          <w:highlight w:val="none"/>
        </w:rPr>
        <w:t>%</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主要原因是：</w:t>
      </w:r>
      <w:r>
        <w:rPr>
          <w:rFonts w:hint="eastAsia" w:ascii="仿宋_GB2312" w:eastAsia="仿宋_GB2312"/>
          <w:sz w:val="32"/>
          <w:szCs w:val="32"/>
          <w:highlight w:val="none"/>
        </w:rPr>
        <w:t>本年</w:t>
      </w:r>
      <w:r>
        <w:rPr>
          <w:rFonts w:hint="eastAsia" w:ascii="仿宋_GB2312" w:eastAsia="仿宋_GB2312"/>
          <w:sz w:val="32"/>
          <w:szCs w:val="32"/>
          <w:highlight w:val="none"/>
          <w:lang w:val="en-US" w:eastAsia="zh-CN"/>
        </w:rPr>
        <w:t>支出</w:t>
      </w:r>
      <w:r>
        <w:rPr>
          <w:rFonts w:hint="eastAsia" w:ascii="仿宋_GB2312" w:eastAsia="仿宋_GB2312"/>
          <w:sz w:val="32"/>
          <w:szCs w:val="32"/>
          <w:highlight w:val="none"/>
        </w:rPr>
        <w:t>将项目款一般公共预算调入预拨款，总</w:t>
      </w:r>
      <w:r>
        <w:rPr>
          <w:rFonts w:hint="eastAsia" w:ascii="仿宋_GB2312" w:eastAsia="仿宋_GB2312"/>
          <w:sz w:val="32"/>
          <w:szCs w:val="32"/>
          <w:highlight w:val="none"/>
          <w:lang w:val="en-US" w:eastAsia="zh-CN"/>
        </w:rPr>
        <w:t>支出</w:t>
      </w:r>
      <w:r>
        <w:rPr>
          <w:rFonts w:hint="eastAsia" w:ascii="仿宋_GB2312" w:eastAsia="仿宋_GB2312"/>
          <w:sz w:val="32"/>
          <w:szCs w:val="32"/>
          <w:highlight w:val="none"/>
        </w:rPr>
        <w:t>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1.一般公共服务</w:t>
      </w:r>
      <w:r>
        <w:rPr>
          <w:rFonts w:hint="eastAsia" w:ascii="仿宋_GB2312" w:hAnsi="仿宋_GB2312" w:eastAsia="仿宋_GB2312" w:cs="仿宋_GB2312"/>
          <w:sz w:val="32"/>
          <w:szCs w:val="32"/>
          <w:highlight w:val="none"/>
          <w:lang w:val="en-US" w:eastAsia="zh-CN"/>
        </w:rPr>
        <w:t>支出</w:t>
      </w:r>
      <w:r>
        <w:rPr>
          <w:rFonts w:hint="eastAsia" w:ascii="仿宋_GB2312" w:hAnsi="仿宋_GB2312" w:eastAsia="仿宋_GB2312" w:cs="仿宋_GB2312"/>
          <w:sz w:val="32"/>
          <w:szCs w:val="32"/>
          <w:highlight w:val="none"/>
        </w:rPr>
        <w:t>（类）</w:t>
      </w:r>
      <w:r>
        <w:rPr>
          <w:rFonts w:hint="eastAsia" w:ascii="仿宋_GB2312" w:eastAsia="仿宋_GB2312"/>
          <w:spacing w:val="0"/>
          <w:sz w:val="32"/>
          <w:szCs w:val="32"/>
          <w:highlight w:val="none"/>
          <w:lang w:val="en-US" w:eastAsia="zh-CN"/>
        </w:rPr>
        <w:t>492.39</w:t>
      </w:r>
      <w:r>
        <w:rPr>
          <w:rFonts w:hint="eastAsia" w:ascii="仿宋_GB2312" w:hAnsi="仿宋_GB2312" w:eastAsia="仿宋_GB2312" w:cs="仿宋_GB2312"/>
          <w:kern w:val="0"/>
          <w:sz w:val="32"/>
          <w:szCs w:val="32"/>
          <w:highlight w:val="none"/>
        </w:rPr>
        <w:t>万元，占</w:t>
      </w:r>
      <w:r>
        <w:rPr>
          <w:rFonts w:hint="eastAsia" w:ascii="仿宋_GB2312" w:hAnsi="仿宋_GB2312" w:eastAsia="仿宋_GB2312" w:cs="仿宋_GB2312"/>
          <w:kern w:val="0"/>
          <w:sz w:val="32"/>
          <w:szCs w:val="32"/>
          <w:highlight w:val="none"/>
          <w:lang w:val="en-US" w:eastAsia="zh-CN"/>
        </w:rPr>
        <w:t>27.71</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2.公共安全支出</w:t>
      </w:r>
      <w:r>
        <w:rPr>
          <w:rFonts w:hint="eastAsia" w:ascii="仿宋_GB2312" w:hAnsi="仿宋_GB2312" w:eastAsia="仿宋_GB2312" w:cs="仿宋_GB2312"/>
          <w:sz w:val="32"/>
          <w:szCs w:val="32"/>
          <w:highlight w:val="none"/>
        </w:rPr>
        <w:t>（类）</w:t>
      </w:r>
      <w:r>
        <w:rPr>
          <w:rFonts w:hint="eastAsia" w:ascii="仿宋_GB2312" w:eastAsia="仿宋_GB2312"/>
          <w:spacing w:val="0"/>
          <w:sz w:val="32"/>
          <w:szCs w:val="32"/>
          <w:highlight w:val="none"/>
          <w:lang w:val="en-US" w:eastAsia="zh-CN"/>
        </w:rPr>
        <w:t>1.12</w:t>
      </w:r>
      <w:r>
        <w:rPr>
          <w:rFonts w:hint="eastAsia" w:ascii="仿宋_GB2312" w:hAnsi="仿宋_GB2312" w:eastAsia="仿宋_GB2312" w:cs="仿宋_GB2312"/>
          <w:kern w:val="0"/>
          <w:sz w:val="32"/>
          <w:szCs w:val="32"/>
          <w:highlight w:val="none"/>
        </w:rPr>
        <w:t>万元，占</w:t>
      </w:r>
      <w:r>
        <w:rPr>
          <w:rFonts w:hint="eastAsia" w:ascii="仿宋_GB2312" w:hAnsi="仿宋_GB2312" w:eastAsia="仿宋_GB2312" w:cs="仿宋_GB2312"/>
          <w:kern w:val="0"/>
          <w:sz w:val="32"/>
          <w:szCs w:val="32"/>
          <w:highlight w:val="none"/>
          <w:lang w:val="en-US" w:eastAsia="zh-CN"/>
        </w:rPr>
        <w:t>0.06</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3.社会保障和就业支出</w:t>
      </w:r>
      <w:r>
        <w:rPr>
          <w:rFonts w:hint="eastAsia" w:ascii="仿宋_GB2312" w:hAnsi="仿宋_GB2312" w:eastAsia="仿宋_GB2312" w:cs="仿宋_GB2312"/>
          <w:sz w:val="32"/>
          <w:szCs w:val="32"/>
          <w:highlight w:val="none"/>
        </w:rPr>
        <w:t>（类）</w:t>
      </w:r>
      <w:r>
        <w:rPr>
          <w:rFonts w:hint="eastAsia" w:ascii="仿宋_GB2312" w:eastAsia="仿宋_GB2312"/>
          <w:spacing w:val="0"/>
          <w:sz w:val="32"/>
          <w:szCs w:val="32"/>
          <w:highlight w:val="none"/>
          <w:lang w:val="en-US" w:eastAsia="zh-CN"/>
        </w:rPr>
        <w:t>1211.99</w:t>
      </w:r>
      <w:r>
        <w:rPr>
          <w:rFonts w:hint="eastAsia" w:ascii="仿宋_GB2312" w:hAnsi="仿宋_GB2312" w:eastAsia="仿宋_GB2312" w:cs="仿宋_GB2312"/>
          <w:kern w:val="0"/>
          <w:sz w:val="32"/>
          <w:szCs w:val="32"/>
          <w:highlight w:val="none"/>
        </w:rPr>
        <w:t>万元，占</w:t>
      </w:r>
      <w:r>
        <w:rPr>
          <w:rFonts w:hint="eastAsia" w:ascii="仿宋_GB2312" w:hAnsi="仿宋_GB2312" w:eastAsia="仿宋_GB2312" w:cs="仿宋_GB2312"/>
          <w:kern w:val="0"/>
          <w:sz w:val="32"/>
          <w:szCs w:val="32"/>
          <w:highlight w:val="none"/>
          <w:lang w:val="en-US" w:eastAsia="zh-CN"/>
        </w:rPr>
        <w:t>68.2</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4.卫生健康支出</w:t>
      </w:r>
      <w:r>
        <w:rPr>
          <w:rFonts w:hint="eastAsia" w:ascii="仿宋_GB2312" w:hAnsi="仿宋_GB2312" w:eastAsia="仿宋_GB2312" w:cs="仿宋_GB2312"/>
          <w:sz w:val="32"/>
          <w:szCs w:val="32"/>
          <w:highlight w:val="none"/>
        </w:rPr>
        <w:t>（类）</w:t>
      </w:r>
      <w:r>
        <w:rPr>
          <w:rFonts w:hint="eastAsia" w:ascii="仿宋_GB2312" w:eastAsia="仿宋_GB2312"/>
          <w:spacing w:val="0"/>
          <w:sz w:val="32"/>
          <w:szCs w:val="32"/>
          <w:highlight w:val="none"/>
          <w:lang w:val="en-US" w:eastAsia="zh-CN"/>
        </w:rPr>
        <w:t>30.24</w:t>
      </w:r>
      <w:r>
        <w:rPr>
          <w:rFonts w:hint="eastAsia" w:ascii="仿宋_GB2312" w:hAnsi="仿宋_GB2312" w:eastAsia="仿宋_GB2312" w:cs="仿宋_GB2312"/>
          <w:kern w:val="0"/>
          <w:sz w:val="32"/>
          <w:szCs w:val="32"/>
          <w:highlight w:val="none"/>
        </w:rPr>
        <w:t>万元，占</w:t>
      </w:r>
      <w:r>
        <w:rPr>
          <w:rFonts w:hint="eastAsia" w:ascii="仿宋_GB2312" w:hAnsi="仿宋_GB2312" w:eastAsia="仿宋_GB2312" w:cs="仿宋_GB2312"/>
          <w:kern w:val="0"/>
          <w:sz w:val="32"/>
          <w:szCs w:val="32"/>
          <w:highlight w:val="none"/>
          <w:lang w:val="en-US" w:eastAsia="zh-CN"/>
        </w:rPr>
        <w:t>1.7</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kern w:val="0"/>
          <w:sz w:val="32"/>
          <w:szCs w:val="32"/>
          <w:highlight w:val="none"/>
          <w:lang w:val="en-US" w:eastAsia="zh-CN"/>
        </w:rPr>
        <w:t>5.其他支出</w:t>
      </w:r>
      <w:r>
        <w:rPr>
          <w:rFonts w:hint="eastAsia" w:ascii="仿宋_GB2312" w:hAnsi="仿宋_GB2312" w:eastAsia="仿宋_GB2312" w:cs="仿宋_GB2312"/>
          <w:sz w:val="32"/>
          <w:szCs w:val="32"/>
          <w:highlight w:val="none"/>
        </w:rPr>
        <w:t>（类）</w:t>
      </w:r>
      <w:r>
        <w:rPr>
          <w:rFonts w:hint="eastAsia" w:ascii="仿宋_GB2312" w:eastAsia="仿宋_GB2312"/>
          <w:spacing w:val="0"/>
          <w:sz w:val="32"/>
          <w:szCs w:val="32"/>
          <w:highlight w:val="none"/>
          <w:lang w:val="en-US" w:eastAsia="zh-CN"/>
        </w:rPr>
        <w:t>41.36</w:t>
      </w:r>
      <w:r>
        <w:rPr>
          <w:rFonts w:hint="eastAsia" w:ascii="仿宋_GB2312" w:hAnsi="仿宋_GB2312" w:eastAsia="仿宋_GB2312" w:cs="仿宋_GB2312"/>
          <w:kern w:val="0"/>
          <w:sz w:val="32"/>
          <w:szCs w:val="32"/>
          <w:highlight w:val="none"/>
        </w:rPr>
        <w:t>万元，占</w:t>
      </w:r>
      <w:r>
        <w:rPr>
          <w:rFonts w:hint="eastAsia" w:ascii="仿宋_GB2312" w:hAnsi="仿宋_GB2312" w:eastAsia="仿宋_GB2312" w:cs="仿宋_GB2312"/>
          <w:kern w:val="0"/>
          <w:sz w:val="32"/>
          <w:szCs w:val="32"/>
          <w:highlight w:val="none"/>
          <w:lang w:val="en-US" w:eastAsia="zh-CN"/>
        </w:rPr>
        <w:t>2.33</w:t>
      </w:r>
      <w:r>
        <w:rPr>
          <w:rFonts w:hint="eastAsia" w:ascii="仿宋_GB2312" w:hAnsi="仿宋_GB2312" w:eastAsia="仿宋_GB2312" w:cs="仿宋_GB2312"/>
          <w:kern w:val="0"/>
          <w:sz w:val="32"/>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一般公共预算财政拨款支出决算具体情况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sz w:val="32"/>
          <w:szCs w:val="32"/>
          <w:highlight w:val="none"/>
        </w:rPr>
        <w:t>一般公共服务</w:t>
      </w:r>
      <w:r>
        <w:rPr>
          <w:rFonts w:hint="eastAsia" w:ascii="仿宋_GB2312" w:hAnsi="仿宋_GB2312" w:eastAsia="仿宋_GB2312" w:cs="仿宋_GB2312"/>
          <w:sz w:val="32"/>
          <w:szCs w:val="32"/>
          <w:highlight w:val="none"/>
          <w:lang w:val="en-US" w:eastAsia="zh-CN"/>
        </w:rPr>
        <w:t>支出</w:t>
      </w:r>
      <w:r>
        <w:rPr>
          <w:rFonts w:hint="eastAsia" w:ascii="仿宋_GB2312" w:hAnsi="仿宋_GB2312" w:eastAsia="仿宋_GB2312" w:cs="仿宋_GB2312"/>
          <w:sz w:val="32"/>
          <w:szCs w:val="32"/>
          <w:highlight w:val="none"/>
        </w:rPr>
        <w:t>（类）政府办公厅（室）及相关机构事务（款）行政运行（项）:</w:t>
      </w:r>
      <w:r>
        <w:rPr>
          <w:rFonts w:hint="eastAsia" w:ascii="仿宋_GB2312" w:hAnsi="仿宋_GB2312" w:eastAsia="仿宋_GB2312" w:cs="仿宋_GB2312"/>
          <w:sz w:val="32"/>
          <w:szCs w:val="32"/>
          <w:highlight w:val="none"/>
          <w:lang w:val="en-US" w:eastAsia="zh-CN"/>
        </w:rPr>
        <w:t>支出决算数</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244.32</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val="en-US" w:eastAsia="zh-CN"/>
        </w:rPr>
        <w:t>决算</w:t>
      </w:r>
      <w:r>
        <w:rPr>
          <w:rFonts w:hint="eastAsia" w:ascii="仿宋_GB2312" w:hAnsi="仿宋_GB2312" w:eastAsia="仿宋_GB2312" w:cs="仿宋_GB2312"/>
          <w:sz w:val="32"/>
          <w:szCs w:val="32"/>
          <w:highlight w:val="none"/>
        </w:rPr>
        <w:t>增加</w:t>
      </w:r>
      <w:r>
        <w:rPr>
          <w:rFonts w:hint="eastAsia" w:ascii="仿宋_GB2312" w:hAnsi="仿宋_GB2312" w:eastAsia="仿宋_GB2312" w:cs="仿宋_GB2312"/>
          <w:sz w:val="32"/>
          <w:szCs w:val="32"/>
          <w:highlight w:val="none"/>
          <w:lang w:val="en-US" w:eastAsia="zh-CN"/>
        </w:rPr>
        <w:t>52.12</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27.12</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在编人员</w:t>
      </w:r>
      <w:r>
        <w:rPr>
          <w:rFonts w:hint="eastAsia" w:ascii="仿宋_GB2312" w:hAnsi="仿宋_GB2312" w:eastAsia="仿宋_GB2312" w:cs="仿宋_GB2312"/>
          <w:sz w:val="32"/>
          <w:szCs w:val="32"/>
          <w:highlight w:val="none"/>
          <w:lang w:val="en-US" w:eastAsia="zh-CN"/>
        </w:rPr>
        <w:t>2022年基本工资增加</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sz w:val="32"/>
          <w:szCs w:val="32"/>
          <w:highlight w:val="none"/>
        </w:rPr>
        <w:t>一般公共服务</w:t>
      </w:r>
      <w:r>
        <w:rPr>
          <w:rFonts w:hint="eastAsia" w:ascii="仿宋_GB2312" w:hAnsi="仿宋_GB2312" w:eastAsia="仿宋_GB2312" w:cs="仿宋_GB2312"/>
          <w:sz w:val="32"/>
          <w:szCs w:val="32"/>
          <w:highlight w:val="none"/>
          <w:lang w:val="en-US" w:eastAsia="zh-CN"/>
        </w:rPr>
        <w:t>支出</w:t>
      </w:r>
      <w:r>
        <w:rPr>
          <w:rFonts w:hint="eastAsia" w:ascii="仿宋_GB2312" w:hAnsi="仿宋_GB2312" w:eastAsia="仿宋_GB2312" w:cs="仿宋_GB2312"/>
          <w:sz w:val="32"/>
          <w:szCs w:val="32"/>
          <w:highlight w:val="none"/>
        </w:rPr>
        <w:t>（类）政府办公厅（室）及相关机构事务（款）事业运行（项）:</w:t>
      </w:r>
      <w:r>
        <w:rPr>
          <w:rFonts w:hint="eastAsia" w:ascii="仿宋_GB2312" w:hAnsi="仿宋_GB2312" w:eastAsia="仿宋_GB2312" w:cs="仿宋_GB2312"/>
          <w:sz w:val="32"/>
          <w:szCs w:val="32"/>
          <w:highlight w:val="none"/>
          <w:lang w:val="en-US" w:eastAsia="zh-CN"/>
        </w:rPr>
        <w:t>支出决算数</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248.07</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val="en-US" w:eastAsia="zh-CN"/>
        </w:rPr>
        <w:t>决算</w:t>
      </w:r>
      <w:r>
        <w:rPr>
          <w:rFonts w:hint="eastAsia" w:ascii="仿宋_GB2312" w:hAnsi="仿宋_GB2312" w:eastAsia="仿宋_GB2312" w:cs="仿宋_GB2312"/>
          <w:sz w:val="32"/>
          <w:szCs w:val="32"/>
          <w:highlight w:val="none"/>
        </w:rPr>
        <w:t>增加</w:t>
      </w:r>
      <w:r>
        <w:rPr>
          <w:rFonts w:hint="eastAsia" w:ascii="仿宋_GB2312" w:hAnsi="仿宋_GB2312" w:eastAsia="仿宋_GB2312" w:cs="仿宋_GB2312"/>
          <w:sz w:val="32"/>
          <w:szCs w:val="32"/>
          <w:highlight w:val="none"/>
          <w:lang w:val="en-US" w:eastAsia="zh-CN"/>
        </w:rPr>
        <w:t>28.12</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12.78</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在编人员</w:t>
      </w:r>
      <w:r>
        <w:rPr>
          <w:rFonts w:hint="eastAsia" w:ascii="仿宋_GB2312" w:hAnsi="仿宋_GB2312" w:eastAsia="仿宋_GB2312" w:cs="仿宋_GB2312"/>
          <w:sz w:val="32"/>
          <w:szCs w:val="32"/>
          <w:highlight w:val="none"/>
          <w:lang w:val="en-US" w:eastAsia="zh-CN"/>
        </w:rPr>
        <w:t>2022年基本工资增加。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3.</w:t>
      </w:r>
      <w:r>
        <w:rPr>
          <w:rFonts w:hint="eastAsia" w:ascii="仿宋_GB2312" w:hAnsi="仿宋_GB2312" w:eastAsia="仿宋_GB2312" w:cs="仿宋_GB2312"/>
          <w:sz w:val="32"/>
          <w:szCs w:val="32"/>
          <w:highlight w:val="none"/>
          <w:lang w:val="en-US" w:eastAsia="zh-CN"/>
        </w:rPr>
        <w:t>公共安全支出</w:t>
      </w:r>
      <w:r>
        <w:rPr>
          <w:rFonts w:hint="eastAsia" w:ascii="仿宋_GB2312" w:hAnsi="仿宋_GB2312" w:eastAsia="仿宋_GB2312" w:cs="仿宋_GB2312"/>
          <w:sz w:val="32"/>
          <w:szCs w:val="32"/>
          <w:highlight w:val="none"/>
        </w:rPr>
        <w:t>（类）公安（款）其他公安支出（项）:</w:t>
      </w:r>
      <w:r>
        <w:rPr>
          <w:rFonts w:hint="eastAsia" w:ascii="仿宋_GB2312" w:hAnsi="仿宋_GB2312" w:eastAsia="仿宋_GB2312" w:cs="仿宋_GB2312"/>
          <w:sz w:val="32"/>
          <w:szCs w:val="32"/>
          <w:highlight w:val="none"/>
          <w:lang w:val="en-US" w:eastAsia="zh-CN"/>
        </w:rPr>
        <w:t>支出决算数</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1.12</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val="en-US" w:eastAsia="zh-CN"/>
        </w:rPr>
        <w:t>决算</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144.48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下降</w:t>
      </w:r>
      <w:r>
        <w:rPr>
          <w:rFonts w:hint="eastAsia" w:ascii="仿宋_GB2312" w:hAnsi="仿宋_GB2312" w:eastAsia="仿宋_GB2312" w:cs="仿宋_GB2312"/>
          <w:sz w:val="32"/>
          <w:szCs w:val="32"/>
          <w:highlight w:val="none"/>
          <w:lang w:val="en-US" w:eastAsia="zh-CN"/>
        </w:rPr>
        <w:t>120.4</w:t>
      </w:r>
      <w:r>
        <w:rPr>
          <w:rFonts w:hint="eastAsia" w:ascii="仿宋_GB2312" w:hAnsi="仿宋_GB2312" w:eastAsia="仿宋_GB2312" w:cs="仿宋_GB2312"/>
          <w:sz w:val="32"/>
          <w:szCs w:val="32"/>
          <w:highlight w:val="none"/>
        </w:rPr>
        <w:t xml:space="preserve">%，主要原因是：受河马泉辖区内道路施工影响，封闭化岗亭未能建成。该项目经费另用于支付和奕社区的封闭化岗亭人员费用，前期该岗亭招聘4人专门值守，后续由社区工作人员值守，不再需要招聘专人值守。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4.</w:t>
      </w:r>
      <w:r>
        <w:rPr>
          <w:rFonts w:hint="eastAsia" w:ascii="仿宋_GB2312" w:hAnsi="仿宋_GB2312" w:eastAsia="仿宋_GB2312" w:cs="仿宋_GB2312"/>
          <w:sz w:val="32"/>
          <w:szCs w:val="32"/>
          <w:highlight w:val="none"/>
          <w:lang w:val="en-US" w:eastAsia="zh-CN"/>
        </w:rPr>
        <w:t>社会保障和就业支出</w:t>
      </w:r>
      <w:r>
        <w:rPr>
          <w:rFonts w:hint="eastAsia" w:ascii="仿宋_GB2312" w:hAnsi="仿宋_GB2312" w:eastAsia="仿宋_GB2312" w:cs="仿宋_GB2312"/>
          <w:sz w:val="32"/>
          <w:szCs w:val="32"/>
          <w:highlight w:val="none"/>
        </w:rPr>
        <w:t>（类）民政管理事务（款）基层政权建设和社区治理（项）:</w:t>
      </w:r>
      <w:r>
        <w:rPr>
          <w:rFonts w:hint="eastAsia" w:ascii="仿宋_GB2312" w:hAnsi="仿宋_GB2312" w:eastAsia="仿宋_GB2312" w:cs="仿宋_GB2312"/>
          <w:sz w:val="32"/>
          <w:szCs w:val="32"/>
          <w:highlight w:val="none"/>
          <w:lang w:val="en-US" w:eastAsia="zh-CN"/>
        </w:rPr>
        <w:t>支出决算数</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1085.87</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val="en-US" w:eastAsia="zh-CN"/>
        </w:rPr>
        <w:t>决算</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554.32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下降</w:t>
      </w:r>
      <w:r>
        <w:rPr>
          <w:rFonts w:hint="eastAsia" w:ascii="仿宋_GB2312" w:hAnsi="仿宋_GB2312" w:eastAsia="仿宋_GB2312" w:cs="仿宋_GB2312"/>
          <w:sz w:val="32"/>
          <w:szCs w:val="32"/>
          <w:highlight w:val="none"/>
          <w:lang w:val="en-US" w:eastAsia="zh-CN"/>
        </w:rPr>
        <w:t>33.80</w:t>
      </w:r>
      <w:r>
        <w:rPr>
          <w:rFonts w:hint="eastAsia" w:ascii="仿宋_GB2312" w:hAnsi="仿宋_GB2312" w:eastAsia="仿宋_GB2312" w:cs="仿宋_GB2312"/>
          <w:sz w:val="32"/>
          <w:szCs w:val="32"/>
          <w:highlight w:val="none"/>
        </w:rPr>
        <w:t>%，主要原因是：</w:t>
      </w:r>
      <w:r>
        <w:rPr>
          <w:rFonts w:hint="eastAsia" w:ascii="仿宋_GB2312" w:eastAsia="仿宋_GB2312"/>
          <w:sz w:val="32"/>
          <w:szCs w:val="32"/>
          <w:highlight w:val="none"/>
        </w:rPr>
        <w:t>本年我单位</w:t>
      </w:r>
      <w:r>
        <w:rPr>
          <w:rFonts w:hint="eastAsia" w:ascii="仿宋_GB2312" w:eastAsia="仿宋_GB2312"/>
          <w:sz w:val="32"/>
          <w:szCs w:val="32"/>
          <w:highlight w:val="none"/>
          <w:lang w:eastAsia="zh-CN"/>
        </w:rPr>
        <w:t>社区经费、社区食堂补助经费、</w:t>
      </w:r>
      <w:r>
        <w:rPr>
          <w:rFonts w:hint="eastAsia" w:ascii="仿宋_GB2312" w:eastAsia="仿宋_GB2312"/>
          <w:sz w:val="32"/>
          <w:szCs w:val="32"/>
          <w:highlight w:val="none"/>
        </w:rPr>
        <w:t>临时聘用人员经费项目</w:t>
      </w:r>
      <w:r>
        <w:rPr>
          <w:rFonts w:hint="eastAsia" w:ascii="仿宋_GB2312" w:eastAsia="仿宋_GB2312"/>
          <w:sz w:val="32"/>
          <w:szCs w:val="32"/>
          <w:highlight w:val="none"/>
          <w:lang w:eastAsia="zh-CN"/>
        </w:rPr>
        <w:t>调入预拨款，支出</w:t>
      </w:r>
      <w:r>
        <w:rPr>
          <w:rFonts w:hint="eastAsia" w:ascii="仿宋_GB2312" w:eastAsia="仿宋_GB2312"/>
          <w:sz w:val="32"/>
          <w:szCs w:val="32"/>
          <w:highlight w:val="none"/>
        </w:rPr>
        <w:t>减少。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5.</w:t>
      </w:r>
      <w:r>
        <w:rPr>
          <w:rFonts w:hint="eastAsia" w:ascii="仿宋_GB2312" w:hAnsi="仿宋_GB2312" w:eastAsia="仿宋_GB2312" w:cs="仿宋_GB2312"/>
          <w:sz w:val="32"/>
          <w:szCs w:val="32"/>
          <w:highlight w:val="none"/>
          <w:lang w:val="en-US" w:eastAsia="zh-CN"/>
        </w:rPr>
        <w:t>社会保障和就业支出</w:t>
      </w:r>
      <w:r>
        <w:rPr>
          <w:rFonts w:hint="eastAsia" w:ascii="仿宋_GB2312" w:hAnsi="仿宋_GB2312" w:eastAsia="仿宋_GB2312" w:cs="仿宋_GB2312"/>
          <w:sz w:val="32"/>
          <w:szCs w:val="32"/>
          <w:highlight w:val="none"/>
        </w:rPr>
        <w:t>（类）行政事业单位养老支出（款）机关事业单位基本养老保险缴费支出（项）:</w:t>
      </w:r>
      <w:r>
        <w:rPr>
          <w:rFonts w:hint="eastAsia" w:ascii="仿宋_GB2312" w:hAnsi="仿宋_GB2312" w:eastAsia="仿宋_GB2312" w:cs="仿宋_GB2312"/>
          <w:sz w:val="32"/>
          <w:szCs w:val="32"/>
          <w:highlight w:val="none"/>
          <w:lang w:val="en-US" w:eastAsia="zh-CN"/>
        </w:rPr>
        <w:t>支出决算数</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114</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val="en-US" w:eastAsia="zh-CN"/>
        </w:rPr>
        <w:t>决算</w:t>
      </w:r>
      <w:r>
        <w:rPr>
          <w:rFonts w:hint="eastAsia" w:ascii="仿宋_GB2312" w:hAnsi="仿宋_GB2312" w:eastAsia="仿宋_GB2312" w:cs="仿宋_GB2312"/>
          <w:sz w:val="32"/>
          <w:szCs w:val="32"/>
          <w:highlight w:val="none"/>
        </w:rPr>
        <w:t>增加</w:t>
      </w:r>
      <w:r>
        <w:rPr>
          <w:rFonts w:hint="eastAsia" w:ascii="仿宋_GB2312" w:hAnsi="仿宋_GB2312" w:eastAsia="仿宋_GB2312" w:cs="仿宋_GB2312"/>
          <w:sz w:val="32"/>
          <w:szCs w:val="32"/>
          <w:highlight w:val="none"/>
          <w:lang w:val="en-US" w:eastAsia="zh-CN"/>
        </w:rPr>
        <w:t>41.26</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56.72</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在编人员</w:t>
      </w:r>
      <w:r>
        <w:rPr>
          <w:rFonts w:hint="eastAsia" w:ascii="仿宋_GB2312" w:hAnsi="仿宋_GB2312" w:eastAsia="仿宋_GB2312" w:cs="仿宋_GB2312"/>
          <w:sz w:val="32"/>
          <w:szCs w:val="32"/>
          <w:highlight w:val="none"/>
          <w:lang w:val="en-US" w:eastAsia="zh-CN"/>
        </w:rPr>
        <w:t>2022年基本工资增加，基数调整，</w:t>
      </w:r>
      <w:r>
        <w:rPr>
          <w:rFonts w:hint="eastAsia" w:ascii="仿宋_GB2312" w:hAnsi="仿宋_GB2312" w:eastAsia="仿宋_GB2312" w:cs="仿宋_GB2312"/>
          <w:sz w:val="32"/>
          <w:szCs w:val="32"/>
          <w:highlight w:val="none"/>
        </w:rPr>
        <w:t>基本养老保险缴费</w:t>
      </w:r>
      <w:r>
        <w:rPr>
          <w:rFonts w:hint="eastAsia" w:ascii="仿宋_GB2312" w:hAnsi="仿宋_GB2312" w:eastAsia="仿宋_GB2312" w:cs="仿宋_GB2312"/>
          <w:sz w:val="32"/>
          <w:szCs w:val="32"/>
          <w:highlight w:val="none"/>
          <w:lang w:eastAsia="zh-CN"/>
        </w:rPr>
        <w:t>增加。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6.</w:t>
      </w:r>
      <w:r>
        <w:rPr>
          <w:rFonts w:hint="eastAsia" w:ascii="仿宋_GB2312" w:hAnsi="仿宋_GB2312" w:eastAsia="仿宋_GB2312" w:cs="仿宋_GB2312"/>
          <w:sz w:val="32"/>
          <w:szCs w:val="32"/>
          <w:highlight w:val="none"/>
          <w:lang w:val="en-US" w:eastAsia="zh-CN"/>
        </w:rPr>
        <w:t>社会保障和就业支出</w:t>
      </w:r>
      <w:r>
        <w:rPr>
          <w:rFonts w:hint="eastAsia" w:ascii="仿宋_GB2312" w:hAnsi="仿宋_GB2312" w:eastAsia="仿宋_GB2312" w:cs="仿宋_GB2312"/>
          <w:sz w:val="32"/>
          <w:szCs w:val="32"/>
          <w:highlight w:val="none"/>
        </w:rPr>
        <w:t>（类）其他生活救助（款）</w:t>
      </w:r>
      <w:r>
        <w:rPr>
          <w:rFonts w:hint="eastAsia" w:ascii="仿宋_GB2312" w:hAnsi="仿宋_GB2312" w:eastAsia="仿宋_GB2312" w:cs="仿宋_GB2312"/>
          <w:sz w:val="32"/>
          <w:szCs w:val="32"/>
          <w:highlight w:val="none"/>
          <w:lang w:val="en-US" w:eastAsia="zh-CN"/>
        </w:rPr>
        <w:t>其他城市生活救助</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sz w:val="32"/>
          <w:szCs w:val="32"/>
          <w:highlight w:val="none"/>
          <w:lang w:val="en-US" w:eastAsia="zh-CN"/>
        </w:rPr>
        <w:t>支出决算数</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12.12</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val="en-US" w:eastAsia="zh-CN"/>
        </w:rPr>
        <w:t>决算</w:t>
      </w:r>
      <w:r>
        <w:rPr>
          <w:rFonts w:hint="eastAsia" w:ascii="仿宋_GB2312" w:hAnsi="仿宋_GB2312" w:eastAsia="仿宋_GB2312" w:cs="仿宋_GB2312"/>
          <w:sz w:val="32"/>
          <w:szCs w:val="32"/>
          <w:highlight w:val="none"/>
        </w:rPr>
        <w:t>增加</w:t>
      </w:r>
      <w:r>
        <w:rPr>
          <w:rFonts w:hint="eastAsia" w:ascii="仿宋_GB2312" w:hAnsi="仿宋_GB2312" w:eastAsia="仿宋_GB2312" w:cs="仿宋_GB2312"/>
          <w:sz w:val="32"/>
          <w:szCs w:val="32"/>
          <w:highlight w:val="none"/>
          <w:lang w:val="en-US" w:eastAsia="zh-CN"/>
        </w:rPr>
        <w:t>12.12</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本年新增该项目</w:t>
      </w:r>
      <w:r>
        <w:rPr>
          <w:rFonts w:hint="eastAsia" w:ascii="仿宋_GB2312" w:hAnsi="仿宋_GB2312" w:eastAsia="仿宋_GB2312" w:cs="仿宋_GB2312"/>
          <w:sz w:val="32"/>
          <w:szCs w:val="32"/>
          <w:highlight w:val="none"/>
        </w:rPr>
        <w:t>为2022年受</w:t>
      </w:r>
      <w:r>
        <w:rPr>
          <w:rFonts w:hint="eastAsia" w:ascii="仿宋_GB2312" w:hAnsi="仿宋_GB2312" w:eastAsia="仿宋_GB2312" w:cs="仿宋_GB2312"/>
          <w:sz w:val="32"/>
          <w:szCs w:val="32"/>
          <w:highlight w:val="none"/>
          <w:lang w:eastAsia="zh-CN"/>
        </w:rPr>
        <w:t>防疫</w:t>
      </w:r>
      <w:r>
        <w:rPr>
          <w:rFonts w:hint="eastAsia" w:ascii="仿宋_GB2312" w:hAnsi="仿宋_GB2312" w:eastAsia="仿宋_GB2312" w:cs="仿宋_GB2312"/>
          <w:sz w:val="32"/>
          <w:szCs w:val="32"/>
          <w:highlight w:val="none"/>
        </w:rPr>
        <w:t>影响的未参加失业保险灵活就业人员中困难人员提供一次性救助，</w:t>
      </w:r>
      <w:r>
        <w:rPr>
          <w:rFonts w:hint="eastAsia" w:ascii="仿宋_GB2312" w:hAnsi="仿宋_GB2312" w:eastAsia="仿宋_GB2312" w:cs="仿宋_GB2312"/>
          <w:sz w:val="32"/>
          <w:szCs w:val="32"/>
          <w:highlight w:val="none"/>
          <w:lang w:eastAsia="zh-CN"/>
        </w:rPr>
        <w:t>救助金已发放到位</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7.</w:t>
      </w:r>
      <w:r>
        <w:rPr>
          <w:rFonts w:hint="eastAsia" w:ascii="仿宋_GB2312" w:hAnsi="仿宋_GB2312" w:eastAsia="仿宋_GB2312" w:cs="仿宋_GB2312"/>
          <w:sz w:val="32"/>
          <w:szCs w:val="32"/>
          <w:highlight w:val="none"/>
          <w:lang w:val="en-US" w:eastAsia="zh-CN"/>
        </w:rPr>
        <w:t>卫生健康支出</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公共卫生（款）</w:t>
      </w:r>
      <w:r>
        <w:rPr>
          <w:rFonts w:hint="eastAsia" w:ascii="仿宋_GB2312" w:hAnsi="仿宋_GB2312" w:eastAsia="仿宋_GB2312" w:cs="仿宋_GB2312"/>
          <w:sz w:val="32"/>
          <w:szCs w:val="32"/>
          <w:highlight w:val="none"/>
          <w:lang w:val="en-US" w:eastAsia="zh-CN"/>
        </w:rPr>
        <w:t>突发公共卫生事件应急处理</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sz w:val="32"/>
          <w:szCs w:val="32"/>
          <w:highlight w:val="none"/>
          <w:lang w:val="en-US" w:eastAsia="zh-CN"/>
        </w:rPr>
        <w:t>支出决算数</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30.24</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val="en-US" w:eastAsia="zh-CN"/>
        </w:rPr>
        <w:t>决算</w:t>
      </w:r>
      <w:r>
        <w:rPr>
          <w:rFonts w:hint="eastAsia" w:ascii="仿宋_GB2312" w:hAnsi="仿宋_GB2312" w:eastAsia="仿宋_GB2312" w:cs="仿宋_GB2312"/>
          <w:sz w:val="32"/>
          <w:szCs w:val="32"/>
          <w:highlight w:val="none"/>
        </w:rPr>
        <w:t>增加</w:t>
      </w:r>
      <w:r>
        <w:rPr>
          <w:rFonts w:hint="eastAsia" w:ascii="仿宋_GB2312" w:hAnsi="仿宋_GB2312" w:eastAsia="仿宋_GB2312" w:cs="仿宋_GB2312"/>
          <w:sz w:val="32"/>
          <w:szCs w:val="32"/>
          <w:highlight w:val="none"/>
          <w:lang w:val="en-US" w:eastAsia="zh-CN"/>
        </w:rPr>
        <w:t>30.24</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本年新增该项目</w:t>
      </w:r>
      <w:r>
        <w:rPr>
          <w:rFonts w:hint="eastAsia" w:ascii="仿宋_GB2312" w:hAnsi="仿宋_GB2312" w:eastAsia="仿宋_GB2312" w:cs="仿宋_GB2312"/>
          <w:sz w:val="32"/>
          <w:szCs w:val="32"/>
          <w:highlight w:val="none"/>
        </w:rPr>
        <w:t>用于保障</w:t>
      </w:r>
      <w:r>
        <w:rPr>
          <w:rFonts w:hint="eastAsia" w:ascii="仿宋_GB2312" w:hAnsi="仿宋_GB2312" w:eastAsia="仿宋_GB2312" w:cs="仿宋_GB2312"/>
          <w:sz w:val="32"/>
          <w:szCs w:val="32"/>
          <w:highlight w:val="none"/>
          <w:lang w:eastAsia="zh-CN"/>
        </w:rPr>
        <w:t>防疫</w:t>
      </w:r>
      <w:r>
        <w:rPr>
          <w:rFonts w:hint="eastAsia" w:ascii="仿宋_GB2312" w:hAnsi="仿宋_GB2312" w:eastAsia="仿宋_GB2312" w:cs="仿宋_GB2312"/>
          <w:sz w:val="32"/>
          <w:szCs w:val="32"/>
          <w:highlight w:val="none"/>
        </w:rPr>
        <w:t>期间河马泉街道及社区食堂伙食补助，</w:t>
      </w:r>
      <w:r>
        <w:rPr>
          <w:rFonts w:hint="eastAsia" w:ascii="仿宋_GB2312" w:hAnsi="仿宋_GB2312" w:eastAsia="仿宋_GB2312" w:cs="仿宋_GB2312"/>
          <w:sz w:val="32"/>
          <w:szCs w:val="32"/>
          <w:highlight w:val="none"/>
          <w:lang w:eastAsia="zh-CN"/>
        </w:rPr>
        <w:t>已支付到位</w:t>
      </w:r>
      <w:r>
        <w:rPr>
          <w:rFonts w:hint="eastAsia" w:ascii="仿宋_GB2312" w:hAnsi="仿宋_GB2312" w:eastAsia="仿宋_GB2312" w:cs="仿宋_GB2312"/>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8.</w:t>
      </w:r>
      <w:r>
        <w:rPr>
          <w:rFonts w:hint="eastAsia" w:ascii="仿宋_GB2312" w:hAnsi="仿宋_GB2312" w:eastAsia="仿宋_GB2312" w:cs="仿宋_GB2312"/>
          <w:sz w:val="32"/>
          <w:szCs w:val="32"/>
          <w:highlight w:val="none"/>
          <w:lang w:val="en-US" w:eastAsia="zh-CN"/>
        </w:rPr>
        <w:t>其他支出</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其他支出（款）</w:t>
      </w:r>
      <w:r>
        <w:rPr>
          <w:rFonts w:hint="eastAsia" w:ascii="仿宋_GB2312" w:hAnsi="仿宋_GB2312" w:eastAsia="仿宋_GB2312" w:cs="仿宋_GB2312"/>
          <w:sz w:val="32"/>
          <w:szCs w:val="32"/>
          <w:highlight w:val="none"/>
          <w:lang w:val="en-US" w:eastAsia="zh-CN"/>
        </w:rPr>
        <w:t>其他支出</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sz w:val="32"/>
          <w:szCs w:val="32"/>
          <w:highlight w:val="none"/>
          <w:lang w:val="en-US" w:eastAsia="zh-CN"/>
        </w:rPr>
        <w:t>支出决算数</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41.36</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val="en-US" w:eastAsia="zh-CN"/>
        </w:rPr>
        <w:t>决算</w:t>
      </w:r>
      <w:r>
        <w:rPr>
          <w:rFonts w:hint="eastAsia" w:ascii="仿宋_GB2312" w:hAnsi="仿宋_GB2312" w:eastAsia="仿宋_GB2312" w:cs="仿宋_GB2312"/>
          <w:sz w:val="32"/>
          <w:szCs w:val="32"/>
          <w:highlight w:val="none"/>
        </w:rPr>
        <w:t>增加</w:t>
      </w:r>
      <w:r>
        <w:rPr>
          <w:rFonts w:hint="eastAsia" w:ascii="仿宋_GB2312" w:hAnsi="仿宋_GB2312" w:eastAsia="仿宋_GB2312" w:cs="仿宋_GB2312"/>
          <w:sz w:val="32"/>
          <w:szCs w:val="32"/>
          <w:highlight w:val="none"/>
          <w:lang w:val="en-US" w:eastAsia="zh-CN"/>
        </w:rPr>
        <w:t>41.36</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%，主要原因是：</w:t>
      </w:r>
      <w:bookmarkStart w:id="18" w:name="_Toc11146"/>
      <w:bookmarkStart w:id="19" w:name="_Toc30870"/>
      <w:r>
        <w:rPr>
          <w:rFonts w:hint="eastAsia" w:ascii="仿宋_GB2312" w:hAnsi="仿宋_GB2312" w:eastAsia="仿宋_GB2312" w:cs="仿宋_GB2312"/>
          <w:sz w:val="32"/>
          <w:szCs w:val="32"/>
          <w:highlight w:val="none"/>
          <w:lang w:eastAsia="zh-CN"/>
        </w:rPr>
        <w:t>本年新增该项目</w:t>
      </w:r>
      <w:r>
        <w:rPr>
          <w:rFonts w:hint="eastAsia" w:ascii="仿宋_GB2312" w:hAnsi="仿宋_GB2312" w:eastAsia="仿宋_GB2312" w:cs="仿宋_GB2312"/>
          <w:sz w:val="32"/>
          <w:szCs w:val="32"/>
          <w:highlight w:val="none"/>
          <w:lang w:val="en-US" w:eastAsia="zh-CN"/>
        </w:rPr>
        <w:t>为2022年临时聘用人员经费</w:t>
      </w:r>
      <w:r>
        <w:rPr>
          <w:rFonts w:hint="eastAsia" w:ascii="仿宋_GB2312" w:hAnsi="仿宋_GB2312" w:eastAsia="仿宋_GB2312" w:cs="仿宋_GB2312"/>
          <w:sz w:val="32"/>
          <w:szCs w:val="32"/>
          <w:highlight w:val="none"/>
          <w:lang w:eastAsia="zh-CN"/>
        </w:rPr>
        <w:t>用于支付临聘人员社保，已支付到位。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一般公共服务</w:t>
      </w:r>
      <w:r>
        <w:rPr>
          <w:rFonts w:hint="eastAsia" w:ascii="仿宋_GB2312" w:hAnsi="仿宋_GB2312" w:eastAsia="仿宋_GB2312" w:cs="仿宋_GB2312"/>
          <w:sz w:val="32"/>
          <w:szCs w:val="32"/>
          <w:highlight w:val="none"/>
          <w:lang w:val="en-US" w:eastAsia="zh-CN"/>
        </w:rPr>
        <w:t>支出</w:t>
      </w:r>
      <w:r>
        <w:rPr>
          <w:rFonts w:hint="eastAsia" w:ascii="仿宋_GB2312" w:hAnsi="仿宋_GB2312" w:eastAsia="仿宋_GB2312" w:cs="仿宋_GB2312"/>
          <w:sz w:val="32"/>
          <w:szCs w:val="32"/>
          <w:highlight w:val="none"/>
        </w:rPr>
        <w:t>（类）纪检监察事务（款）其他纪检监察事务支出（项）:</w:t>
      </w:r>
      <w:r>
        <w:rPr>
          <w:rFonts w:hint="eastAsia" w:ascii="仿宋_GB2312" w:hAnsi="仿宋_GB2312" w:eastAsia="仿宋_GB2312" w:cs="仿宋_GB2312"/>
          <w:sz w:val="32"/>
          <w:szCs w:val="32"/>
          <w:highlight w:val="none"/>
          <w:lang w:val="en-US" w:eastAsia="zh-CN"/>
        </w:rPr>
        <w:t>支出决算数</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val="en-US" w:eastAsia="zh-CN"/>
        </w:rPr>
        <w:t>决算减少2.46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下降100</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val="en-US" w:eastAsia="zh-CN"/>
        </w:rPr>
        <w:t>该项目2021年用于纪检监察办案人员补贴，本年无此项支出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一般公共服务</w:t>
      </w:r>
      <w:r>
        <w:rPr>
          <w:rFonts w:hint="eastAsia" w:ascii="仿宋_GB2312" w:hAnsi="仿宋_GB2312" w:eastAsia="仿宋_GB2312" w:cs="仿宋_GB2312"/>
          <w:sz w:val="32"/>
          <w:szCs w:val="32"/>
          <w:highlight w:val="none"/>
          <w:lang w:val="en-US" w:eastAsia="zh-CN"/>
        </w:rPr>
        <w:t>支出</w:t>
      </w:r>
      <w:r>
        <w:rPr>
          <w:rFonts w:hint="eastAsia" w:ascii="仿宋_GB2312" w:hAnsi="仿宋_GB2312" w:eastAsia="仿宋_GB2312" w:cs="仿宋_GB2312"/>
          <w:sz w:val="32"/>
          <w:szCs w:val="32"/>
          <w:highlight w:val="none"/>
        </w:rPr>
        <w:t>（类）其他一般公共服务支出（款）其他一般公共服务支出（项）:</w:t>
      </w:r>
      <w:r>
        <w:rPr>
          <w:rFonts w:hint="eastAsia" w:ascii="仿宋_GB2312" w:hAnsi="仿宋_GB2312" w:eastAsia="仿宋_GB2312" w:cs="仿宋_GB2312"/>
          <w:sz w:val="32"/>
          <w:szCs w:val="32"/>
          <w:highlight w:val="none"/>
          <w:lang w:val="en-US" w:eastAsia="zh-CN"/>
        </w:rPr>
        <w:t>支出决算数</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val="en-US" w:eastAsia="zh-CN"/>
        </w:rPr>
        <w:t>决算减少21.73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下降100</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val="en-US" w:eastAsia="zh-CN"/>
        </w:rPr>
        <w:t>该项目为乌财行【2020】72号关于拨付第一批提升社区阵地设施项目，本年无此项项目</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公共安全支出（类）其他公共安全支出（款）其他公共安全支出（项）:</w:t>
      </w:r>
      <w:r>
        <w:rPr>
          <w:rFonts w:hint="eastAsia" w:ascii="仿宋_GB2312" w:hAnsi="仿宋_GB2312" w:eastAsia="仿宋_GB2312" w:cs="仿宋_GB2312"/>
          <w:sz w:val="32"/>
          <w:szCs w:val="32"/>
          <w:highlight w:val="none"/>
          <w:lang w:val="en-US" w:eastAsia="zh-CN"/>
        </w:rPr>
        <w:t>支出决算数</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val="en-US" w:eastAsia="zh-CN"/>
        </w:rPr>
        <w:t>决算减少75.46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下降100</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val="en-US" w:eastAsia="zh-CN"/>
        </w:rPr>
        <w:t>该项目2021年用于警务站征订报刊、车辆维修、车辆保险、购买办公用品等支出，本年无此项支出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科学技术支出（类）其他科学技术支出（款）其他科学技术支出（项）:</w:t>
      </w:r>
      <w:r>
        <w:rPr>
          <w:rFonts w:hint="eastAsia" w:ascii="仿宋_GB2312" w:hAnsi="仿宋_GB2312" w:eastAsia="仿宋_GB2312" w:cs="仿宋_GB2312"/>
          <w:sz w:val="32"/>
          <w:szCs w:val="32"/>
          <w:highlight w:val="none"/>
          <w:lang w:val="en-US" w:eastAsia="zh-CN"/>
        </w:rPr>
        <w:t>支出决算数</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val="en-US" w:eastAsia="zh-CN"/>
        </w:rPr>
        <w:t>决算减少9.44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下降100</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val="en-US" w:eastAsia="zh-CN"/>
        </w:rPr>
        <w:t>该项目2021年用于支付一键报警器、易信对讲机、视频监控运维、财政E线费用，本年无此项支出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卫生健康支出（类）公共卫生（款） 疾病预防控制机构（项）:</w:t>
      </w:r>
      <w:r>
        <w:rPr>
          <w:rFonts w:hint="eastAsia" w:ascii="仿宋_GB2312" w:hAnsi="仿宋_GB2312" w:eastAsia="仿宋_GB2312" w:cs="仿宋_GB2312"/>
          <w:sz w:val="32"/>
          <w:szCs w:val="32"/>
          <w:highlight w:val="none"/>
          <w:lang w:val="en-US" w:eastAsia="zh-CN"/>
        </w:rPr>
        <w:t>支出决算数</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val="en-US" w:eastAsia="zh-CN"/>
        </w:rPr>
        <w:t>决算减少28.97</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下降100</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val="en-US" w:eastAsia="zh-CN"/>
        </w:rPr>
        <w:t>该项目2021年用于支付防疫专员工资、社保、公积金，本年无此项项目。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城乡社区支出（类）城乡社区公共设施（款）其他城乡社区公共设施支出（项）:</w:t>
      </w:r>
      <w:r>
        <w:rPr>
          <w:rFonts w:hint="eastAsia" w:ascii="仿宋_GB2312" w:hAnsi="仿宋_GB2312" w:eastAsia="仿宋_GB2312" w:cs="仿宋_GB2312"/>
          <w:sz w:val="32"/>
          <w:szCs w:val="32"/>
          <w:highlight w:val="none"/>
          <w:lang w:val="en-US" w:eastAsia="zh-CN"/>
        </w:rPr>
        <w:t>支出决算数</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val="en-US" w:eastAsia="zh-CN"/>
        </w:rPr>
        <w:t>决算减少885.70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下降100</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val="en-US" w:eastAsia="zh-CN"/>
        </w:rPr>
        <w:t>该项目2021年用于支付临聘人员工资社保管理费，街道购买办公用品、征订报刊等费用，本年无此项支出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城乡社区支出（类）城乡社区环境卫生（款）城乡社区环境卫生（项）:</w:t>
      </w:r>
      <w:r>
        <w:rPr>
          <w:rFonts w:hint="eastAsia" w:ascii="仿宋_GB2312" w:hAnsi="仿宋_GB2312" w:eastAsia="仿宋_GB2312" w:cs="仿宋_GB2312"/>
          <w:sz w:val="32"/>
          <w:szCs w:val="32"/>
          <w:highlight w:val="none"/>
          <w:lang w:val="en-US" w:eastAsia="zh-CN"/>
        </w:rPr>
        <w:t>支出决算数</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val="en-US" w:eastAsia="zh-CN"/>
        </w:rPr>
        <w:t>决算减少67.46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下降100</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val="en-US" w:eastAsia="zh-CN"/>
        </w:rPr>
        <w:t>该项目为2020年城市基础设施维护项目，本年无此项支出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城乡社区支出（类）其他城乡社区支出（款）其他城乡社区支出（项）:</w:t>
      </w:r>
      <w:r>
        <w:rPr>
          <w:rFonts w:hint="eastAsia" w:ascii="仿宋_GB2312" w:hAnsi="仿宋_GB2312" w:eastAsia="仿宋_GB2312" w:cs="仿宋_GB2312"/>
          <w:sz w:val="32"/>
          <w:szCs w:val="32"/>
          <w:highlight w:val="none"/>
          <w:lang w:val="en-US" w:eastAsia="zh-CN"/>
        </w:rPr>
        <w:t>支出决算数</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val="en-US" w:eastAsia="zh-CN"/>
        </w:rPr>
        <w:t>决算减少2.80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下降100</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val="en-US" w:eastAsia="zh-CN"/>
        </w:rPr>
        <w:t>该项目2021年用于社区服务中心建设地形图测绘费用，本年无此项项目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w:t>
      </w:r>
      <w:r>
        <w:rPr>
          <w:rFonts w:hint="eastAsia" w:ascii="仿宋_GB2312" w:eastAsia="仿宋_GB2312"/>
          <w:sz w:val="32"/>
          <w:szCs w:val="32"/>
          <w:highlight w:val="none"/>
          <w:lang w:val="en-US" w:eastAsia="zh-CN"/>
        </w:rPr>
        <w:t>1691.26</w:t>
      </w:r>
      <w:r>
        <w:rPr>
          <w:rFonts w:hint="eastAsia" w:ascii="仿宋_GB2312" w:eastAsia="仿宋_GB2312"/>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人员经费1604.95万元，包括：基本工资、津贴补贴、奖 金、绩效工资、机关事业单位基本养老保险缴费、职工基本医疗保险缴费、公务员医疗补助缴费、其他社会保障缴费、住房公积金、其他工资福利支出、奖励金。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公用经费86.31万元，包括</w:t>
      </w:r>
      <w:r>
        <w:rPr>
          <w:rFonts w:hint="eastAsia" w:ascii="仿宋_GB2312" w:hAnsi="仿宋_GB2312" w:eastAsia="仿宋_GB2312" w:cs="Times New Roman"/>
          <w:w w:val="95"/>
          <w:kern w:val="2"/>
          <w:sz w:val="32"/>
          <w:szCs w:val="32"/>
          <w:highlight w:val="none"/>
          <w:lang w:val="en-US" w:eastAsia="zh-CN" w:bidi="ar-SA"/>
        </w:rPr>
        <w:t>：</w:t>
      </w:r>
      <w:r>
        <w:rPr>
          <w:rFonts w:ascii="仿宋_GB2312" w:hAnsi="仿宋_GB2312" w:eastAsia="仿宋_GB2312" w:cs="Times New Roman"/>
          <w:w w:val="95"/>
          <w:kern w:val="2"/>
          <w:sz w:val="32"/>
          <w:szCs w:val="32"/>
          <w:highlight w:val="none"/>
          <w:lang w:val="en-US" w:eastAsia="zh-CN" w:bidi="ar-SA"/>
        </w:rPr>
        <w:t>办公费、印刷费、水费、电费、邮电费、取暖费、</w:t>
      </w:r>
      <w:r>
        <w:rPr>
          <w:rFonts w:hint="eastAsia" w:ascii="仿宋_GB2312" w:hAnsi="仿宋_GB2312" w:eastAsia="仿宋_GB2312" w:cs="Times New Roman"/>
          <w:w w:val="95"/>
          <w:kern w:val="2"/>
          <w:sz w:val="32"/>
          <w:szCs w:val="32"/>
          <w:highlight w:val="none"/>
          <w:lang w:val="en-US" w:eastAsia="zh-CN" w:bidi="ar-SA"/>
        </w:rPr>
        <w:t>差旅费</w:t>
      </w:r>
      <w:r>
        <w:rPr>
          <w:rFonts w:ascii="仿宋_GB2312" w:hAnsi="仿宋_GB2312" w:eastAsia="仿宋_GB2312" w:cs="Times New Roman"/>
          <w:w w:val="95"/>
          <w:kern w:val="2"/>
          <w:sz w:val="32"/>
          <w:szCs w:val="32"/>
          <w:highlight w:val="none"/>
          <w:lang w:val="en-US" w:eastAsia="zh-CN" w:bidi="ar-SA"/>
        </w:rPr>
        <w:t>、劳务费、工会经费、其他交通费用、其他商品和服务支出。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lang w:val="en-US" w:eastAsia="zh-CN"/>
        </w:rPr>
      </w:pPr>
      <w:bookmarkStart w:id="20" w:name="_Toc21518"/>
      <w:bookmarkStart w:id="21" w:name="_Toc719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pStyle w:val="3"/>
        <w:keepNext w:val="0"/>
        <w:keepLines w:val="0"/>
        <w:pageBreakBefore w:val="0"/>
        <w:kinsoku/>
        <w:wordWrap/>
        <w:overflowPunct/>
        <w:topLinePunct w:val="0"/>
        <w:bidi w:val="0"/>
        <w:adjustRightInd/>
        <w:snapToGrid/>
        <w:spacing w:before="181" w:line="560" w:lineRule="exact"/>
        <w:ind w:right="258" w:firstLine="640"/>
        <w:jc w:val="both"/>
        <w:rPr>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default" w:ascii="Times New Roman" w:hAnsi="Times New Roman" w:eastAsia="Times New Roman" w:cs="Times New Roman"/>
          <w:highlight w:val="none"/>
        </w:rPr>
        <w:t>“</w:t>
      </w:r>
      <w:r>
        <w:rPr>
          <w:highlight w:val="none"/>
        </w:rPr>
        <w:t>三公</w:t>
      </w:r>
      <w:r>
        <w:rPr>
          <w:rFonts w:hint="default" w:ascii="Times New Roman" w:hAnsi="Times New Roman" w:eastAsia="Times New Roman" w:cs="Times New Roman"/>
          <w:highlight w:val="none"/>
        </w:rPr>
        <w:t>”</w:t>
      </w:r>
      <w:r>
        <w:rPr>
          <w:highlight w:val="none"/>
        </w:rPr>
        <w:t>经费支出决算0.00万元，比</w:t>
      </w:r>
      <w:r>
        <w:rPr>
          <w:w w:val="99"/>
          <w:highlight w:val="none"/>
        </w:rPr>
        <w:t xml:space="preserve"> </w:t>
      </w:r>
      <w:r>
        <w:rPr>
          <w:spacing w:val="-5"/>
          <w:w w:val="95"/>
          <w:highlight w:val="none"/>
        </w:rPr>
        <w:t>上年增加0.00万元，增长0.00%，主要原因是：本年单位无</w:t>
      </w:r>
      <w:r>
        <w:rPr>
          <w:rFonts w:hint="default" w:ascii="Times New Roman" w:hAnsi="Times New Roman" w:eastAsia="Times New Roman" w:cs="Times New Roman"/>
          <w:highlight w:val="none"/>
        </w:rPr>
        <w:t>“</w:t>
      </w:r>
      <w:r>
        <w:rPr>
          <w:highlight w:val="none"/>
        </w:rPr>
        <w:t>三公</w:t>
      </w:r>
      <w:r>
        <w:rPr>
          <w:rFonts w:hint="default" w:ascii="Times New Roman" w:hAnsi="Times New Roman" w:eastAsia="Times New Roman" w:cs="Times New Roman"/>
          <w:highlight w:val="none"/>
        </w:rPr>
        <w:t>”</w:t>
      </w:r>
      <w:r>
        <w:rPr>
          <w:highlight w:val="none"/>
        </w:rPr>
        <w:t>经费</w:t>
      </w:r>
      <w:r>
        <w:rPr>
          <w:spacing w:val="-5"/>
          <w:w w:val="95"/>
          <w:highlight w:val="none"/>
        </w:rPr>
        <w:t>支出。其中：因公出国（境）费支出0.00万元，占0.00%，比上年增加0.00万元，增长0.00%，主要原因是：本年单位无因公出</w:t>
      </w:r>
      <w:r>
        <w:rPr>
          <w:w w:val="95"/>
          <w:highlight w:val="none"/>
        </w:rPr>
        <w:t>国（境）费支出；公务用车购置及运行维护费支出0.00万元，占0.00%，比上年增加0.00万元，增长0.00%，主要原因是：本</w:t>
      </w:r>
      <w:r>
        <w:rPr>
          <w:spacing w:val="-5"/>
          <w:w w:val="95"/>
          <w:highlight w:val="none"/>
        </w:rPr>
        <w:t>年单位无</w:t>
      </w:r>
      <w:r>
        <w:rPr>
          <w:w w:val="95"/>
          <w:highlight w:val="none"/>
        </w:rPr>
        <w:t>公务用车购置及运行维护费</w:t>
      </w:r>
      <w:r>
        <w:rPr>
          <w:spacing w:val="-5"/>
          <w:w w:val="95"/>
          <w:highlight w:val="none"/>
        </w:rPr>
        <w:t>支出；公务接待费支出0.00万元，占0.00%，比上年增加0.00万元，增长0.00%，主要原因是：本年单位无公务接待费支</w:t>
      </w:r>
      <w:r>
        <w:rPr>
          <w:highlight w:val="none"/>
        </w:rPr>
        <w:t>出。具体情况如下：</w:t>
      </w:r>
    </w:p>
    <w:p>
      <w:pPr>
        <w:pStyle w:val="3"/>
        <w:keepNext w:val="0"/>
        <w:keepLines w:val="0"/>
        <w:pageBreakBefore w:val="0"/>
        <w:kinsoku/>
        <w:wordWrap/>
        <w:overflowPunct/>
        <w:topLinePunct w:val="0"/>
        <w:bidi w:val="0"/>
        <w:adjustRightInd/>
        <w:snapToGrid/>
        <w:spacing w:before="51" w:line="560" w:lineRule="exact"/>
        <w:ind w:right="258" w:firstLine="640"/>
        <w:jc w:val="both"/>
        <w:rPr>
          <w:highlight w:val="none"/>
        </w:rPr>
      </w:pPr>
      <w:r>
        <w:rPr>
          <w:w w:val="95"/>
          <w:highlight w:val="none"/>
        </w:rPr>
        <w:t>因公出国（境）费支出0.00万元，开支内容包括本年单位无因公出国（境）费支出。单位全年安排的因公出国（境）团</w:t>
      </w:r>
      <w:r>
        <w:rPr>
          <w:highlight w:val="none"/>
        </w:rPr>
        <w:t>组0个，因公出国（境）0人次。</w:t>
      </w:r>
    </w:p>
    <w:p>
      <w:pPr>
        <w:pStyle w:val="3"/>
        <w:keepNext w:val="0"/>
        <w:keepLines w:val="0"/>
        <w:pageBreakBefore w:val="0"/>
        <w:kinsoku/>
        <w:wordWrap/>
        <w:overflowPunct/>
        <w:topLinePunct w:val="0"/>
        <w:bidi w:val="0"/>
        <w:adjustRightInd/>
        <w:snapToGrid/>
        <w:spacing w:before="48" w:line="560" w:lineRule="exact"/>
        <w:ind w:right="258" w:firstLine="640"/>
        <w:jc w:val="both"/>
        <w:rPr>
          <w:highlight w:val="none"/>
        </w:rPr>
      </w:pPr>
      <w:r>
        <w:rPr>
          <w:w w:val="95"/>
          <w:highlight w:val="none"/>
        </w:rPr>
        <w:t>公务用车购置及运行维护费0.00万元，其中：公务用车购置费0.00万元，公务用车运行维护费0.00万元。公务用车运行</w:t>
      </w:r>
      <w:r>
        <w:rPr>
          <w:spacing w:val="6"/>
          <w:w w:val="95"/>
          <w:highlight w:val="none"/>
        </w:rPr>
        <w:t>维护费开支内容包括本年单位无此项支出。公务用车购置数0</w:t>
      </w:r>
      <w:r>
        <w:rPr>
          <w:spacing w:val="101"/>
          <w:w w:val="95"/>
          <w:highlight w:val="none"/>
        </w:rPr>
        <w:t xml:space="preserve"> </w:t>
      </w:r>
      <w:r>
        <w:rPr>
          <w:highlight w:val="none"/>
        </w:rPr>
        <w:t>辆，公务用车保有量0辆。</w:t>
      </w:r>
    </w:p>
    <w:p>
      <w:pPr>
        <w:pStyle w:val="3"/>
        <w:keepNext w:val="0"/>
        <w:keepLines w:val="0"/>
        <w:pageBreakBefore w:val="0"/>
        <w:kinsoku/>
        <w:wordWrap/>
        <w:overflowPunct/>
        <w:topLinePunct w:val="0"/>
        <w:bidi w:val="0"/>
        <w:adjustRightInd/>
        <w:snapToGrid/>
        <w:spacing w:before="48" w:line="560" w:lineRule="exact"/>
        <w:ind w:right="88" w:firstLine="640"/>
        <w:jc w:val="left"/>
        <w:rPr>
          <w:highlight w:val="none"/>
        </w:rPr>
      </w:pPr>
      <w:r>
        <w:rPr>
          <w:spacing w:val="-6"/>
          <w:w w:val="99"/>
          <w:highlight w:val="none"/>
        </w:rPr>
        <w:t>公务接待费0.00万元，开支内容包括本年单位无此项支出。</w:t>
      </w:r>
      <w:r>
        <w:rPr>
          <w:w w:val="99"/>
          <w:highlight w:val="none"/>
        </w:rPr>
        <w:t xml:space="preserve"> </w:t>
      </w:r>
      <w:r>
        <w:rPr>
          <w:highlight w:val="none"/>
        </w:rPr>
        <w:t>单位全年安排的国内公务接待0批次，0人次。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仿宋_GB2312" w:hAnsi="仿宋_GB2312" w:eastAsia="仿宋_GB2312" w:cs="Times New Roman"/>
          <w:kern w:val="2"/>
          <w:sz w:val="32"/>
          <w:szCs w:val="32"/>
          <w:highlight w:val="none"/>
          <w:lang w:val="en-US" w:eastAsia="zh-CN" w:bidi="ar-SA"/>
        </w:rPr>
      </w:pPr>
      <w:r>
        <w:rPr>
          <w:rFonts w:ascii="仿宋_GB2312" w:hAnsi="仿宋_GB2312" w:eastAsia="仿宋_GB2312" w:cs="Times New Roman"/>
          <w:kern w:val="2"/>
          <w:sz w:val="32"/>
          <w:szCs w:val="32"/>
          <w:highlight w:val="none"/>
          <w:lang w:val="en-US" w:eastAsia="zh-CN" w:bidi="ar-SA"/>
        </w:rPr>
        <w:t>与年初预算数相比情况:</w:t>
      </w:r>
      <w:r>
        <w:rPr>
          <w:rFonts w:hint="default" w:ascii="仿宋_GB2312" w:hAnsi="仿宋_GB2312" w:eastAsia="仿宋_GB2312" w:cs="Times New Roman"/>
          <w:kern w:val="2"/>
          <w:sz w:val="32"/>
          <w:szCs w:val="32"/>
          <w:highlight w:val="none"/>
          <w:lang w:val="en-US" w:eastAsia="zh-CN" w:bidi="ar-SA"/>
        </w:rPr>
        <w:t>“</w:t>
      </w:r>
      <w:r>
        <w:rPr>
          <w:rFonts w:ascii="仿宋_GB2312" w:hAnsi="仿宋_GB2312" w:eastAsia="仿宋_GB2312" w:cs="Times New Roman"/>
          <w:kern w:val="2"/>
          <w:sz w:val="32"/>
          <w:szCs w:val="32"/>
          <w:highlight w:val="none"/>
          <w:lang w:val="en-US" w:eastAsia="zh-CN" w:bidi="ar-SA"/>
        </w:rPr>
        <w:t>三公</w:t>
      </w:r>
      <w:r>
        <w:rPr>
          <w:rFonts w:hint="default" w:ascii="仿宋_GB2312" w:hAnsi="仿宋_GB2312" w:eastAsia="仿宋_GB2312" w:cs="Times New Roman"/>
          <w:kern w:val="2"/>
          <w:sz w:val="32"/>
          <w:szCs w:val="32"/>
          <w:highlight w:val="none"/>
          <w:lang w:val="en-US" w:eastAsia="zh-CN" w:bidi="ar-SA"/>
        </w:rPr>
        <w:t>”</w:t>
      </w:r>
      <w:r>
        <w:rPr>
          <w:rFonts w:ascii="仿宋_GB2312" w:hAnsi="仿宋_GB2312" w:eastAsia="仿宋_GB2312" w:cs="Times New Roman"/>
          <w:kern w:val="2"/>
          <w:sz w:val="32"/>
          <w:szCs w:val="32"/>
          <w:highlight w:val="none"/>
          <w:lang w:val="en-US" w:eastAsia="zh-CN" w:bidi="ar-SA"/>
        </w:rPr>
        <w:t>经费支出</w:t>
      </w:r>
      <w:r>
        <w:rPr>
          <w:rFonts w:hint="eastAsia" w:ascii="仿宋_GB2312" w:hAnsi="仿宋_GB2312" w:eastAsia="仿宋_GB2312" w:cs="Times New Roman"/>
          <w:kern w:val="2"/>
          <w:sz w:val="32"/>
          <w:szCs w:val="32"/>
          <w:highlight w:val="none"/>
          <w:lang w:val="en-US" w:eastAsia="zh-CN" w:bidi="ar-SA"/>
        </w:rPr>
        <w:t>全年</w:t>
      </w:r>
      <w:r>
        <w:rPr>
          <w:rFonts w:ascii="仿宋_GB2312" w:hAnsi="仿宋_GB2312" w:eastAsia="仿宋_GB2312" w:cs="Times New Roman"/>
          <w:kern w:val="2"/>
          <w:sz w:val="32"/>
          <w:szCs w:val="32"/>
          <w:highlight w:val="none"/>
          <w:lang w:val="en-US" w:eastAsia="zh-CN" w:bidi="ar-SA"/>
        </w:rPr>
        <w:t>预算数</w:t>
      </w:r>
      <w:r>
        <w:rPr>
          <w:rFonts w:hint="eastAsia" w:ascii="仿宋_GB2312" w:hAnsi="仿宋_GB2312" w:eastAsia="仿宋_GB2312" w:cs="Times New Roman"/>
          <w:kern w:val="2"/>
          <w:sz w:val="32"/>
          <w:szCs w:val="32"/>
          <w:highlight w:val="none"/>
          <w:lang w:val="en-US" w:eastAsia="zh-CN" w:bidi="ar-SA"/>
        </w:rPr>
        <w:t>4.54</w:t>
      </w:r>
      <w:r>
        <w:rPr>
          <w:rFonts w:ascii="仿宋_GB2312" w:hAnsi="仿宋_GB2312" w:eastAsia="仿宋_GB2312" w:cs="Times New Roman"/>
          <w:kern w:val="2"/>
          <w:sz w:val="32"/>
          <w:szCs w:val="32"/>
          <w:highlight w:val="none"/>
          <w:lang w:val="en-US" w:eastAsia="zh-CN" w:bidi="ar-SA"/>
        </w:rPr>
        <w:t>万元，决算数0.00万元，预决算差异率-100.00%，主要原因是：本年单位无此项支出。其中：因公出国（境）费预算数0.00万元，决算数0.00万元，预决算差异率0.00%，主要原因是：本年单位无因公出国（境）费支出；公务用车购置费预算数0.00万元，决算数0.00万元，预决算差异率0.00%，主要原因是：本年单位无此项支出；公务用车运行费</w:t>
      </w:r>
      <w:r>
        <w:rPr>
          <w:rFonts w:hint="eastAsia" w:ascii="仿宋_GB2312" w:hAnsi="仿宋_GB2312" w:eastAsia="仿宋_GB2312" w:cs="Times New Roman"/>
          <w:kern w:val="2"/>
          <w:sz w:val="32"/>
          <w:szCs w:val="32"/>
          <w:highlight w:val="none"/>
          <w:lang w:val="en-US" w:eastAsia="zh-CN" w:bidi="ar-SA"/>
        </w:rPr>
        <w:t>全年</w:t>
      </w:r>
      <w:r>
        <w:rPr>
          <w:rFonts w:ascii="仿宋_GB2312" w:hAnsi="仿宋_GB2312" w:eastAsia="仿宋_GB2312" w:cs="Times New Roman"/>
          <w:kern w:val="2"/>
          <w:sz w:val="32"/>
          <w:szCs w:val="32"/>
          <w:highlight w:val="none"/>
          <w:lang w:val="en-US" w:eastAsia="zh-CN" w:bidi="ar-SA"/>
        </w:rPr>
        <w:t>预算数</w:t>
      </w:r>
      <w:r>
        <w:rPr>
          <w:rFonts w:hint="eastAsia" w:ascii="仿宋_GB2312" w:hAnsi="仿宋_GB2312" w:eastAsia="仿宋_GB2312" w:cs="Times New Roman"/>
          <w:kern w:val="2"/>
          <w:sz w:val="32"/>
          <w:szCs w:val="32"/>
          <w:highlight w:val="none"/>
          <w:lang w:val="en-US" w:eastAsia="zh-CN" w:bidi="ar-SA"/>
        </w:rPr>
        <w:t>4.46</w:t>
      </w:r>
      <w:r>
        <w:rPr>
          <w:rFonts w:ascii="仿宋_GB2312" w:hAnsi="仿宋_GB2312" w:eastAsia="仿宋_GB2312" w:cs="Times New Roman"/>
          <w:kern w:val="2"/>
          <w:sz w:val="32"/>
          <w:szCs w:val="32"/>
          <w:highlight w:val="none"/>
          <w:lang w:val="en-US" w:eastAsia="zh-CN" w:bidi="ar-SA"/>
        </w:rPr>
        <w:t>万元，决算数0.00万元，预决算差异率</w:t>
      </w:r>
      <w:r>
        <w:rPr>
          <w:rFonts w:hint="eastAsia" w:ascii="仿宋_GB2312" w:hAnsi="仿宋_GB2312" w:eastAsia="仿宋_GB2312" w:cs="Times New Roman"/>
          <w:kern w:val="2"/>
          <w:sz w:val="32"/>
          <w:szCs w:val="32"/>
          <w:highlight w:val="none"/>
          <w:lang w:val="en-US" w:eastAsia="zh-CN" w:bidi="ar-SA"/>
        </w:rPr>
        <w:t>-100</w:t>
      </w:r>
      <w:r>
        <w:rPr>
          <w:rFonts w:ascii="仿宋_GB2312" w:hAnsi="仿宋_GB2312" w:eastAsia="仿宋_GB2312" w:cs="Times New Roman"/>
          <w:kern w:val="2"/>
          <w:sz w:val="32"/>
          <w:szCs w:val="32"/>
          <w:highlight w:val="none"/>
          <w:lang w:val="en-US" w:eastAsia="zh-CN" w:bidi="ar-SA"/>
        </w:rPr>
        <w:t>%，主要原因是：本年单位无此项支出；公务接待费预算数</w:t>
      </w:r>
      <w:r>
        <w:rPr>
          <w:rFonts w:hint="eastAsia" w:ascii="仿宋_GB2312" w:hAnsi="仿宋_GB2312" w:eastAsia="仿宋_GB2312" w:cs="Times New Roman"/>
          <w:kern w:val="2"/>
          <w:sz w:val="32"/>
          <w:szCs w:val="32"/>
          <w:highlight w:val="none"/>
          <w:lang w:val="en-US" w:eastAsia="zh-CN" w:bidi="ar-SA"/>
        </w:rPr>
        <w:t>0.08</w:t>
      </w:r>
      <w:r>
        <w:rPr>
          <w:rFonts w:ascii="仿宋_GB2312" w:hAnsi="仿宋_GB2312" w:eastAsia="仿宋_GB2312" w:cs="Times New Roman"/>
          <w:kern w:val="2"/>
          <w:sz w:val="32"/>
          <w:szCs w:val="32"/>
          <w:highlight w:val="none"/>
          <w:lang w:val="en-US" w:eastAsia="zh-CN" w:bidi="ar-SA"/>
        </w:rPr>
        <w:t>万元，决算数0.00万元，预决算差异率-100.00%，主要原因是：本年单位无此项支出。</w:t>
      </w:r>
      <w:bookmarkStart w:id="22" w:name="_Toc5810"/>
      <w:bookmarkStart w:id="23" w:name="_Toc79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Times New Roman"/>
          <w:spacing w:val="6"/>
          <w:w w:val="95"/>
          <w:kern w:val="2"/>
          <w:sz w:val="32"/>
          <w:szCs w:val="32"/>
          <w:highlight w:val="none"/>
          <w:lang w:val="en-US" w:eastAsia="zh-CN" w:bidi="ar-SA"/>
        </w:rPr>
      </w:pPr>
      <w:r>
        <w:rPr>
          <w:rFonts w:hint="eastAsia" w:ascii="仿宋_GB2312" w:hAnsi="仿宋_GB2312" w:eastAsia="仿宋_GB2312" w:cs="Times New Roman"/>
          <w:spacing w:val="6"/>
          <w:w w:val="95"/>
          <w:kern w:val="2"/>
          <w:sz w:val="32"/>
          <w:szCs w:val="32"/>
          <w:highlight w:val="none"/>
          <w:lang w:val="en-US" w:eastAsia="zh-CN" w:bidi="ar-SA"/>
        </w:rPr>
        <w:t>我单位本年度无政府性基金预算财政拨款收入、支出及结转和结余，政府性基金预算财政拨款收入支出决算表为空表。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Times New Roman"/>
          <w:spacing w:val="6"/>
          <w:w w:val="95"/>
          <w:kern w:val="2"/>
          <w:sz w:val="32"/>
          <w:szCs w:val="32"/>
          <w:highlight w:val="none"/>
          <w:lang w:val="en-US" w:eastAsia="zh-CN" w:bidi="ar-SA"/>
        </w:rPr>
      </w:pPr>
      <w:r>
        <w:rPr>
          <w:rFonts w:hint="eastAsia" w:ascii="仿宋_GB2312" w:hAnsi="仿宋_GB2312" w:eastAsia="仿宋_GB2312" w:cs="Times New Roman"/>
          <w:spacing w:val="6"/>
          <w:w w:val="95"/>
          <w:kern w:val="2"/>
          <w:sz w:val="32"/>
          <w:szCs w:val="32"/>
          <w:highlight w:val="none"/>
          <w:lang w:val="en-US" w:eastAsia="zh-CN" w:bidi="ar-SA"/>
        </w:rPr>
        <w:t>我单位本年度无国有资本经营预算财政拨款收入、支出及结转和结余，国有资本经营预算财政拨款收入支出决算表为空表。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7314"/>
      <w:bookmarkStart w:id="25" w:name="_Toc12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sz w:val="32"/>
          <w:szCs w:val="32"/>
          <w:highlight w:val="none"/>
        </w:rPr>
      </w:pPr>
      <w:bookmarkStart w:id="26" w:name="_Toc14519"/>
      <w:bookmarkStart w:id="27" w:name="_Toc13105"/>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2022年度乌鲁木齐市水磨沟区河马泉片区管理委员会单位机关运行经费支出86.31万元，比上年减少19.17万元，减少18.17%，主要原因是：受防疫影响，办公费、其他交通费等费用未及时支付。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lang w:eastAsia="zh-CN"/>
        </w:rPr>
      </w:pPr>
      <w:bookmarkStart w:id="28" w:name="_Toc227"/>
      <w:bookmarkStart w:id="29" w:name="_Toc26704"/>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134.92</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7.43</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127.49</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黑体" w:hAnsi="黑体" w:eastAsia="黑体"/>
          <w:sz w:val="32"/>
          <w:szCs w:val="32"/>
          <w:highlight w:val="none"/>
          <w:lang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134.92</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134.92</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w:t>
      </w:r>
      <w:bookmarkStart w:id="30" w:name="_Toc4591"/>
      <w:bookmarkStart w:id="31" w:name="_Toc839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（三）国有资产占用情况说明</w:t>
      </w:r>
      <w:bookmarkEnd w:id="30"/>
      <w:bookmarkEnd w:id="31"/>
    </w:p>
    <w:p>
      <w:pPr>
        <w:pStyle w:val="3"/>
        <w:keepNext w:val="0"/>
        <w:keepLines w:val="0"/>
        <w:pageBreakBefore w:val="0"/>
        <w:widowControl w:val="0"/>
        <w:kinsoku/>
        <w:wordWrap/>
        <w:overflowPunct/>
        <w:topLinePunct w:val="0"/>
        <w:autoSpaceDE/>
        <w:autoSpaceDN/>
        <w:bidi w:val="0"/>
        <w:adjustRightInd/>
        <w:snapToGrid w:val="0"/>
        <w:spacing w:before="0" w:line="560" w:lineRule="exact"/>
        <w:ind w:left="102" w:right="91" w:firstLine="641"/>
        <w:jc w:val="left"/>
        <w:textAlignment w:val="auto"/>
        <w:rPr>
          <w:highlight w:val="none"/>
        </w:rPr>
      </w:pPr>
      <w:bookmarkStart w:id="32" w:name="_Toc435"/>
      <w:bookmarkStart w:id="33" w:name="_Toc11283"/>
      <w:r>
        <w:rPr>
          <w:highlight w:val="none"/>
        </w:rPr>
        <w:t>截止202</w:t>
      </w:r>
      <w:r>
        <w:rPr>
          <w:rFonts w:hint="eastAsia"/>
          <w:highlight w:val="none"/>
          <w:lang w:val="en-US" w:eastAsia="zh-CN"/>
        </w:rPr>
        <w:t>2</w:t>
      </w:r>
      <w:r>
        <w:rPr>
          <w:highlight w:val="none"/>
        </w:rPr>
        <w:t>年12月31日，单位共有房屋665.34（平方米），</w:t>
      </w:r>
      <w:r>
        <w:rPr>
          <w:w w:val="99"/>
          <w:highlight w:val="none"/>
        </w:rPr>
        <w:t xml:space="preserve"> </w:t>
      </w:r>
      <w:r>
        <w:rPr>
          <w:rFonts w:hint="eastAsia" w:ascii="仿宋_GB2312" w:eastAsia="仿宋_GB2312"/>
          <w:spacing w:val="0"/>
          <w:sz w:val="32"/>
          <w:szCs w:val="32"/>
          <w:highlight w:val="none"/>
          <w:lang w:val="en-US" w:eastAsia="zh-CN"/>
        </w:rPr>
        <w:t>固定资产原值325.91</w:t>
      </w:r>
      <w:r>
        <w:rPr>
          <w:rFonts w:hint="eastAsia" w:ascii="仿宋_GB2312" w:eastAsia="仿宋_GB2312"/>
          <w:sz w:val="32"/>
          <w:szCs w:val="32"/>
          <w:highlight w:val="none"/>
          <w:lang w:val="en-US" w:eastAsia="zh-CN"/>
        </w:rPr>
        <w:t>万元，</w:t>
      </w:r>
      <w:r>
        <w:rPr>
          <w:w w:val="95"/>
          <w:highlight w:val="none"/>
        </w:rPr>
        <w:t>价值266.14万元。车辆0辆，价值0.00万元，其中：副部（省）</w:t>
      </w:r>
      <w:r>
        <w:rPr>
          <w:spacing w:val="-5"/>
          <w:highlight w:val="none"/>
        </w:rPr>
        <w:t>级及以上领导用车0辆、主要领导干部用车0辆、机要通信用车0</w:t>
      </w:r>
      <w:r>
        <w:rPr>
          <w:w w:val="99"/>
          <w:highlight w:val="none"/>
        </w:rPr>
        <w:t xml:space="preserve"> </w:t>
      </w:r>
      <w:r>
        <w:rPr>
          <w:spacing w:val="-6"/>
          <w:highlight w:val="none"/>
        </w:rPr>
        <w:t>辆、应急保障用车0辆、执法执勤用车0辆、特种专业技术用车0</w:t>
      </w:r>
      <w:r>
        <w:rPr>
          <w:spacing w:val="-157"/>
          <w:highlight w:val="none"/>
        </w:rPr>
        <w:t xml:space="preserve"> </w:t>
      </w:r>
      <w:r>
        <w:rPr>
          <w:highlight w:val="none"/>
        </w:rPr>
        <w:t>辆、离退休干部用车0辆、其他用车0辆，其他用车主要是：单</w:t>
      </w:r>
      <w:r>
        <w:rPr>
          <w:spacing w:val="-6"/>
          <w:highlight w:val="none"/>
        </w:rPr>
        <w:t>位无其他车辆；单位价值50万元以上通用设备0台（套）、单位</w:t>
      </w:r>
      <w:r>
        <w:rPr>
          <w:w w:val="99"/>
          <w:highlight w:val="none"/>
        </w:rPr>
        <w:t xml:space="preserve"> </w:t>
      </w:r>
      <w:r>
        <w:rPr>
          <w:highlight w:val="none"/>
        </w:rPr>
        <w:t>价值100万元以上专用设备0台（套）。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2"/>
      <w:bookmarkEnd w:id="33"/>
    </w:p>
    <w:p>
      <w:pPr>
        <w:pStyle w:val="3"/>
        <w:keepNext w:val="0"/>
        <w:keepLines w:val="0"/>
        <w:pageBreakBefore w:val="0"/>
        <w:widowControl w:val="0"/>
        <w:kinsoku/>
        <w:wordWrap/>
        <w:overflowPunct/>
        <w:topLinePunct w:val="0"/>
        <w:autoSpaceDE/>
        <w:autoSpaceDN/>
        <w:bidi w:val="0"/>
        <w:adjustRightInd/>
        <w:snapToGrid w:val="0"/>
        <w:spacing w:line="560" w:lineRule="exact"/>
        <w:ind w:right="88" w:firstLine="640"/>
        <w:jc w:val="left"/>
        <w:textAlignment w:val="auto"/>
        <w:rPr>
          <w:rFonts w:hint="eastAsia"/>
          <w:spacing w:val="-6"/>
          <w:highlight w:val="none"/>
        </w:rPr>
      </w:pPr>
      <w:r>
        <w:rPr>
          <w:rFonts w:hint="eastAsia"/>
          <w:spacing w:val="-6"/>
          <w:highlight w:val="none"/>
          <w:lang w:eastAsia="zh-CN"/>
        </w:rPr>
        <w:t>根据预算绩效管理要求，我单位</w:t>
      </w:r>
      <w:r>
        <w:rPr>
          <w:rFonts w:hint="eastAsia"/>
          <w:spacing w:val="-6"/>
          <w:highlight w:val="none"/>
          <w:lang w:val="en-US" w:eastAsia="zh-CN"/>
        </w:rPr>
        <w:t>2022</w:t>
      </w:r>
      <w:r>
        <w:rPr>
          <w:rFonts w:hint="eastAsia"/>
          <w:spacing w:val="-6"/>
          <w:highlight w:val="none"/>
          <w:lang w:eastAsia="zh-CN"/>
        </w:rPr>
        <w:t>年度开展预算绩效评价项目</w:t>
      </w:r>
      <w:r>
        <w:rPr>
          <w:rFonts w:hint="eastAsia"/>
          <w:spacing w:val="-6"/>
          <w:highlight w:val="none"/>
          <w:lang w:val="en-US" w:eastAsia="zh-CN"/>
        </w:rPr>
        <w:t>4</w:t>
      </w:r>
      <w:r>
        <w:rPr>
          <w:rFonts w:hint="eastAsia"/>
          <w:spacing w:val="-6"/>
          <w:highlight w:val="none"/>
          <w:lang w:eastAsia="zh-CN"/>
        </w:rPr>
        <w:t>个，</w:t>
      </w:r>
      <w:r>
        <w:rPr>
          <w:rFonts w:hint="eastAsia"/>
          <w:spacing w:val="-6"/>
          <w:highlight w:val="none"/>
          <w:lang w:val="en-US" w:eastAsia="zh-CN"/>
        </w:rPr>
        <w:t>全年预算数44.10</w:t>
      </w:r>
      <w:r>
        <w:rPr>
          <w:rFonts w:hint="eastAsia"/>
          <w:spacing w:val="-6"/>
          <w:highlight w:val="none"/>
        </w:rPr>
        <w:t>万</w:t>
      </w:r>
      <w:r>
        <w:rPr>
          <w:rFonts w:hint="eastAsia"/>
          <w:spacing w:val="-6"/>
          <w:highlight w:val="none"/>
        </w:rPr>
        <w:t>元</w:t>
      </w:r>
      <w:r>
        <w:rPr>
          <w:rFonts w:hint="eastAsia"/>
          <w:spacing w:val="-6"/>
          <w:highlight w:val="none"/>
          <w:lang w:eastAsia="zh-CN"/>
        </w:rPr>
        <w:t>，</w:t>
      </w:r>
      <w:r>
        <w:rPr>
          <w:rFonts w:hint="eastAsia"/>
          <w:spacing w:val="-6"/>
          <w:highlight w:val="none"/>
          <w:lang w:val="en-US" w:eastAsia="zh-CN"/>
        </w:rPr>
        <w:t>全年执行数44.10</w:t>
      </w:r>
      <w:bookmarkStart w:id="54" w:name="_GoBack"/>
      <w:bookmarkEnd w:id="54"/>
      <w:r>
        <w:rPr>
          <w:rFonts w:hint="eastAsia"/>
          <w:spacing w:val="-6"/>
          <w:highlight w:val="none"/>
        </w:rPr>
        <w:t>万元</w:t>
      </w:r>
      <w:r>
        <w:rPr>
          <w:rFonts w:hint="eastAsia"/>
          <w:spacing w:val="-6"/>
          <w:highlight w:val="none"/>
          <w:lang w:eastAsia="zh-CN"/>
        </w:rPr>
        <w:t>。</w:t>
      </w:r>
      <w:r>
        <w:rPr>
          <w:spacing w:val="-6"/>
          <w:highlight w:val="none"/>
        </w:rPr>
        <w:t>预算绩效管理取得的成效：一是调动工作人员积极性，更高效服务于居民，维护辖区和谐稳定发展；二是各项目资金到位及时，项目及时完成率、补助发放完全率、重点工作办结率良好，均达到95%以上。发现</w:t>
      </w:r>
      <w:r>
        <w:rPr>
          <w:rFonts w:hint="eastAsia"/>
          <w:spacing w:val="-6"/>
          <w:highlight w:val="none"/>
        </w:rPr>
        <w:t>的问题及原因：一是思想认识还需进一步提高，关于指标的考核项目，各科室、社区不主动及时的与财务人员沟通取得财务数据，对项目进度不清楚；二是绩效管理方式和手段有待加强。 在实际工作中，被考评部门与绩效考评部门职责不清，绩效管 理运行机制不健全，形成先天不足的状况。下一步改进措施：一是强化宣传，提高认识。大力加强教育宣传工作力度，树立绩效管理理念，广泛宣传绩效管理的重大意义和主要措施；二是管委会将执行现行管理模式，严格把关，加强各科室、社区 财务管理，确保各项资金使用到位，更好调动工作人员的工作 积极性、主动性。</w:t>
      </w:r>
      <w:r>
        <w:rPr>
          <w:rFonts w:hint="eastAsia"/>
          <w:spacing w:val="-6"/>
          <w:highlight w:val="none"/>
          <w:lang w:eastAsia="zh-CN"/>
        </w:rPr>
        <w:t>具体</w:t>
      </w:r>
      <w:r>
        <w:rPr>
          <w:rFonts w:hint="eastAsia"/>
          <w:spacing w:val="-6"/>
          <w:highlight w:val="none"/>
        </w:rPr>
        <w:t>项目自评情况附项目支出绩效自评表。</w:t>
      </w:r>
    </w:p>
    <w:p>
      <w:pPr>
        <w:pStyle w:val="3"/>
        <w:keepNext w:val="0"/>
        <w:keepLines w:val="0"/>
        <w:pageBreakBefore w:val="0"/>
        <w:kinsoku/>
        <w:wordWrap/>
        <w:overflowPunct/>
        <w:topLinePunct w:val="0"/>
        <w:bidi w:val="0"/>
        <w:adjustRightInd/>
        <w:snapToGrid/>
        <w:spacing w:line="560" w:lineRule="exact"/>
        <w:ind w:left="0" w:leftChars="0" w:right="88" w:firstLine="0" w:firstLineChars="0"/>
        <w:jc w:val="left"/>
        <w:rPr>
          <w:rFonts w:hint="eastAsia"/>
          <w:spacing w:val="-6"/>
          <w:highlight w:val="none"/>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0"/>
        <w:gridCol w:w="616"/>
        <w:gridCol w:w="1044"/>
        <w:gridCol w:w="1045"/>
        <w:gridCol w:w="973"/>
        <w:gridCol w:w="377"/>
        <w:gridCol w:w="793"/>
        <w:gridCol w:w="816"/>
        <w:gridCol w:w="344"/>
        <w:gridCol w:w="269"/>
        <w:gridCol w:w="468"/>
        <w:gridCol w:w="589"/>
        <w:gridCol w:w="424"/>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216" w:type="dxa"/>
            <w:gridSpan w:val="14"/>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16" w:type="dxa"/>
            <w:gridSpan w:val="14"/>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1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803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社区经费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主管部门</w:t>
            </w:r>
          </w:p>
        </w:tc>
        <w:tc>
          <w:tcPr>
            <w:tcW w:w="423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乌鲁木齐市水磨沟区河马泉片区管理委员会</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实施单位</w:t>
            </w:r>
          </w:p>
        </w:tc>
        <w:tc>
          <w:tcPr>
            <w:tcW w:w="26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乌鲁木齐市水磨沟区河马泉片区管理委员会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8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项目资金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（万元）</w:t>
            </w:r>
          </w:p>
        </w:tc>
        <w:tc>
          <w:tcPr>
            <w:tcW w:w="20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全年预算数</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全年执行数</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分值</w:t>
            </w:r>
          </w:p>
        </w:tc>
        <w:tc>
          <w:tcPr>
            <w:tcW w:w="10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执行率</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18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年度资金总额</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0.62</w:t>
            </w: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0.62</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0.62</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100.00%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8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其中：当年财政拨款</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0.62</w:t>
            </w: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0.62</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0.62</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8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上年结转资金</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8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其他资金</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年度总体目标</w:t>
            </w:r>
          </w:p>
        </w:tc>
        <w:tc>
          <w:tcPr>
            <w:tcW w:w="484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预期目标</w:t>
            </w:r>
          </w:p>
        </w:tc>
        <w:tc>
          <w:tcPr>
            <w:tcW w:w="379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484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该项目款用于支付社区正常运转所需办公经费，为辖区居民服务。后续将按照正常报账程序，督促各社区及时保障，完成支付工作。</w:t>
            </w:r>
          </w:p>
        </w:tc>
        <w:tc>
          <w:tcPr>
            <w:tcW w:w="379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社区经费用于支付观园路北社区2021年7月购买餐桌、圆凳的办公费用，保障了观园路北社区的正常运转，提高了社区工作者为居民服务的积极性。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6" w:type="dxa"/>
            <w:tcBorders>
              <w:top w:val="single" w:color="000000" w:sz="4" w:space="0"/>
              <w:left w:val="nil"/>
              <w:bottom w:val="single" w:color="000000" w:sz="4" w:space="0"/>
              <w:right w:val="nil"/>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044" w:type="dxa"/>
            <w:tcBorders>
              <w:top w:val="single" w:color="000000" w:sz="4" w:space="0"/>
              <w:left w:val="nil"/>
              <w:bottom w:val="single" w:color="000000" w:sz="4" w:space="0"/>
              <w:right w:val="nil"/>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2395" w:type="dxa"/>
            <w:gridSpan w:val="3"/>
            <w:tcBorders>
              <w:top w:val="single" w:color="000000" w:sz="4" w:space="0"/>
              <w:left w:val="nil"/>
              <w:bottom w:val="single" w:color="000000" w:sz="4" w:space="0"/>
              <w:right w:val="nil"/>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793" w:type="dxa"/>
            <w:tcBorders>
              <w:top w:val="single" w:color="000000" w:sz="4" w:space="0"/>
              <w:left w:val="nil"/>
              <w:bottom w:val="single" w:color="000000" w:sz="4" w:space="0"/>
              <w:right w:val="nil"/>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年度指标值</w:t>
            </w:r>
          </w:p>
        </w:tc>
        <w:tc>
          <w:tcPr>
            <w:tcW w:w="8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实际完成值</w:t>
            </w:r>
          </w:p>
        </w:tc>
        <w:tc>
          <w:tcPr>
            <w:tcW w:w="613"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w:t>
            </w:r>
          </w:p>
        </w:tc>
        <w:tc>
          <w:tcPr>
            <w:tcW w:w="1057" w:type="dxa"/>
            <w:gridSpan w:val="2"/>
            <w:tcBorders>
              <w:top w:val="single" w:color="000000" w:sz="4" w:space="0"/>
              <w:left w:val="nil"/>
              <w:bottom w:val="single" w:color="000000" w:sz="4" w:space="0"/>
              <w:right w:val="nil"/>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得分</w:t>
            </w:r>
          </w:p>
        </w:tc>
        <w:tc>
          <w:tcPr>
            <w:tcW w:w="1312" w:type="dxa"/>
            <w:gridSpan w:val="2"/>
            <w:tcBorders>
              <w:top w:val="single" w:color="000000" w:sz="4" w:space="0"/>
              <w:left w:val="nil"/>
              <w:bottom w:val="single" w:color="000000" w:sz="4" w:space="0"/>
              <w:right w:val="nil"/>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年度绩效指标完成情况</w:t>
            </w:r>
          </w:p>
        </w:tc>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产出指标</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23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购买圆凳数量</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=20个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6个</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3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该项目调整预拨款后，实际涉及2个社区办公费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23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购买圆凳数量</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=20个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20个</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13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23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购买挂凳餐桌数量</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=8套</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8套</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13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质量指标</w:t>
            </w:r>
          </w:p>
        </w:tc>
        <w:tc>
          <w:tcPr>
            <w:tcW w:w="23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社区正常运转率</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&gt;=90%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14.29%</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1.43</w:t>
            </w:r>
          </w:p>
        </w:tc>
        <w:tc>
          <w:tcPr>
            <w:tcW w:w="13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18"/>
                <w:szCs w:val="18"/>
                <w:highlight w:val="none"/>
                <w:u w:val="none"/>
                <w:lang w:val="en-US" w:eastAsia="zh-CN" w:bidi="ar"/>
              </w:rPr>
              <w:t>该项目款调整为预拨经费后，实际覆盖1个社区。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质量指标</w:t>
            </w:r>
          </w:p>
        </w:tc>
        <w:tc>
          <w:tcPr>
            <w:tcW w:w="23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社区正常运转率</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&gt;=90%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90%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3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质量指标</w:t>
            </w:r>
          </w:p>
        </w:tc>
        <w:tc>
          <w:tcPr>
            <w:tcW w:w="23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资金支付准确率</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3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时效指标</w:t>
            </w:r>
          </w:p>
        </w:tc>
        <w:tc>
          <w:tcPr>
            <w:tcW w:w="23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及时支付社区各项工作经费</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3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时效指标</w:t>
            </w:r>
          </w:p>
        </w:tc>
        <w:tc>
          <w:tcPr>
            <w:tcW w:w="23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及时支付社区各项工作经费</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3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23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每个圆凳标准</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=38元/个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0.62万元/个</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0.09</w:t>
            </w:r>
          </w:p>
        </w:tc>
        <w:tc>
          <w:tcPr>
            <w:tcW w:w="13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18"/>
                <w:szCs w:val="18"/>
                <w:highlight w:val="none"/>
                <w:u w:val="none"/>
                <w:lang w:val="en-US" w:eastAsia="zh-CN" w:bidi="ar"/>
              </w:rPr>
              <w:t>该项目款调整为预拨经费后，只有1个社区使用该经费标准。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23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每个圆凳标准</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=38元/个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38元/个</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13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23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每套挂凳餐桌标准</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=680元/套</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680元/套</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13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效益指标</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经济效益指标</w:t>
            </w:r>
          </w:p>
        </w:tc>
        <w:tc>
          <w:tcPr>
            <w:tcW w:w="23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snapToGrid/>
              <w:spacing w:line="560" w:lineRule="exact"/>
              <w:jc w:val="left"/>
              <w:rPr>
                <w:highlight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highlight w:val="none"/>
              </w:rPr>
            </w:pP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13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社会效益指标</w:t>
            </w:r>
          </w:p>
        </w:tc>
        <w:tc>
          <w:tcPr>
            <w:tcW w:w="23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保障社区正常运转，确保辖区内各项工作正常开展</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有效保障</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完全达到预期效果 </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3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社会效益指标</w:t>
            </w:r>
          </w:p>
        </w:tc>
        <w:tc>
          <w:tcPr>
            <w:tcW w:w="23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保障社区正常运转，确保辖区内各项工作正常开展</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有效保障</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完全达到预期效果</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3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生态效益指标</w:t>
            </w:r>
          </w:p>
        </w:tc>
        <w:tc>
          <w:tcPr>
            <w:tcW w:w="23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snapToGrid/>
              <w:spacing w:line="560" w:lineRule="exact"/>
              <w:jc w:val="left"/>
              <w:rPr>
                <w:highlight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highlight w:val="none"/>
              </w:rPr>
            </w:pP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13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可持续影响指标</w:t>
            </w:r>
          </w:p>
        </w:tc>
        <w:tc>
          <w:tcPr>
            <w:tcW w:w="23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snapToGrid/>
              <w:spacing w:line="560" w:lineRule="exact"/>
              <w:jc w:val="left"/>
              <w:rPr>
                <w:highlight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highlight w:val="none"/>
              </w:rPr>
            </w:pP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13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23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居民对象满意度</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3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23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居民对象满意度</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3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snapToGrid/>
              <w:spacing w:line="560" w:lineRule="exact"/>
              <w:jc w:val="left"/>
              <w:rPr>
                <w:highlight w:val="none"/>
              </w:rPr>
            </w:pP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snapToGrid/>
              <w:spacing w:line="560" w:lineRule="exact"/>
              <w:jc w:val="left"/>
              <w:rPr>
                <w:highlight w:val="none"/>
              </w:rPr>
            </w:pPr>
          </w:p>
        </w:tc>
        <w:tc>
          <w:tcPr>
            <w:tcW w:w="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snapToGrid/>
              <w:spacing w:line="560" w:lineRule="exact"/>
              <w:jc w:val="left"/>
              <w:rPr>
                <w:highlight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3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highlight w:val="none"/>
              </w:rPr>
            </w:pPr>
          </w:p>
        </w:tc>
        <w:tc>
          <w:tcPr>
            <w:tcW w:w="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highlight w:val="none"/>
              </w:rPr>
            </w:pP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23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总分</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100.00分</w:t>
            </w:r>
          </w:p>
        </w:tc>
        <w:tc>
          <w:tcPr>
            <w:tcW w:w="13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4"/>
                <w:szCs w:val="24"/>
                <w:highlight w:val="none"/>
                <w:u w:val="none"/>
              </w:rPr>
            </w:pPr>
          </w:p>
        </w:tc>
      </w:tr>
    </w:tbl>
    <w:p>
      <w:pPr>
        <w:pStyle w:val="3"/>
        <w:keepNext w:val="0"/>
        <w:keepLines w:val="0"/>
        <w:pageBreakBefore w:val="0"/>
        <w:kinsoku/>
        <w:wordWrap/>
        <w:overflowPunct/>
        <w:topLinePunct w:val="0"/>
        <w:bidi w:val="0"/>
        <w:adjustRightInd/>
        <w:snapToGrid/>
        <w:spacing w:line="560" w:lineRule="exact"/>
        <w:ind w:right="88" w:firstLine="640"/>
        <w:jc w:val="left"/>
        <w:rPr>
          <w:rFonts w:hint="eastAsia"/>
          <w:spacing w:val="-6"/>
          <w:highlight w:val="none"/>
        </w:rPr>
      </w:pPr>
    </w:p>
    <w:p>
      <w:pPr>
        <w:pStyle w:val="3"/>
        <w:keepNext w:val="0"/>
        <w:keepLines w:val="0"/>
        <w:pageBreakBefore w:val="0"/>
        <w:kinsoku/>
        <w:wordWrap/>
        <w:overflowPunct/>
        <w:topLinePunct w:val="0"/>
        <w:bidi w:val="0"/>
        <w:adjustRightInd/>
        <w:snapToGrid/>
        <w:spacing w:line="560" w:lineRule="exact"/>
        <w:ind w:right="88" w:firstLine="640"/>
        <w:jc w:val="left"/>
        <w:rPr>
          <w:spacing w:val="-6"/>
          <w:highlight w:val="none"/>
        </w:rPr>
      </w:pPr>
    </w:p>
    <w:p>
      <w:pPr>
        <w:pStyle w:val="3"/>
        <w:keepNext w:val="0"/>
        <w:keepLines w:val="0"/>
        <w:pageBreakBefore w:val="0"/>
        <w:kinsoku/>
        <w:wordWrap/>
        <w:overflowPunct/>
        <w:topLinePunct w:val="0"/>
        <w:bidi w:val="0"/>
        <w:adjustRightInd/>
        <w:snapToGrid/>
        <w:spacing w:line="560" w:lineRule="exact"/>
        <w:ind w:right="88" w:firstLine="640"/>
        <w:jc w:val="left"/>
        <w:rPr>
          <w:spacing w:val="-6"/>
          <w:highlight w:val="none"/>
        </w:rPr>
      </w:pPr>
    </w:p>
    <w:p>
      <w:pPr>
        <w:pStyle w:val="3"/>
        <w:keepNext w:val="0"/>
        <w:keepLines w:val="0"/>
        <w:pageBreakBefore w:val="0"/>
        <w:kinsoku/>
        <w:wordWrap/>
        <w:overflowPunct/>
        <w:topLinePunct w:val="0"/>
        <w:bidi w:val="0"/>
        <w:adjustRightInd/>
        <w:snapToGrid/>
        <w:spacing w:line="560" w:lineRule="exact"/>
        <w:ind w:right="88" w:firstLine="640"/>
        <w:jc w:val="left"/>
        <w:rPr>
          <w:spacing w:val="-6"/>
          <w:highlight w:val="none"/>
        </w:rPr>
      </w:pPr>
    </w:p>
    <w:p>
      <w:pPr>
        <w:pStyle w:val="3"/>
        <w:keepNext w:val="0"/>
        <w:keepLines w:val="0"/>
        <w:pageBreakBefore w:val="0"/>
        <w:kinsoku/>
        <w:wordWrap/>
        <w:overflowPunct/>
        <w:topLinePunct w:val="0"/>
        <w:bidi w:val="0"/>
        <w:adjustRightInd/>
        <w:snapToGrid/>
        <w:spacing w:line="560" w:lineRule="exact"/>
        <w:ind w:right="88" w:firstLine="640"/>
        <w:jc w:val="left"/>
        <w:rPr>
          <w:spacing w:val="-6"/>
          <w:highlight w:val="none"/>
        </w:rPr>
      </w:pPr>
    </w:p>
    <w:p>
      <w:pPr>
        <w:pStyle w:val="3"/>
        <w:keepNext w:val="0"/>
        <w:keepLines w:val="0"/>
        <w:pageBreakBefore w:val="0"/>
        <w:kinsoku/>
        <w:wordWrap/>
        <w:overflowPunct/>
        <w:topLinePunct w:val="0"/>
        <w:bidi w:val="0"/>
        <w:adjustRightInd/>
        <w:snapToGrid/>
        <w:spacing w:line="560" w:lineRule="exact"/>
        <w:ind w:right="88" w:firstLine="640"/>
        <w:jc w:val="left"/>
        <w:rPr>
          <w:spacing w:val="-6"/>
          <w:highlight w:val="none"/>
        </w:rPr>
      </w:pPr>
    </w:p>
    <w:p>
      <w:pPr>
        <w:pStyle w:val="3"/>
        <w:keepNext w:val="0"/>
        <w:keepLines w:val="0"/>
        <w:pageBreakBefore w:val="0"/>
        <w:kinsoku/>
        <w:wordWrap/>
        <w:overflowPunct/>
        <w:topLinePunct w:val="0"/>
        <w:bidi w:val="0"/>
        <w:adjustRightInd/>
        <w:snapToGrid/>
        <w:spacing w:line="560" w:lineRule="exact"/>
        <w:ind w:right="88" w:firstLine="640"/>
        <w:jc w:val="left"/>
        <w:rPr>
          <w:spacing w:val="-6"/>
          <w:highlight w:val="none"/>
        </w:rPr>
      </w:pPr>
    </w:p>
    <w:p>
      <w:pPr>
        <w:pStyle w:val="3"/>
        <w:keepNext w:val="0"/>
        <w:keepLines w:val="0"/>
        <w:pageBreakBefore w:val="0"/>
        <w:kinsoku/>
        <w:wordWrap/>
        <w:overflowPunct/>
        <w:topLinePunct w:val="0"/>
        <w:bidi w:val="0"/>
        <w:adjustRightInd/>
        <w:snapToGrid/>
        <w:spacing w:line="560" w:lineRule="exact"/>
        <w:ind w:right="88" w:firstLine="640"/>
        <w:jc w:val="left"/>
        <w:rPr>
          <w:spacing w:val="-6"/>
          <w:highlight w:val="none"/>
        </w:rPr>
      </w:pPr>
    </w:p>
    <w:tbl>
      <w:tblPr>
        <w:tblStyle w:val="9"/>
        <w:tblW w:w="86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3"/>
        <w:gridCol w:w="529"/>
        <w:gridCol w:w="893"/>
        <w:gridCol w:w="885"/>
        <w:gridCol w:w="683"/>
        <w:gridCol w:w="245"/>
        <w:gridCol w:w="236"/>
        <w:gridCol w:w="554"/>
        <w:gridCol w:w="425"/>
        <w:gridCol w:w="555"/>
        <w:gridCol w:w="61"/>
        <w:gridCol w:w="252"/>
        <w:gridCol w:w="61"/>
        <w:gridCol w:w="248"/>
        <w:gridCol w:w="61"/>
        <w:gridCol w:w="527"/>
        <w:gridCol w:w="61"/>
        <w:gridCol w:w="161"/>
        <w:gridCol w:w="61"/>
        <w:gridCol w:w="642"/>
        <w:gridCol w:w="61"/>
        <w:gridCol w:w="916"/>
        <w:gridCol w:w="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405" w:hRule="atLeast"/>
        </w:trPr>
        <w:tc>
          <w:tcPr>
            <w:tcW w:w="8580" w:type="dxa"/>
            <w:gridSpan w:val="22"/>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270" w:hRule="atLeast"/>
        </w:trPr>
        <w:tc>
          <w:tcPr>
            <w:tcW w:w="8580" w:type="dxa"/>
            <w:gridSpan w:val="22"/>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735" w:hRule="atLeast"/>
        </w:trPr>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7588" w:type="dxa"/>
            <w:gridSpan w:val="2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封闭化岗亭人员经费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540" w:hRule="atLeast"/>
        </w:trPr>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主管部门</w:t>
            </w:r>
          </w:p>
        </w:tc>
        <w:tc>
          <w:tcPr>
            <w:tcW w:w="349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乌鲁木齐市水磨沟区河马泉片区管理委员会</w:t>
            </w:r>
          </w:p>
        </w:tc>
        <w:tc>
          <w:tcPr>
            <w:tcW w:w="129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实施单位</w:t>
            </w:r>
          </w:p>
        </w:tc>
        <w:tc>
          <w:tcPr>
            <w:tcW w:w="279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乌鲁木齐市水磨沟区河马泉片区管理委员会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580" w:hRule="atLeast"/>
        </w:trPr>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项目资金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（万元）</w:t>
            </w:r>
          </w:p>
        </w:tc>
        <w:tc>
          <w:tcPr>
            <w:tcW w:w="17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7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全年预算数</w:t>
            </w:r>
          </w:p>
        </w:tc>
        <w:tc>
          <w:tcPr>
            <w:tcW w:w="129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全年执行数</w:t>
            </w:r>
          </w:p>
        </w:tc>
        <w:tc>
          <w:tcPr>
            <w:tcW w:w="89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w:t>
            </w:r>
          </w:p>
        </w:tc>
        <w:tc>
          <w:tcPr>
            <w:tcW w:w="9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执行率</w:t>
            </w:r>
          </w:p>
        </w:tc>
        <w:tc>
          <w:tcPr>
            <w:tcW w:w="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7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年度资金总额</w:t>
            </w:r>
          </w:p>
        </w:tc>
        <w:tc>
          <w:tcPr>
            <w:tcW w:w="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62.40</w:t>
            </w:r>
          </w:p>
        </w:tc>
        <w:tc>
          <w:tcPr>
            <w:tcW w:w="7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1.12</w:t>
            </w:r>
          </w:p>
        </w:tc>
        <w:tc>
          <w:tcPr>
            <w:tcW w:w="129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1.12</w:t>
            </w:r>
          </w:p>
        </w:tc>
        <w:tc>
          <w:tcPr>
            <w:tcW w:w="89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100.00%</w:t>
            </w:r>
          </w:p>
        </w:tc>
        <w:tc>
          <w:tcPr>
            <w:tcW w:w="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7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其中：当年财政拨款</w:t>
            </w:r>
          </w:p>
        </w:tc>
        <w:tc>
          <w:tcPr>
            <w:tcW w:w="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62.4</w:t>
            </w:r>
          </w:p>
        </w:tc>
        <w:tc>
          <w:tcPr>
            <w:tcW w:w="7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1.12</w:t>
            </w:r>
          </w:p>
        </w:tc>
        <w:tc>
          <w:tcPr>
            <w:tcW w:w="129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1.12</w:t>
            </w:r>
          </w:p>
        </w:tc>
        <w:tc>
          <w:tcPr>
            <w:tcW w:w="89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9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7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上年结转资金</w:t>
            </w:r>
          </w:p>
        </w:tc>
        <w:tc>
          <w:tcPr>
            <w:tcW w:w="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7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29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89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9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7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其他资金</w:t>
            </w:r>
          </w:p>
        </w:tc>
        <w:tc>
          <w:tcPr>
            <w:tcW w:w="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7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29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89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9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4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年度总体目标</w:t>
            </w:r>
          </w:p>
        </w:tc>
        <w:tc>
          <w:tcPr>
            <w:tcW w:w="402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预期目标</w:t>
            </w:r>
          </w:p>
        </w:tc>
        <w:tc>
          <w:tcPr>
            <w:tcW w:w="4092"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1220"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402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1.用于支付片区管委会封闭化岗亭人员工资、管理费、社保金。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2.严格把控项目资金使用，使得资金落实到位。足额及时拨付资金,及时上报资金的使用情况，保障项目资金62.4万元按计划执行。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3.充分保障封闭化岗亭人员待遇，更好地为居民服务，有效提升辖区居民居住的幸福感。</w:t>
            </w:r>
          </w:p>
        </w:tc>
        <w:tc>
          <w:tcPr>
            <w:tcW w:w="4092"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该项目年初预算拨款62.4万元，主要用于支付片区管委会封闭化岗亭人员工资、管理费、社保金，实际支付1.12万元。该项支出充分保障封闭化岗亭人员待遇，更好地为居民服务，有效提升辖区居民居住的幸福感。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4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8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56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03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年度指标值</w:t>
            </w:r>
          </w:p>
        </w:tc>
        <w:tc>
          <w:tcPr>
            <w:tcW w:w="9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实际完成值</w:t>
            </w:r>
          </w:p>
        </w:tc>
        <w:tc>
          <w:tcPr>
            <w:tcW w:w="622"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w:t>
            </w:r>
          </w:p>
        </w:tc>
        <w:tc>
          <w:tcPr>
            <w:tcW w:w="810"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得分</w:t>
            </w:r>
          </w:p>
        </w:tc>
        <w:tc>
          <w:tcPr>
            <w:tcW w:w="1680"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9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0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22"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1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68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1460" w:hRule="atLeast"/>
        </w:trPr>
        <w:tc>
          <w:tcPr>
            <w:tcW w:w="4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年度绩效指标完成情况</w:t>
            </w:r>
          </w:p>
        </w:tc>
        <w:tc>
          <w:tcPr>
            <w:tcW w:w="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产出指标</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发放人员数量</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=20人</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4人</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bidi w:val="0"/>
              <w:adjustRightInd/>
              <w:snapToGrid/>
              <w:spacing w:line="560" w:lineRule="exact"/>
              <w:jc w:val="left"/>
              <w:textAlignment w:val="top"/>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1、因河马泉辖区内道路施工、封闭化岗亭未建成，人员未到岗。2、因和奕社区封闭化岗亭有社区工作人员值守，封闭化岗亭人员经费不在支付。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发放人员数量</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=20人</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4人</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2000"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发放人员数量</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=20人</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4人</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bidi w:val="0"/>
              <w:adjustRightInd/>
              <w:snapToGrid/>
              <w:spacing w:line="560" w:lineRule="exact"/>
              <w:jc w:val="left"/>
              <w:textAlignment w:val="top"/>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受河马泉辖区内道路施工影响，封闭化岗亭未能建成。该项目经费另用于支付和奕社区的封闭化岗亭人员费用，前期该岗亭招聘4人专门值守，后续由社区工作人员值守，不再需要招聘专人值守。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质量指标</w:t>
            </w: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发放覆盖率</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质量指标</w:t>
            </w: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发放覆盖率</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质量指标</w:t>
            </w: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发放覆盖率</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时效指标</w:t>
            </w:r>
          </w:p>
        </w:tc>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支付岗亭人员工资及时率</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时效指标</w:t>
            </w:r>
          </w:p>
        </w:tc>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支付岗亭人员工资及时率</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时效指标</w:t>
            </w:r>
          </w:p>
        </w:tc>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支付岗亭人员工资及时率</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每人月工资标准</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=2600元</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2600元</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每人月工资标准</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=2600元</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2600元</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每人月工资标准</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=2600元</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2600元</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540"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效益指标</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社会效益指标</w:t>
            </w:r>
          </w:p>
        </w:tc>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增加封闭化岗亭人员生活正常率</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有效</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完全达到预期效果</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540"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社会效益指标</w:t>
            </w:r>
          </w:p>
        </w:tc>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增加封闭化岗亭人员生活正常率</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有效</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完全达到预期效果</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540"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社会效益指标</w:t>
            </w:r>
          </w:p>
        </w:tc>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增加封闭化岗亭人员生活正常率</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有效</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完全达到预期效果</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可持续影响指标</w:t>
            </w: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社会服务能力提升情况</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有效</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完全达到预期效果</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可持续影响指标</w:t>
            </w: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社会服务能力提升情况</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有效</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完全达到预期效果</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可持续影响指标</w:t>
            </w: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社会服务能力提升情况</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有效</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完全达到预期效果</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受益对象满意度</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受益对象满意度</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396"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受益对象满意度</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8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c>
          <w:tcPr>
            <w:tcW w:w="928" w:type="dxa"/>
            <w:gridSpan w:val="2"/>
            <w:tcBorders>
              <w:top w:val="single" w:color="000000" w:sz="4" w:space="0"/>
              <w:left w:val="nil"/>
              <w:bottom w:val="single" w:color="000000" w:sz="4" w:space="0"/>
              <w:right w:val="nil"/>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c>
          <w:tcPr>
            <w:tcW w:w="23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c>
          <w:tcPr>
            <w:tcW w:w="9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313"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30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88"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222"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7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dxa"/>
          <w:trHeight w:val="560" w:hRule="atLeast"/>
        </w:trPr>
        <w:tc>
          <w:tcPr>
            <w:tcW w:w="5468"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总分</w:t>
            </w:r>
          </w:p>
        </w:tc>
        <w:tc>
          <w:tcPr>
            <w:tcW w:w="6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90.00分</w:t>
            </w:r>
          </w:p>
        </w:tc>
        <w:tc>
          <w:tcPr>
            <w:tcW w:w="16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r>
    </w:tbl>
    <w:p>
      <w:pPr>
        <w:pStyle w:val="3"/>
        <w:keepNext w:val="0"/>
        <w:keepLines w:val="0"/>
        <w:pageBreakBefore w:val="0"/>
        <w:kinsoku/>
        <w:wordWrap/>
        <w:overflowPunct/>
        <w:topLinePunct w:val="0"/>
        <w:bidi w:val="0"/>
        <w:adjustRightInd/>
        <w:snapToGrid/>
        <w:spacing w:line="560" w:lineRule="exact"/>
        <w:ind w:left="0" w:leftChars="0" w:right="88" w:firstLine="0" w:firstLineChars="0"/>
        <w:jc w:val="left"/>
        <w:rPr>
          <w:spacing w:val="-6"/>
          <w:highlight w:val="none"/>
        </w:rPr>
        <w:sectPr>
          <w:pgSz w:w="12240" w:h="15840"/>
          <w:pgMar w:top="1420" w:right="1540" w:bottom="280" w:left="1700" w:header="720" w:footer="720" w:gutter="0"/>
          <w:cols w:space="720" w:num="1"/>
        </w:sectPr>
      </w:pPr>
    </w:p>
    <w:tbl>
      <w:tblPr>
        <w:tblStyle w:val="9"/>
        <w:tblW w:w="93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7"/>
        <w:gridCol w:w="693"/>
        <w:gridCol w:w="943"/>
        <w:gridCol w:w="1019"/>
        <w:gridCol w:w="795"/>
        <w:gridCol w:w="435"/>
        <w:gridCol w:w="716"/>
        <w:gridCol w:w="616"/>
        <w:gridCol w:w="597"/>
        <w:gridCol w:w="222"/>
        <w:gridCol w:w="826"/>
        <w:gridCol w:w="222"/>
        <w:gridCol w:w="704"/>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34" w:type="dxa"/>
            <w:gridSpan w:val="14"/>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34" w:type="dxa"/>
            <w:gridSpan w:val="14"/>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7999"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乌财社[2022]167号关于向各相关区下达</w:t>
            </w:r>
            <w:r>
              <w:rPr>
                <w:rFonts w:hint="eastAsia" w:ascii="宋体" w:hAnsi="宋体" w:cs="宋体"/>
                <w:i w:val="0"/>
                <w:iCs w:val="0"/>
                <w:color w:val="000000"/>
                <w:kern w:val="0"/>
                <w:sz w:val="20"/>
                <w:szCs w:val="20"/>
                <w:highlight w:val="none"/>
                <w:u w:val="none"/>
                <w:lang w:val="en-US" w:eastAsia="zh-CN" w:bidi="ar"/>
              </w:rPr>
              <w:t>防疫</w:t>
            </w:r>
            <w:r>
              <w:rPr>
                <w:rFonts w:hint="eastAsia" w:ascii="宋体" w:hAnsi="宋体" w:eastAsia="宋体" w:cs="宋体"/>
                <w:i w:val="0"/>
                <w:iCs w:val="0"/>
                <w:color w:val="000000"/>
                <w:kern w:val="0"/>
                <w:sz w:val="20"/>
                <w:szCs w:val="20"/>
                <w:highlight w:val="none"/>
                <w:u w:val="none"/>
                <w:lang w:val="en-US" w:eastAsia="zh-CN" w:bidi="ar"/>
              </w:rPr>
              <w:t>防控补助资金的通知（转移支付）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乌鲁木齐市水磨沟区河马泉片区管理委员会</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实施单位</w:t>
            </w:r>
          </w:p>
        </w:tc>
        <w:tc>
          <w:tcPr>
            <w:tcW w:w="271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乌鲁木齐市水磨沟区河马泉片区管理委员会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项目资金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（万元）</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全年预算数</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全年执行数</w:t>
            </w:r>
          </w:p>
        </w:tc>
        <w:tc>
          <w:tcPr>
            <w:tcW w:w="9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执行率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年度资金总额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30.24</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30.24</w:t>
            </w:r>
          </w:p>
        </w:tc>
        <w:tc>
          <w:tcPr>
            <w:tcW w:w="9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其中：当年财政拨款</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30.24</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30.24</w:t>
            </w:r>
          </w:p>
        </w:tc>
        <w:tc>
          <w:tcPr>
            <w:tcW w:w="9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上年结转资金</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9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其他资金</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9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年度总体目标</w:t>
            </w:r>
          </w:p>
        </w:tc>
        <w:tc>
          <w:tcPr>
            <w:tcW w:w="478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预期目标</w:t>
            </w:r>
          </w:p>
        </w:tc>
        <w:tc>
          <w:tcPr>
            <w:tcW w:w="397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478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该项目用于保障</w:t>
            </w:r>
            <w:r>
              <w:rPr>
                <w:rFonts w:hint="eastAsia" w:ascii="宋体" w:hAnsi="宋体" w:cs="宋体"/>
                <w:i w:val="0"/>
                <w:iCs w:val="0"/>
                <w:color w:val="000000"/>
                <w:kern w:val="0"/>
                <w:sz w:val="20"/>
                <w:szCs w:val="20"/>
                <w:highlight w:val="none"/>
                <w:u w:val="none"/>
                <w:lang w:val="en-US" w:eastAsia="zh-CN" w:bidi="ar"/>
              </w:rPr>
              <w:t>防疫</w:t>
            </w:r>
            <w:r>
              <w:rPr>
                <w:rFonts w:hint="eastAsia" w:ascii="宋体" w:hAnsi="宋体" w:eastAsia="宋体" w:cs="宋体"/>
                <w:i w:val="0"/>
                <w:iCs w:val="0"/>
                <w:color w:val="000000"/>
                <w:kern w:val="0"/>
                <w:sz w:val="20"/>
                <w:szCs w:val="20"/>
                <w:highlight w:val="none"/>
                <w:u w:val="none"/>
                <w:lang w:val="en-US" w:eastAsia="zh-CN" w:bidi="ar"/>
              </w:rPr>
              <w:t>期间河马泉街道及社区食堂伙食补助，为防疫一线工作人员提供有效、安全的后勤保障，为工作人员提供健康的食品。保障防疫工作人员能全心投入工作，更好为辖区群众开展服务，落实好党的政策，密切党和人民群众的联系，有利于提高工作人员积极性，提高居民幸福感、满意度。</w:t>
            </w:r>
          </w:p>
        </w:tc>
        <w:tc>
          <w:tcPr>
            <w:tcW w:w="397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该项目用于保障</w:t>
            </w: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期间河马泉街道、社区食堂及警务站人员伙食补助，为防疫一线工作人员提供有效、安全的后勤保障，为工作人员提供健康的食品。充分保障了在九月份期间辖区八个食堂所有工作人员及市派区派下沉干部，每天提高餐标为60元，让大家的伙食保质保量，增加大家工作积极性。本年财政转移支付资金拨款30.24万元，实际支付30.24万元，全部支付完毕，执行率100%，该项目完成情况较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该项目用于保障</w:t>
            </w: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期间河马泉街道、社区食堂及警务站人员伙食补助，为防疫一线工作人员提供有效、安全的后勤保障，为工作人员提供健康的食品。充分保障了在九月份期间辖区八个食堂所有工作人员及市派区派下沉干部，每天提高餐标为60元，让大家的伙食保质保量，增加大家工作积极性。本年财政转移支付资金拨款30.24万元，实际支付30.24万元，全部支付完毕，执行率100%，该项目完成情况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231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年度指标值</w:t>
            </w:r>
          </w:p>
        </w:tc>
        <w:tc>
          <w:tcPr>
            <w:tcW w:w="5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实际完成值</w:t>
            </w:r>
          </w:p>
        </w:tc>
        <w:tc>
          <w:tcPr>
            <w:tcW w:w="69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w:t>
            </w:r>
          </w:p>
        </w:tc>
        <w:tc>
          <w:tcPr>
            <w:tcW w:w="91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得分</w:t>
            </w:r>
          </w:p>
        </w:tc>
        <w:tc>
          <w:tcPr>
            <w:tcW w:w="178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23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9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78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6" w:hRule="atLeast"/>
        </w:trPr>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年度绩效指标完成情况</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补助保障人数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&lt;=504人</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504人</w:t>
            </w:r>
          </w:p>
        </w:tc>
        <w:tc>
          <w:tcPr>
            <w:tcW w:w="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补助保障天数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&lt;=10天</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10天</w:t>
            </w:r>
          </w:p>
        </w:tc>
        <w:tc>
          <w:tcPr>
            <w:tcW w:w="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社区食堂正常运转率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经费支付及时率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每人每天伙食标准</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=60元/人/天</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60元/人/天</w:t>
            </w:r>
          </w:p>
        </w:tc>
        <w:tc>
          <w:tcPr>
            <w:tcW w:w="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社会效益指标</w:t>
            </w:r>
          </w:p>
        </w:tc>
        <w:tc>
          <w:tcPr>
            <w:tcW w:w="23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保障工作人员伙食，做好</w:t>
            </w:r>
            <w:r>
              <w:rPr>
                <w:rFonts w:hint="eastAsia" w:ascii="宋体" w:hAnsi="宋体" w:cs="宋体"/>
                <w:i w:val="0"/>
                <w:iCs w:val="0"/>
                <w:color w:val="000000"/>
                <w:kern w:val="0"/>
                <w:sz w:val="20"/>
                <w:szCs w:val="20"/>
                <w:highlight w:val="none"/>
                <w:u w:val="none"/>
                <w:lang w:val="en-US" w:eastAsia="zh-CN" w:bidi="ar"/>
              </w:rPr>
              <w:t>防疫</w:t>
            </w:r>
            <w:r>
              <w:rPr>
                <w:rFonts w:hint="eastAsia" w:ascii="宋体" w:hAnsi="宋体" w:eastAsia="宋体" w:cs="宋体"/>
                <w:i w:val="0"/>
                <w:iCs w:val="0"/>
                <w:color w:val="000000"/>
                <w:kern w:val="0"/>
                <w:sz w:val="20"/>
                <w:szCs w:val="20"/>
                <w:highlight w:val="none"/>
                <w:u w:val="none"/>
                <w:lang w:val="en-US" w:eastAsia="zh-CN" w:bidi="ar"/>
              </w:rPr>
              <w:t>期间后勤工作</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有效保障</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完全达到预期效果</w:t>
            </w:r>
          </w:p>
        </w:tc>
        <w:tc>
          <w:tcPr>
            <w:tcW w:w="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可持续影响指标</w:t>
            </w:r>
          </w:p>
        </w:tc>
        <w:tc>
          <w:tcPr>
            <w:tcW w:w="23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提升社区防疫人员工作积极性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持续提高</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完全达到预期效果</w:t>
            </w:r>
          </w:p>
        </w:tc>
        <w:tc>
          <w:tcPr>
            <w:tcW w:w="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防疫工作人员满意度</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w:t>
            </w:r>
          </w:p>
        </w:tc>
        <w:tc>
          <w:tcPr>
            <w:tcW w:w="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6"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c>
          <w:tcPr>
            <w:tcW w:w="795" w:type="dxa"/>
            <w:tcBorders>
              <w:top w:val="single" w:color="000000" w:sz="4" w:space="0"/>
              <w:left w:val="nil"/>
              <w:bottom w:val="single" w:color="000000" w:sz="4" w:space="0"/>
              <w:right w:val="nil"/>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c>
          <w:tcPr>
            <w:tcW w:w="4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7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8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94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总分</w:t>
            </w:r>
          </w:p>
        </w:tc>
        <w:tc>
          <w:tcPr>
            <w:tcW w:w="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100.00分</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p>
    <w:tbl>
      <w:tblPr>
        <w:tblStyle w:val="9"/>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8"/>
        <w:gridCol w:w="662"/>
        <w:gridCol w:w="818"/>
        <w:gridCol w:w="1054"/>
        <w:gridCol w:w="720"/>
        <w:gridCol w:w="330"/>
        <w:gridCol w:w="716"/>
        <w:gridCol w:w="616"/>
        <w:gridCol w:w="655"/>
        <w:gridCol w:w="411"/>
        <w:gridCol w:w="871"/>
        <w:gridCol w:w="225"/>
        <w:gridCol w:w="705"/>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54" w:type="dxa"/>
            <w:gridSpan w:val="14"/>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sz w:val="32"/>
                <w:szCs w:val="32"/>
                <w:highlight w:val="none"/>
                <w:u w:val="none"/>
              </w:rPr>
            </w:pPr>
            <w:bookmarkStart w:id="34" w:name="_Toc3250"/>
            <w:bookmarkStart w:id="35" w:name="_Toc24143"/>
            <w:r>
              <w:rPr>
                <w:rFonts w:hint="eastAsia" w:ascii="宋体" w:hAnsi="宋体" w:eastAsia="宋体" w:cs="宋体"/>
                <w:b/>
                <w:bCs/>
                <w:i w:val="0"/>
                <w:iCs w:val="0"/>
                <w:color w:val="000000"/>
                <w:kern w:val="0"/>
                <w:sz w:val="32"/>
                <w:szCs w:val="32"/>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4" w:type="dxa"/>
            <w:gridSpan w:val="14"/>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7924"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乌财社[2022]179号关于拨付2022年受</w:t>
            </w:r>
            <w:r>
              <w:rPr>
                <w:rFonts w:hint="eastAsia" w:ascii="宋体" w:hAnsi="宋体" w:cs="宋体"/>
                <w:i w:val="0"/>
                <w:iCs w:val="0"/>
                <w:color w:val="000000"/>
                <w:kern w:val="0"/>
                <w:sz w:val="20"/>
                <w:szCs w:val="20"/>
                <w:highlight w:val="none"/>
                <w:u w:val="none"/>
                <w:lang w:val="en-US" w:eastAsia="zh-CN" w:bidi="ar"/>
              </w:rPr>
              <w:t>防疫</w:t>
            </w:r>
            <w:r>
              <w:rPr>
                <w:rFonts w:hint="eastAsia" w:ascii="宋体" w:hAnsi="宋体" w:eastAsia="宋体" w:cs="宋体"/>
                <w:i w:val="0"/>
                <w:iCs w:val="0"/>
                <w:color w:val="000000"/>
                <w:kern w:val="0"/>
                <w:sz w:val="20"/>
                <w:szCs w:val="20"/>
                <w:highlight w:val="none"/>
                <w:u w:val="none"/>
                <w:lang w:val="en-US" w:eastAsia="zh-CN" w:bidi="ar"/>
              </w:rPr>
              <w:t>影响的未参加失业保险灵活就业人员中困难人员一次性救助资金的通知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主管部门</w:t>
            </w:r>
          </w:p>
        </w:tc>
        <w:tc>
          <w:tcPr>
            <w:tcW w:w="36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乌鲁木齐市水磨沟区河马泉片区管理委员会</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实施单位</w:t>
            </w:r>
          </w:p>
        </w:tc>
        <w:tc>
          <w:tcPr>
            <w:tcW w:w="306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乌鲁木齐市水磨沟区河马泉片区管理委员会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3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项目资金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（万元）</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全年预算数</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全年执行数</w:t>
            </w:r>
          </w:p>
        </w:tc>
        <w:tc>
          <w:tcPr>
            <w:tcW w:w="13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w:t>
            </w: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执行率</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年度资金总额</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12.12</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12.12</w:t>
            </w:r>
          </w:p>
        </w:tc>
        <w:tc>
          <w:tcPr>
            <w:tcW w:w="13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其中：当年财政拨款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12.12</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12.12</w:t>
            </w:r>
          </w:p>
        </w:tc>
        <w:tc>
          <w:tcPr>
            <w:tcW w:w="13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上年结转资金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3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其他资金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3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年度总体目标</w:t>
            </w:r>
          </w:p>
        </w:tc>
        <w:tc>
          <w:tcPr>
            <w:tcW w:w="427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预期目标</w:t>
            </w:r>
          </w:p>
        </w:tc>
        <w:tc>
          <w:tcPr>
            <w:tcW w:w="432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427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该项目为2022年受</w:t>
            </w:r>
            <w:r>
              <w:rPr>
                <w:rFonts w:hint="eastAsia" w:ascii="宋体" w:hAnsi="宋体" w:cs="宋体"/>
                <w:i w:val="0"/>
                <w:iCs w:val="0"/>
                <w:color w:val="000000"/>
                <w:kern w:val="0"/>
                <w:sz w:val="20"/>
                <w:szCs w:val="20"/>
                <w:highlight w:val="none"/>
                <w:u w:val="none"/>
                <w:lang w:val="en-US" w:eastAsia="zh-CN" w:bidi="ar"/>
              </w:rPr>
              <w:t>防疫</w:t>
            </w:r>
            <w:r>
              <w:rPr>
                <w:rFonts w:hint="eastAsia" w:ascii="宋体" w:hAnsi="宋体" w:eastAsia="宋体" w:cs="宋体"/>
                <w:i w:val="0"/>
                <w:iCs w:val="0"/>
                <w:color w:val="000000"/>
                <w:kern w:val="0"/>
                <w:sz w:val="20"/>
                <w:szCs w:val="20"/>
                <w:highlight w:val="none"/>
                <w:u w:val="none"/>
                <w:lang w:val="en-US" w:eastAsia="zh-CN" w:bidi="ar"/>
              </w:rPr>
              <w:t>影响的未参加失业保险灵活就业人员中困难人员提供一次性救助，为受</w:t>
            </w:r>
            <w:r>
              <w:rPr>
                <w:rFonts w:hint="eastAsia" w:ascii="宋体" w:hAnsi="宋体" w:cs="宋体"/>
                <w:i w:val="0"/>
                <w:iCs w:val="0"/>
                <w:color w:val="000000"/>
                <w:kern w:val="0"/>
                <w:sz w:val="20"/>
                <w:szCs w:val="20"/>
                <w:highlight w:val="none"/>
                <w:u w:val="none"/>
                <w:lang w:val="en-US" w:eastAsia="zh-CN" w:bidi="ar"/>
              </w:rPr>
              <w:t>防疫</w:t>
            </w:r>
            <w:r>
              <w:rPr>
                <w:rFonts w:hint="eastAsia" w:ascii="宋体" w:hAnsi="宋体" w:eastAsia="宋体" w:cs="宋体"/>
                <w:i w:val="0"/>
                <w:iCs w:val="0"/>
                <w:color w:val="000000"/>
                <w:kern w:val="0"/>
                <w:sz w:val="20"/>
                <w:szCs w:val="20"/>
                <w:highlight w:val="none"/>
                <w:u w:val="none"/>
                <w:lang w:val="en-US" w:eastAsia="zh-CN" w:bidi="ar"/>
              </w:rPr>
              <w:t>影响的此类群众提供生活保障，使人民群众的受灾降到最低。</w:t>
            </w:r>
          </w:p>
        </w:tc>
        <w:tc>
          <w:tcPr>
            <w:tcW w:w="432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该项目为2022年受</w:t>
            </w:r>
            <w:r>
              <w:rPr>
                <w:rFonts w:hint="eastAsia" w:ascii="宋体" w:hAnsi="宋体" w:cs="宋体"/>
                <w:i w:val="0"/>
                <w:iCs w:val="0"/>
                <w:color w:val="000000"/>
                <w:kern w:val="0"/>
                <w:sz w:val="20"/>
                <w:szCs w:val="20"/>
                <w:highlight w:val="none"/>
                <w:u w:val="none"/>
                <w:lang w:val="en-US" w:eastAsia="zh-CN" w:bidi="ar"/>
              </w:rPr>
              <w:t>防疫</w:t>
            </w:r>
            <w:r>
              <w:rPr>
                <w:rFonts w:hint="eastAsia" w:ascii="宋体" w:hAnsi="宋体" w:eastAsia="宋体" w:cs="宋体"/>
                <w:i w:val="0"/>
                <w:iCs w:val="0"/>
                <w:color w:val="000000"/>
                <w:kern w:val="0"/>
                <w:sz w:val="20"/>
                <w:szCs w:val="20"/>
                <w:highlight w:val="none"/>
                <w:u w:val="none"/>
                <w:lang w:val="en-US" w:eastAsia="zh-CN" w:bidi="ar"/>
              </w:rPr>
              <w:t>影响的未参加失业保险灵活就业人员中困难人员提供一次性救助转移支付资金，为受</w:t>
            </w:r>
            <w:r>
              <w:rPr>
                <w:rFonts w:hint="eastAsia" w:ascii="宋体" w:hAnsi="宋体" w:cs="宋体"/>
                <w:i w:val="0"/>
                <w:iCs w:val="0"/>
                <w:color w:val="000000"/>
                <w:kern w:val="0"/>
                <w:sz w:val="20"/>
                <w:szCs w:val="20"/>
                <w:highlight w:val="none"/>
                <w:u w:val="none"/>
                <w:lang w:val="en-US" w:eastAsia="zh-CN" w:bidi="ar"/>
              </w:rPr>
              <w:t>防疫</w:t>
            </w:r>
            <w:r>
              <w:rPr>
                <w:rFonts w:hint="eastAsia" w:ascii="宋体" w:hAnsi="宋体" w:eastAsia="宋体" w:cs="宋体"/>
                <w:i w:val="0"/>
                <w:iCs w:val="0"/>
                <w:color w:val="000000"/>
                <w:kern w:val="0"/>
                <w:sz w:val="20"/>
                <w:szCs w:val="20"/>
                <w:highlight w:val="none"/>
                <w:u w:val="none"/>
                <w:lang w:val="en-US" w:eastAsia="zh-CN" w:bidi="ar"/>
              </w:rPr>
              <w:t>影响的此类群众提供生活保障，该项目为市级转移支付资金，项目资金严格按照乌财社[2022]179号及乌财社【2022】228号文件执行，由民政专干摸底受益人群404人并交街道及区民政局审批后予以发放，该项目总体完成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213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年度指标值</w:t>
            </w:r>
          </w:p>
        </w:tc>
        <w:tc>
          <w:tcPr>
            <w:tcW w:w="5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实际完成值</w:t>
            </w:r>
          </w:p>
        </w:tc>
        <w:tc>
          <w:tcPr>
            <w:tcW w:w="109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w:t>
            </w:r>
          </w:p>
        </w:tc>
        <w:tc>
          <w:tcPr>
            <w:tcW w:w="111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得分</w:t>
            </w:r>
          </w:p>
        </w:tc>
        <w:tc>
          <w:tcPr>
            <w:tcW w:w="153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213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11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53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年度绩效指标完成情况</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应发人数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=404人</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404人</w:t>
            </w:r>
          </w:p>
        </w:tc>
        <w:tc>
          <w:tcPr>
            <w:tcW w:w="1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5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应发人数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=404人</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404人</w:t>
            </w:r>
          </w:p>
        </w:tc>
        <w:tc>
          <w:tcPr>
            <w:tcW w:w="1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5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补助发放准确率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1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5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补助发放准确率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1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5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补助发放及时率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1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5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补助发放及时率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1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5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补助发放标准</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=300元/人</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300元/人</w:t>
            </w:r>
          </w:p>
        </w:tc>
        <w:tc>
          <w:tcPr>
            <w:tcW w:w="1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5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补助发放标准</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=300元/人</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300元/人</w:t>
            </w:r>
          </w:p>
        </w:tc>
        <w:tc>
          <w:tcPr>
            <w:tcW w:w="1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5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社会效益指标</w:t>
            </w: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防疫</w:t>
            </w:r>
            <w:r>
              <w:rPr>
                <w:rFonts w:hint="eastAsia" w:ascii="宋体" w:hAnsi="宋体" w:eastAsia="宋体" w:cs="宋体"/>
                <w:i w:val="0"/>
                <w:iCs w:val="0"/>
                <w:color w:val="000000"/>
                <w:kern w:val="0"/>
                <w:sz w:val="20"/>
                <w:szCs w:val="20"/>
                <w:highlight w:val="none"/>
                <w:u w:val="none"/>
                <w:lang w:val="en-US" w:eastAsia="zh-CN" w:bidi="ar"/>
              </w:rPr>
              <w:t>期间社会服务能力提升情况</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有效提升</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完全达到预期效果</w:t>
            </w:r>
          </w:p>
        </w:tc>
        <w:tc>
          <w:tcPr>
            <w:tcW w:w="1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5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社会效益指标</w:t>
            </w: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防疫</w:t>
            </w:r>
            <w:r>
              <w:rPr>
                <w:rFonts w:hint="eastAsia" w:ascii="宋体" w:hAnsi="宋体" w:eastAsia="宋体" w:cs="宋体"/>
                <w:i w:val="0"/>
                <w:iCs w:val="0"/>
                <w:color w:val="000000"/>
                <w:kern w:val="0"/>
                <w:sz w:val="20"/>
                <w:szCs w:val="20"/>
                <w:highlight w:val="none"/>
                <w:u w:val="none"/>
                <w:lang w:val="en-US" w:eastAsia="zh-CN" w:bidi="ar"/>
              </w:rPr>
              <w:t>期间社会服务能力提升情况</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有效提升</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完全达到预期效果</w:t>
            </w:r>
          </w:p>
        </w:tc>
        <w:tc>
          <w:tcPr>
            <w:tcW w:w="1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5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可持续影响指标</w:t>
            </w: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防疫</w:t>
            </w:r>
            <w:r>
              <w:rPr>
                <w:rFonts w:hint="eastAsia" w:ascii="宋体" w:hAnsi="宋体" w:eastAsia="宋体" w:cs="宋体"/>
                <w:i w:val="0"/>
                <w:iCs w:val="0"/>
                <w:color w:val="000000"/>
                <w:kern w:val="0"/>
                <w:sz w:val="20"/>
                <w:szCs w:val="20"/>
                <w:highlight w:val="none"/>
                <w:u w:val="none"/>
                <w:lang w:val="en-US" w:eastAsia="zh-CN" w:bidi="ar"/>
              </w:rPr>
              <w:t>期间困难人员的生活水平保障情况</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有效保障</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完全达到预期效果</w:t>
            </w:r>
          </w:p>
        </w:tc>
        <w:tc>
          <w:tcPr>
            <w:tcW w:w="1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5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可持续影响指标</w:t>
            </w: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防疫</w:t>
            </w:r>
            <w:r>
              <w:rPr>
                <w:rFonts w:hint="eastAsia" w:ascii="宋体" w:hAnsi="宋体" w:eastAsia="宋体" w:cs="宋体"/>
                <w:i w:val="0"/>
                <w:iCs w:val="0"/>
                <w:color w:val="000000"/>
                <w:kern w:val="0"/>
                <w:sz w:val="20"/>
                <w:szCs w:val="20"/>
                <w:highlight w:val="none"/>
                <w:u w:val="none"/>
                <w:lang w:val="en-US" w:eastAsia="zh-CN" w:bidi="ar"/>
              </w:rPr>
              <w:t>期间困难人员的生活水平保障情况</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有效保障</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完全达到预期效果</w:t>
            </w:r>
          </w:p>
        </w:tc>
        <w:tc>
          <w:tcPr>
            <w:tcW w:w="1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5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未参加失业保险灵活就业人员满意度</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1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5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未参加失业保险灵活就业人员满意度</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1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5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c>
          <w:tcPr>
            <w:tcW w:w="720" w:type="dxa"/>
            <w:tcBorders>
              <w:top w:val="single" w:color="000000" w:sz="4" w:space="0"/>
              <w:left w:val="nil"/>
              <w:bottom w:val="single" w:color="000000" w:sz="4" w:space="0"/>
              <w:right w:val="nil"/>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c>
          <w:tcPr>
            <w:tcW w:w="3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eastAsia" w:ascii="宋体" w:hAnsi="宋体" w:eastAsia="宋体" w:cs="宋体"/>
                <w:i w:val="0"/>
                <w:iCs w:val="0"/>
                <w:color w:val="000000"/>
                <w:sz w:val="20"/>
                <w:szCs w:val="20"/>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67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42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8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22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41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总分</w:t>
            </w:r>
          </w:p>
        </w:tc>
        <w:tc>
          <w:tcPr>
            <w:tcW w:w="1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100.00分</w:t>
            </w:r>
          </w:p>
        </w:tc>
        <w:tc>
          <w:tcPr>
            <w:tcW w:w="15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i w:val="0"/>
                <w:iCs w:val="0"/>
                <w:color w:val="000000"/>
                <w:sz w:val="20"/>
                <w:szCs w:val="20"/>
                <w:highlight w:val="none"/>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br w:type="page"/>
      </w:r>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sz w:val="32"/>
          <w:szCs w:val="32"/>
          <w:highlight w:val="none"/>
        </w:rPr>
      </w:pPr>
      <w:bookmarkStart w:id="36" w:name="_Toc28903"/>
      <w:bookmarkStart w:id="37" w:name="_Toc22784"/>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rPr>
      </w:pPr>
      <w:bookmarkStart w:id="38" w:name="_Toc6062"/>
      <w:bookmarkStart w:id="39" w:name="_Toc2183"/>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rPr>
      </w:pPr>
      <w:bookmarkStart w:id="40" w:name="_Toc24532"/>
      <w:bookmarkStart w:id="41" w:name="_Toc30364"/>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rPr>
      </w:pPr>
      <w:bookmarkStart w:id="42" w:name="_Toc21304"/>
      <w:bookmarkStart w:id="43" w:name="_Toc3243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rPr>
      </w:pPr>
      <w:bookmarkStart w:id="44" w:name="_Toc28786"/>
      <w:bookmarkStart w:id="45" w:name="_Toc14238"/>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rPr>
      </w:pPr>
      <w:bookmarkStart w:id="46" w:name="_Toc10347"/>
      <w:bookmarkStart w:id="47" w:name="_Toc14869"/>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rPr>
      </w:pPr>
      <w:bookmarkStart w:id="48" w:name="_Toc5626"/>
      <w:bookmarkStart w:id="49" w:name="_Toc8884"/>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32663"/>
      <w:bookmarkStart w:id="51" w:name="_Toc29106"/>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rPr>
      </w:pPr>
      <w:bookmarkStart w:id="52" w:name="_Toc7643"/>
      <w:bookmarkStart w:id="53" w:name="_Toc545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75AA3"/>
    <w:multiLevelType w:val="singleLevel"/>
    <w:tmpl w:val="B0B75AA3"/>
    <w:lvl w:ilvl="0" w:tentative="0">
      <w:start w:val="1"/>
      <w:numFmt w:val="chineseCounting"/>
      <w:suff w:val="nothing"/>
      <w:lvlText w:val="（%1）"/>
      <w:lvlJc w:val="left"/>
      <w:pPr>
        <w:ind w:left="0" w:firstLine="420"/>
      </w:pPr>
      <w:rPr>
        <w:rFonts w:hint="eastAsia"/>
      </w:rPr>
    </w:lvl>
  </w:abstractNum>
  <w:abstractNum w:abstractNumId="1">
    <w:nsid w:val="06C41FD8"/>
    <w:multiLevelType w:val="singleLevel"/>
    <w:tmpl w:val="06C41FD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NzA1YjMzNTAxNDlkZDQ5Mzc4ZmE2NDhlYWE0OGUifQ=="/>
    <w:docVar w:name="KSO_WPS_MARK_KEY" w:val="23273999-de60-4d68-8ebe-630ebc9ded88"/>
  </w:docVars>
  <w:rsids>
    <w:rsidRoot w:val="00000000"/>
    <w:rsid w:val="00085C87"/>
    <w:rsid w:val="00CD191C"/>
    <w:rsid w:val="02F73D26"/>
    <w:rsid w:val="034D4FEF"/>
    <w:rsid w:val="04317D03"/>
    <w:rsid w:val="043E5B56"/>
    <w:rsid w:val="04F5688F"/>
    <w:rsid w:val="06792773"/>
    <w:rsid w:val="08AD647E"/>
    <w:rsid w:val="08B850EA"/>
    <w:rsid w:val="08CB173F"/>
    <w:rsid w:val="0A0C5BFC"/>
    <w:rsid w:val="0A7B4867"/>
    <w:rsid w:val="0B352B0C"/>
    <w:rsid w:val="0B8C3ECC"/>
    <w:rsid w:val="0C012E9F"/>
    <w:rsid w:val="0C7227A7"/>
    <w:rsid w:val="0D695D76"/>
    <w:rsid w:val="0FD933D6"/>
    <w:rsid w:val="10161FF2"/>
    <w:rsid w:val="13A10F7E"/>
    <w:rsid w:val="15696CE0"/>
    <w:rsid w:val="167009A4"/>
    <w:rsid w:val="17BF5E77"/>
    <w:rsid w:val="17C27814"/>
    <w:rsid w:val="18F109FF"/>
    <w:rsid w:val="1BE834C2"/>
    <w:rsid w:val="1DAF458D"/>
    <w:rsid w:val="1DDD668B"/>
    <w:rsid w:val="20BB7876"/>
    <w:rsid w:val="20DD6197"/>
    <w:rsid w:val="21814368"/>
    <w:rsid w:val="21BE2586"/>
    <w:rsid w:val="23BC04D2"/>
    <w:rsid w:val="27CF2642"/>
    <w:rsid w:val="2802590C"/>
    <w:rsid w:val="2A053397"/>
    <w:rsid w:val="2C02743C"/>
    <w:rsid w:val="2D1136DF"/>
    <w:rsid w:val="2DE11072"/>
    <w:rsid w:val="2E977F10"/>
    <w:rsid w:val="2FD27414"/>
    <w:rsid w:val="31C63837"/>
    <w:rsid w:val="33450227"/>
    <w:rsid w:val="36790FB2"/>
    <w:rsid w:val="3914510A"/>
    <w:rsid w:val="39915592"/>
    <w:rsid w:val="3D5275AC"/>
    <w:rsid w:val="40834692"/>
    <w:rsid w:val="42C02E25"/>
    <w:rsid w:val="46901EEE"/>
    <w:rsid w:val="469C74D2"/>
    <w:rsid w:val="475039F6"/>
    <w:rsid w:val="48C32EE3"/>
    <w:rsid w:val="4B4C0111"/>
    <w:rsid w:val="4EFB2216"/>
    <w:rsid w:val="50DB5F45"/>
    <w:rsid w:val="50E4309D"/>
    <w:rsid w:val="528374C6"/>
    <w:rsid w:val="52F32959"/>
    <w:rsid w:val="52F92565"/>
    <w:rsid w:val="573473E7"/>
    <w:rsid w:val="579A4164"/>
    <w:rsid w:val="583059FA"/>
    <w:rsid w:val="59642785"/>
    <w:rsid w:val="5A1B4488"/>
    <w:rsid w:val="5A8A337F"/>
    <w:rsid w:val="5C666B43"/>
    <w:rsid w:val="5E8C1868"/>
    <w:rsid w:val="5FA17648"/>
    <w:rsid w:val="601C76B6"/>
    <w:rsid w:val="611759A9"/>
    <w:rsid w:val="61A46A97"/>
    <w:rsid w:val="62DD7D21"/>
    <w:rsid w:val="65D97752"/>
    <w:rsid w:val="66D220F3"/>
    <w:rsid w:val="68DB0208"/>
    <w:rsid w:val="69AD798C"/>
    <w:rsid w:val="6B68175F"/>
    <w:rsid w:val="6C541E5D"/>
    <w:rsid w:val="6C94393F"/>
    <w:rsid w:val="6E0F7A08"/>
    <w:rsid w:val="700A3456"/>
    <w:rsid w:val="70C2307F"/>
    <w:rsid w:val="71473612"/>
    <w:rsid w:val="718F7F65"/>
    <w:rsid w:val="73FB6630"/>
    <w:rsid w:val="74E76DCD"/>
    <w:rsid w:val="76D35BCC"/>
    <w:rsid w:val="77422BFC"/>
    <w:rsid w:val="77ED6F44"/>
    <w:rsid w:val="7B381B39"/>
    <w:rsid w:val="7B4B4664"/>
    <w:rsid w:val="7C8A06C3"/>
    <w:rsid w:val="7D2A7FAE"/>
    <w:rsid w:val="7D564C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spacing w:before="205"/>
      <w:ind w:left="100"/>
    </w:pPr>
    <w:rPr>
      <w:rFonts w:ascii="仿宋_GB2312" w:hAnsi="仿宋_GB2312" w:eastAsia="仿宋_GB2312"/>
      <w:sz w:val="32"/>
      <w:szCs w:val="32"/>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toc 2"/>
    <w:basedOn w:val="1"/>
    <w:next w:val="1"/>
    <w:qFormat/>
    <w:uiPriority w:val="0"/>
    <w:pPr>
      <w:ind w:left="420" w:leftChars="200"/>
    </w:p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10633</Words>
  <Characters>12034</Characters>
  <Lines>0</Lines>
  <Paragraphs>0</Paragraphs>
  <TotalTime>88</TotalTime>
  <ScaleCrop>false</ScaleCrop>
  <LinksUpToDate>false</LinksUpToDate>
  <CharactersWithSpaces>12106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user</cp:lastModifiedBy>
  <cp:lastPrinted>2023-07-26T08:08:00Z</cp:lastPrinted>
  <dcterms:modified xsi:type="dcterms:W3CDTF">2024-02-11T15:05:20Z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2BBE8E6D3E5D47A4A998C501760633D5_13</vt:lpwstr>
  </property>
</Properties>
</file>