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textAlignment w:val="auto"/>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方正小标宋_GBK" w:cs="Times New Roman"/>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方正小标宋_GBK" w:cs="Times New Roman"/>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方正小标宋_GBK" w:cs="Times New Roman"/>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方正小标宋_GBK" w:cs="Times New Roman"/>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方正小标宋_GBK" w:cs="Times New Roman"/>
          <w:sz w:val="44"/>
          <w:szCs w:val="44"/>
          <w:highlight w:val="none"/>
          <w:lang w:val="en-US" w:eastAsia="zh-CN"/>
        </w:rPr>
      </w:pPr>
      <w:r>
        <w:rPr>
          <w:rFonts w:hint="eastAsia" w:eastAsia="方正小标宋_GBK" w:cs="Times New Roman"/>
          <w:sz w:val="44"/>
          <w:szCs w:val="44"/>
          <w:highlight w:val="none"/>
          <w:lang w:val="en-US" w:eastAsia="zh-CN"/>
        </w:rPr>
        <w:t>乌鲁木齐市</w:t>
      </w:r>
      <w:r>
        <w:rPr>
          <w:rFonts w:hint="default" w:ascii="Times New Roman" w:hAnsi="Times New Roman" w:eastAsia="方正小标宋_GBK" w:cs="Times New Roman"/>
          <w:sz w:val="44"/>
          <w:szCs w:val="44"/>
          <w:highlight w:val="none"/>
          <w:lang w:eastAsia="zh-CN"/>
        </w:rPr>
        <w:t>水磨沟区七纺</w:t>
      </w:r>
      <w:r>
        <w:rPr>
          <w:rFonts w:hint="default" w:ascii="Times New Roman" w:hAnsi="Times New Roman" w:eastAsia="方正小标宋_GBK" w:cs="Times New Roman"/>
          <w:sz w:val="44"/>
          <w:szCs w:val="44"/>
          <w:highlight w:val="none"/>
          <w:lang w:val="en-US" w:eastAsia="zh-CN"/>
        </w:rPr>
        <w:t>片区管理委员会</w:t>
      </w: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lang w:val="en-US" w:eastAsia="zh-CN"/>
        </w:rPr>
        <w:t>2022</w:t>
      </w:r>
      <w:r>
        <w:rPr>
          <w:rFonts w:hint="default" w:ascii="Times New Roman" w:hAnsi="Times New Roman" w:eastAsia="方正小标宋_GBK" w:cs="Times New Roman"/>
          <w:sz w:val="44"/>
          <w:szCs w:val="44"/>
          <w:highlight w:val="none"/>
        </w:rPr>
        <w:t>年度部门决算</w:t>
      </w: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公开说明</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_GB2312" w:cs="Times New Roman"/>
          <w:b w:val="0"/>
          <w:bCs/>
          <w:kern w:val="0"/>
          <w:sz w:val="32"/>
          <w:szCs w:val="32"/>
          <w:highlight w:val="none"/>
        </w:rPr>
      </w:pPr>
      <w:r>
        <w:rPr>
          <w:rFonts w:hint="default" w:ascii="Times New Roman" w:hAnsi="Times New Roman" w:eastAsia="方正小标宋_GBK" w:cs="Times New Roman"/>
          <w:sz w:val="44"/>
          <w:szCs w:val="44"/>
          <w:highlight w:val="none"/>
        </w:rPr>
        <w:br w:type="page"/>
      </w:r>
      <w:r>
        <w:rPr>
          <w:rFonts w:hint="default" w:ascii="Times New Roman" w:hAnsi="Times New Roman" w:eastAsia="仿宋_GB2312" w:cs="Times New Roman"/>
          <w:b/>
          <w:bCs w:val="0"/>
          <w:kern w:val="0"/>
          <w:sz w:val="36"/>
          <w:szCs w:val="36"/>
          <w:highlight w:val="none"/>
        </w:rPr>
        <w:t>目  录</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TOC \o "1-3" \n  \h \u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
          <w:bCs/>
          <w:sz w:val="32"/>
          <w:szCs w:val="32"/>
          <w:highlight w:val="none"/>
        </w:rPr>
        <w:fldChar w:fldCharType="begin"/>
      </w:r>
      <w:r>
        <w:rPr>
          <w:rFonts w:hint="default" w:ascii="Times New Roman" w:hAnsi="Times New Roman" w:eastAsia="仿宋_GB2312" w:cs="Times New Roman"/>
          <w:b/>
          <w:bCs/>
          <w:sz w:val="32"/>
          <w:szCs w:val="32"/>
          <w:highlight w:val="none"/>
        </w:rPr>
        <w:instrText xml:space="preserve"> HYPERLINK \l _Toc32314 </w:instrText>
      </w:r>
      <w:r>
        <w:rPr>
          <w:rFonts w:hint="default" w:ascii="Times New Roman" w:hAnsi="Times New Roman" w:eastAsia="仿宋_GB2312" w:cs="Times New Roman"/>
          <w:b/>
          <w:bCs/>
          <w:sz w:val="32"/>
          <w:szCs w:val="32"/>
          <w:highlight w:val="none"/>
        </w:rPr>
        <w:fldChar w:fldCharType="separate"/>
      </w:r>
      <w:r>
        <w:rPr>
          <w:rFonts w:hint="default" w:ascii="Times New Roman" w:hAnsi="Times New Roman" w:eastAsia="仿宋_GB2312" w:cs="Times New Roman"/>
          <w:b/>
          <w:bCs/>
          <w:sz w:val="32"/>
          <w:szCs w:val="32"/>
          <w:highlight w:val="none"/>
        </w:rPr>
        <w:t>第一部分 单位概况</w:t>
      </w:r>
      <w:r>
        <w:rPr>
          <w:rFonts w:hint="default" w:ascii="Times New Roman" w:hAnsi="Times New Roman" w:eastAsia="仿宋_GB2312" w:cs="Times New Roman"/>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_Toc30567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kern w:val="0"/>
          <w:sz w:val="32"/>
          <w:szCs w:val="32"/>
          <w:highlight w:val="none"/>
        </w:rPr>
        <w:t>一、主要职能</w:t>
      </w:r>
      <w:r>
        <w:rPr>
          <w:rFonts w:hint="default" w:ascii="Times New Roman" w:hAnsi="Times New Roman" w:eastAsia="仿宋_GB2312" w:cs="Times New Roman"/>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_Toc2151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kern w:val="0"/>
          <w:sz w:val="32"/>
          <w:szCs w:val="32"/>
          <w:highlight w:val="none"/>
        </w:rPr>
        <w:t>二、机构设置</w:t>
      </w:r>
      <w:r>
        <w:rPr>
          <w:rFonts w:hint="default" w:ascii="Times New Roman" w:hAnsi="Times New Roman" w:eastAsia="仿宋_GB2312" w:cs="Times New Roman"/>
          <w:bCs/>
          <w:kern w:val="0"/>
          <w:sz w:val="32"/>
          <w:szCs w:val="32"/>
          <w:highlight w:val="none"/>
          <w:lang w:eastAsia="zh-CN"/>
        </w:rPr>
        <w:t>及人员</w:t>
      </w:r>
      <w:r>
        <w:rPr>
          <w:rFonts w:hint="default" w:ascii="Times New Roman" w:hAnsi="Times New Roman" w:eastAsia="仿宋_GB2312" w:cs="Times New Roman"/>
          <w:bCs/>
          <w:kern w:val="0"/>
          <w:sz w:val="32"/>
          <w:szCs w:val="32"/>
          <w:highlight w:val="none"/>
        </w:rPr>
        <w:t>情况</w:t>
      </w:r>
      <w:r>
        <w:rPr>
          <w:rFonts w:hint="default" w:ascii="Times New Roman" w:hAnsi="Times New Roman" w:eastAsia="仿宋_GB2312" w:cs="Times New Roman"/>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fldChar w:fldCharType="begin"/>
      </w:r>
      <w:r>
        <w:rPr>
          <w:rFonts w:hint="default" w:ascii="Times New Roman" w:hAnsi="Times New Roman" w:eastAsia="仿宋_GB2312" w:cs="Times New Roman"/>
          <w:b/>
          <w:bCs/>
          <w:sz w:val="32"/>
          <w:szCs w:val="32"/>
          <w:highlight w:val="none"/>
        </w:rPr>
        <w:instrText xml:space="preserve"> HYPERLINK \l _Toc29374 </w:instrText>
      </w:r>
      <w:r>
        <w:rPr>
          <w:rFonts w:hint="default" w:ascii="Times New Roman" w:hAnsi="Times New Roman" w:eastAsia="仿宋_GB2312" w:cs="Times New Roman"/>
          <w:b/>
          <w:bCs/>
          <w:sz w:val="32"/>
          <w:szCs w:val="32"/>
          <w:highlight w:val="none"/>
        </w:rPr>
        <w:fldChar w:fldCharType="separate"/>
      </w:r>
      <w:r>
        <w:rPr>
          <w:rFonts w:hint="default" w:ascii="Times New Roman" w:hAnsi="Times New Roman" w:eastAsia="仿宋_GB2312" w:cs="Times New Roman"/>
          <w:b/>
          <w:bCs/>
          <w:sz w:val="32"/>
          <w:szCs w:val="32"/>
          <w:highlight w:val="none"/>
        </w:rPr>
        <w:t>第二部分 部门决算情况说明</w:t>
      </w:r>
      <w:r>
        <w:rPr>
          <w:rFonts w:hint="default" w:ascii="Times New Roman" w:hAnsi="Times New Roman" w:eastAsia="仿宋_GB2312" w:cs="Times New Roman"/>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_Toc25314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kern w:val="0"/>
          <w:sz w:val="32"/>
          <w:szCs w:val="32"/>
          <w:highlight w:val="none"/>
        </w:rPr>
        <w:t>一、收入支出决算总体情况说明</w:t>
      </w:r>
      <w:r>
        <w:rPr>
          <w:rFonts w:hint="default" w:ascii="Times New Roman" w:hAnsi="Times New Roman" w:eastAsia="仿宋_GB2312" w:cs="Times New Roman"/>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_Toc12142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kern w:val="0"/>
          <w:sz w:val="32"/>
          <w:szCs w:val="32"/>
          <w:highlight w:val="none"/>
          <w:lang w:eastAsia="zh-CN"/>
        </w:rPr>
        <w:t>二、</w:t>
      </w:r>
      <w:r>
        <w:rPr>
          <w:rFonts w:hint="default" w:ascii="Times New Roman" w:hAnsi="Times New Roman" w:eastAsia="仿宋_GB2312" w:cs="Times New Roman"/>
          <w:bCs/>
          <w:kern w:val="0"/>
          <w:sz w:val="32"/>
          <w:szCs w:val="32"/>
          <w:highlight w:val="none"/>
        </w:rPr>
        <w:t>收入</w:t>
      </w:r>
      <w:r>
        <w:rPr>
          <w:rFonts w:hint="default" w:ascii="Times New Roman" w:hAnsi="Times New Roman" w:eastAsia="仿宋_GB2312" w:cs="Times New Roman"/>
          <w:bCs/>
          <w:kern w:val="0"/>
          <w:sz w:val="32"/>
          <w:szCs w:val="32"/>
          <w:highlight w:val="none"/>
          <w:lang w:eastAsia="zh-CN"/>
        </w:rPr>
        <w:t>决算</w:t>
      </w:r>
      <w:r>
        <w:rPr>
          <w:rFonts w:hint="default" w:ascii="Times New Roman" w:hAnsi="Times New Roman" w:eastAsia="仿宋_GB2312" w:cs="Times New Roman"/>
          <w:bCs/>
          <w:kern w:val="0"/>
          <w:sz w:val="32"/>
          <w:szCs w:val="32"/>
          <w:highlight w:val="none"/>
        </w:rPr>
        <w:t>情况说明</w:t>
      </w:r>
      <w:r>
        <w:rPr>
          <w:rFonts w:hint="default" w:ascii="Times New Roman" w:hAnsi="Times New Roman" w:eastAsia="仿宋_GB2312" w:cs="Times New Roman"/>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_Toc13201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kern w:val="0"/>
          <w:sz w:val="32"/>
          <w:szCs w:val="32"/>
          <w:highlight w:val="none"/>
          <w:lang w:eastAsia="zh-CN"/>
        </w:rPr>
        <w:t>三、支出决算情况说明</w:t>
      </w:r>
      <w:r>
        <w:rPr>
          <w:rFonts w:hint="default" w:ascii="Times New Roman" w:hAnsi="Times New Roman" w:eastAsia="仿宋_GB2312" w:cs="Times New Roman"/>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_Toc26564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kern w:val="0"/>
          <w:sz w:val="32"/>
          <w:szCs w:val="32"/>
          <w:highlight w:val="none"/>
          <w:lang w:eastAsia="zh-CN"/>
        </w:rPr>
        <w:t>四、财政拨款收入支出决算总体情况说明</w:t>
      </w:r>
      <w:r>
        <w:rPr>
          <w:rFonts w:hint="default" w:ascii="Times New Roman" w:hAnsi="Times New Roman" w:eastAsia="仿宋_GB2312" w:cs="Times New Roman"/>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_Toc20360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kern w:val="0"/>
          <w:sz w:val="32"/>
          <w:szCs w:val="32"/>
          <w:highlight w:val="none"/>
          <w:lang w:eastAsia="zh-CN"/>
        </w:rPr>
        <w:t>五、一般公共预算财政拨款支出决算情况说明</w:t>
      </w:r>
      <w:r>
        <w:rPr>
          <w:rFonts w:hint="default" w:ascii="Times New Roman" w:hAnsi="Times New Roman" w:eastAsia="仿宋_GB2312" w:cs="Times New Roman"/>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_Toc30870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kern w:val="0"/>
          <w:sz w:val="32"/>
          <w:szCs w:val="32"/>
          <w:highlight w:val="none"/>
          <w:lang w:eastAsia="zh-CN"/>
        </w:rPr>
        <w:t>六、一般公共预算财政拨款基本支出决算情况说明</w:t>
      </w:r>
      <w:r>
        <w:rPr>
          <w:rFonts w:hint="default" w:ascii="Times New Roman" w:hAnsi="Times New Roman" w:eastAsia="仿宋_GB2312" w:cs="Times New Roman"/>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_Toc21518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kern w:val="0"/>
          <w:sz w:val="32"/>
          <w:szCs w:val="32"/>
          <w:highlight w:val="none"/>
          <w:lang w:eastAsia="zh-CN"/>
        </w:rPr>
        <w:t>七</w:t>
      </w:r>
      <w:r>
        <w:rPr>
          <w:rFonts w:hint="default" w:ascii="Times New Roman" w:hAnsi="Times New Roman" w:eastAsia="仿宋_GB2312" w:cs="Times New Roman"/>
          <w:bCs/>
          <w:kern w:val="0"/>
          <w:sz w:val="32"/>
          <w:szCs w:val="32"/>
          <w:highlight w:val="none"/>
        </w:rPr>
        <w:t>、</w:t>
      </w:r>
      <w:r>
        <w:rPr>
          <w:rFonts w:hint="default" w:ascii="Times New Roman" w:hAnsi="Times New Roman" w:eastAsia="仿宋_GB2312" w:cs="Times New Roman"/>
          <w:bCs/>
          <w:kern w:val="0"/>
          <w:sz w:val="32"/>
          <w:szCs w:val="32"/>
          <w:highlight w:val="none"/>
          <w:lang w:eastAsia="zh-CN"/>
        </w:rPr>
        <w:t>财政拨款</w:t>
      </w:r>
      <w:r>
        <w:rPr>
          <w:rFonts w:hint="default" w:ascii="Times New Roman" w:hAnsi="Times New Roman" w:eastAsia="仿宋_GB2312" w:cs="Times New Roman"/>
          <w:bCs/>
          <w:kern w:val="0"/>
          <w:sz w:val="32"/>
          <w:szCs w:val="32"/>
          <w:highlight w:val="none"/>
        </w:rPr>
        <w:t>“三公”经费支出</w:t>
      </w:r>
      <w:r>
        <w:rPr>
          <w:rFonts w:hint="default" w:ascii="Times New Roman" w:hAnsi="Times New Roman" w:eastAsia="仿宋_GB2312" w:cs="Times New Roman"/>
          <w:bCs/>
          <w:kern w:val="0"/>
          <w:sz w:val="32"/>
          <w:szCs w:val="32"/>
          <w:highlight w:val="none"/>
          <w:lang w:eastAsia="zh-CN"/>
        </w:rPr>
        <w:t>决算</w:t>
      </w:r>
      <w:r>
        <w:rPr>
          <w:rFonts w:hint="default" w:ascii="Times New Roman" w:hAnsi="Times New Roman" w:eastAsia="仿宋_GB2312" w:cs="Times New Roman"/>
          <w:bCs/>
          <w:kern w:val="0"/>
          <w:sz w:val="32"/>
          <w:szCs w:val="32"/>
          <w:highlight w:val="none"/>
        </w:rPr>
        <w:t>情况</w:t>
      </w:r>
      <w:r>
        <w:rPr>
          <w:rFonts w:hint="default" w:ascii="Times New Roman" w:hAnsi="Times New Roman" w:eastAsia="仿宋_GB2312" w:cs="Times New Roman"/>
          <w:bCs/>
          <w:kern w:val="0"/>
          <w:sz w:val="32"/>
          <w:szCs w:val="32"/>
          <w:highlight w:val="none"/>
          <w:lang w:eastAsia="zh-CN"/>
        </w:rPr>
        <w:t>说明</w:t>
      </w:r>
      <w:r>
        <w:rPr>
          <w:rFonts w:hint="default" w:ascii="Times New Roman" w:hAnsi="Times New Roman" w:eastAsia="仿宋_GB2312" w:cs="Times New Roman"/>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_Toc5810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kern w:val="0"/>
          <w:sz w:val="32"/>
          <w:szCs w:val="32"/>
          <w:highlight w:val="none"/>
          <w:lang w:val="en-US" w:eastAsia="zh-CN"/>
        </w:rPr>
        <w:t>八、</w:t>
      </w:r>
      <w:r>
        <w:rPr>
          <w:rFonts w:hint="default" w:ascii="Times New Roman" w:hAnsi="Times New Roman" w:eastAsia="仿宋_GB2312" w:cs="Times New Roman"/>
          <w:bCs/>
          <w:kern w:val="0"/>
          <w:sz w:val="32"/>
          <w:szCs w:val="32"/>
          <w:highlight w:val="none"/>
          <w:lang w:eastAsia="zh-CN"/>
        </w:rPr>
        <w:t>政府性基金预算财政拨款收入支出决算情况说明</w:t>
      </w:r>
      <w:r>
        <w:rPr>
          <w:rFonts w:hint="default" w:ascii="Times New Roman" w:hAnsi="Times New Roman" w:eastAsia="仿宋_GB2312" w:cs="Times New Roman"/>
          <w:sz w:val="32"/>
          <w:szCs w:val="32"/>
          <w:highlight w:val="none"/>
        </w:rPr>
        <w:fldChar w:fldCharType="end"/>
      </w:r>
    </w:p>
    <w:p>
      <w:pPr>
        <w:rPr>
          <w:rFonts w:hint="default" w:ascii="Times New Roman" w:hAnsi="Times New Roman" w:cs="Times New Roman"/>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_Toc5810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kern w:val="0"/>
          <w:sz w:val="32"/>
          <w:szCs w:val="32"/>
          <w:highlight w:val="none"/>
          <w:lang w:val="en-US" w:eastAsia="zh-CN"/>
        </w:rPr>
        <w:t>九</w:t>
      </w:r>
      <w:r>
        <w:rPr>
          <w:rFonts w:hint="default" w:ascii="Times New Roman" w:hAnsi="Times New Roman" w:eastAsia="仿宋_GB2312" w:cs="Times New Roman"/>
          <w:bCs/>
          <w:kern w:val="0"/>
          <w:sz w:val="32"/>
          <w:szCs w:val="32"/>
          <w:highlight w:val="none"/>
          <w:lang w:eastAsia="zh-CN"/>
        </w:rPr>
        <w:t>、国有资本经营预算财政拨款收入支出决算情况说明</w:t>
      </w:r>
      <w:r>
        <w:rPr>
          <w:rFonts w:hint="default" w:ascii="Times New Roman" w:hAnsi="Times New Roman" w:eastAsia="仿宋_GB2312" w:cs="Times New Roman"/>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_Toc1235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lang w:eastAsia="zh-CN"/>
        </w:rPr>
        <w:t>十</w:t>
      </w:r>
      <w:r>
        <w:rPr>
          <w:rFonts w:hint="default" w:ascii="Times New Roman" w:hAnsi="Times New Roman" w:eastAsia="仿宋_GB2312" w:cs="Times New Roman"/>
          <w:bCs/>
          <w:kern w:val="0"/>
          <w:sz w:val="32"/>
          <w:szCs w:val="32"/>
          <w:highlight w:val="none"/>
        </w:rPr>
        <w:t>、其他重要事项的情况</w:t>
      </w:r>
      <w:r>
        <w:rPr>
          <w:rFonts w:hint="default" w:ascii="Times New Roman" w:hAnsi="Times New Roman" w:eastAsia="仿宋_GB2312" w:cs="Times New Roman"/>
          <w:bCs/>
          <w:kern w:val="0"/>
          <w:sz w:val="32"/>
          <w:szCs w:val="32"/>
          <w:highlight w:val="none"/>
          <w:lang w:eastAsia="zh-CN"/>
        </w:rPr>
        <w:t>说明</w:t>
      </w:r>
      <w:r>
        <w:rPr>
          <w:rFonts w:hint="default" w:ascii="Times New Roman" w:hAnsi="Times New Roman" w:eastAsia="仿宋_GB2312" w:cs="Times New Roman"/>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_Toc14519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lang w:eastAsia="zh-CN"/>
        </w:rPr>
        <w:t>（一）</w:t>
      </w:r>
      <w:r>
        <w:rPr>
          <w:rFonts w:hint="default" w:ascii="Times New Roman" w:hAnsi="Times New Roman" w:eastAsia="仿宋_GB2312" w:cs="Times New Roman"/>
          <w:sz w:val="32"/>
          <w:szCs w:val="32"/>
          <w:highlight w:val="none"/>
        </w:rPr>
        <w:t>机关运行经费支出情况</w:t>
      </w:r>
      <w:r>
        <w:rPr>
          <w:rFonts w:hint="default" w:ascii="Times New Roman" w:hAnsi="Times New Roman" w:eastAsia="仿宋_GB2312" w:cs="Times New Roman"/>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_Toc227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lang w:eastAsia="zh-CN"/>
        </w:rPr>
        <w:t>（二）政府采购情况</w:t>
      </w:r>
      <w:r>
        <w:rPr>
          <w:rFonts w:hint="default" w:ascii="Times New Roman" w:hAnsi="Times New Roman" w:eastAsia="仿宋_GB2312" w:cs="Times New Roman"/>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_Toc8391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lang w:eastAsia="zh-CN"/>
        </w:rPr>
        <w:t>（三）国有资产占用情况说明</w:t>
      </w:r>
      <w:r>
        <w:rPr>
          <w:rFonts w:hint="default" w:ascii="Times New Roman" w:hAnsi="Times New Roman" w:eastAsia="仿宋_GB2312" w:cs="Times New Roman"/>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_Toc11283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kern w:val="0"/>
          <w:sz w:val="32"/>
          <w:szCs w:val="32"/>
          <w:highlight w:val="none"/>
          <w:lang w:eastAsia="zh-CN"/>
        </w:rPr>
        <w:t>十</w:t>
      </w:r>
      <w:r>
        <w:rPr>
          <w:rFonts w:hint="default" w:ascii="Times New Roman" w:hAnsi="Times New Roman" w:eastAsia="仿宋_GB2312" w:cs="Times New Roman"/>
          <w:bCs/>
          <w:kern w:val="0"/>
          <w:sz w:val="32"/>
          <w:szCs w:val="32"/>
          <w:highlight w:val="none"/>
          <w:lang w:val="en-US" w:eastAsia="zh-CN"/>
        </w:rPr>
        <w:t>一</w:t>
      </w:r>
      <w:r>
        <w:rPr>
          <w:rFonts w:hint="default" w:ascii="Times New Roman" w:hAnsi="Times New Roman" w:eastAsia="仿宋_GB2312" w:cs="Times New Roman"/>
          <w:bCs/>
          <w:kern w:val="0"/>
          <w:sz w:val="32"/>
          <w:szCs w:val="32"/>
          <w:highlight w:val="none"/>
          <w:lang w:eastAsia="zh-CN"/>
        </w:rPr>
        <w:t>、预算绩效的情况说明</w:t>
      </w:r>
      <w:r>
        <w:rPr>
          <w:rFonts w:hint="default" w:ascii="Times New Roman" w:hAnsi="Times New Roman" w:eastAsia="仿宋_GB2312" w:cs="Times New Roman"/>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fldChar w:fldCharType="begin"/>
      </w:r>
      <w:r>
        <w:rPr>
          <w:rFonts w:hint="default" w:ascii="Times New Roman" w:hAnsi="Times New Roman" w:eastAsia="仿宋_GB2312" w:cs="Times New Roman"/>
          <w:b/>
          <w:bCs/>
          <w:sz w:val="32"/>
          <w:szCs w:val="32"/>
          <w:highlight w:val="none"/>
        </w:rPr>
        <w:instrText xml:space="preserve"> HYPERLINK \l _Toc3250 </w:instrText>
      </w:r>
      <w:r>
        <w:rPr>
          <w:rFonts w:hint="default" w:ascii="Times New Roman" w:hAnsi="Times New Roman" w:eastAsia="仿宋_GB2312" w:cs="Times New Roman"/>
          <w:b/>
          <w:bCs/>
          <w:sz w:val="32"/>
          <w:szCs w:val="32"/>
          <w:highlight w:val="none"/>
        </w:rPr>
        <w:fldChar w:fldCharType="separate"/>
      </w:r>
      <w:r>
        <w:rPr>
          <w:rFonts w:hint="default" w:ascii="Times New Roman" w:hAnsi="Times New Roman" w:eastAsia="仿宋_GB2312" w:cs="Times New Roman"/>
          <w:b/>
          <w:bCs/>
          <w:sz w:val="32"/>
          <w:szCs w:val="32"/>
          <w:highlight w:val="none"/>
        </w:rPr>
        <w:t>第三部分 专业名词解释</w:t>
      </w:r>
      <w:r>
        <w:rPr>
          <w:rFonts w:hint="default" w:ascii="Times New Roman" w:hAnsi="Times New Roman" w:eastAsia="仿宋_GB2312" w:cs="Times New Roman"/>
          <w:b/>
          <w:bCs/>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fldChar w:fldCharType="begin"/>
      </w:r>
      <w:r>
        <w:rPr>
          <w:rFonts w:hint="default" w:ascii="Times New Roman" w:hAnsi="Times New Roman" w:eastAsia="仿宋_GB2312" w:cs="Times New Roman"/>
          <w:b/>
          <w:bCs/>
          <w:sz w:val="32"/>
          <w:szCs w:val="32"/>
          <w:highlight w:val="none"/>
        </w:rPr>
        <w:instrText xml:space="preserve"> HYPERLINK \l _Toc22784 </w:instrText>
      </w:r>
      <w:r>
        <w:rPr>
          <w:rFonts w:hint="default" w:ascii="Times New Roman" w:hAnsi="Times New Roman" w:eastAsia="仿宋_GB2312" w:cs="Times New Roman"/>
          <w:b/>
          <w:bCs/>
          <w:sz w:val="32"/>
          <w:szCs w:val="32"/>
          <w:highlight w:val="none"/>
        </w:rPr>
        <w:fldChar w:fldCharType="separate"/>
      </w:r>
      <w:r>
        <w:rPr>
          <w:rFonts w:hint="default" w:ascii="Times New Roman" w:hAnsi="Times New Roman" w:eastAsia="仿宋_GB2312" w:cs="Times New Roman"/>
          <w:b/>
          <w:bCs/>
          <w:sz w:val="32"/>
          <w:szCs w:val="32"/>
          <w:highlight w:val="none"/>
        </w:rPr>
        <w:t>第四部分 部门决算报表（见附表）</w:t>
      </w:r>
      <w:r>
        <w:rPr>
          <w:rFonts w:hint="default" w:ascii="Times New Roman" w:hAnsi="Times New Roman" w:eastAsia="仿宋_GB2312" w:cs="Times New Roman"/>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_Toc2183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kern w:val="0"/>
          <w:sz w:val="32"/>
          <w:szCs w:val="32"/>
          <w:highlight w:val="none"/>
        </w:rPr>
        <w:t>一、《收入支出决算总表》</w:t>
      </w:r>
      <w:r>
        <w:rPr>
          <w:rFonts w:hint="default" w:ascii="Times New Roman" w:hAnsi="Times New Roman" w:eastAsia="仿宋_GB2312" w:cs="Times New Roman"/>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_Toc24532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kern w:val="0"/>
          <w:sz w:val="32"/>
          <w:szCs w:val="32"/>
          <w:highlight w:val="none"/>
        </w:rPr>
        <w:t>二、《收入决算表》</w:t>
      </w:r>
      <w:r>
        <w:rPr>
          <w:rFonts w:hint="default" w:ascii="Times New Roman" w:hAnsi="Times New Roman" w:eastAsia="仿宋_GB2312" w:cs="Times New Roman"/>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_Toc32434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kern w:val="0"/>
          <w:sz w:val="32"/>
          <w:szCs w:val="32"/>
          <w:highlight w:val="none"/>
        </w:rPr>
        <w:t>三、《支出决算表》</w:t>
      </w:r>
      <w:r>
        <w:rPr>
          <w:rFonts w:hint="default" w:ascii="Times New Roman" w:hAnsi="Times New Roman" w:eastAsia="仿宋_GB2312" w:cs="Times New Roman"/>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_Toc28786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kern w:val="0"/>
          <w:sz w:val="32"/>
          <w:szCs w:val="32"/>
          <w:highlight w:val="none"/>
        </w:rPr>
        <w:t>四、《财政拨款收入支出决算总表》</w:t>
      </w:r>
      <w:r>
        <w:rPr>
          <w:rFonts w:hint="default" w:ascii="Times New Roman" w:hAnsi="Times New Roman" w:eastAsia="仿宋_GB2312" w:cs="Times New Roman"/>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_Toc14869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kern w:val="0"/>
          <w:sz w:val="32"/>
          <w:szCs w:val="32"/>
          <w:highlight w:val="none"/>
        </w:rPr>
        <w:t>五、《一般公共预算财政拨款支出决算表》</w:t>
      </w:r>
      <w:r>
        <w:rPr>
          <w:rFonts w:hint="default" w:ascii="Times New Roman" w:hAnsi="Times New Roman" w:eastAsia="仿宋_GB2312" w:cs="Times New Roman"/>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_Toc8884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kern w:val="0"/>
          <w:sz w:val="32"/>
          <w:szCs w:val="32"/>
          <w:highlight w:val="none"/>
        </w:rPr>
        <w:t>六、《一般公共预算财政拨款基本支出决算表》</w:t>
      </w:r>
      <w:r>
        <w:rPr>
          <w:rFonts w:hint="default" w:ascii="Times New Roman" w:hAnsi="Times New Roman" w:eastAsia="仿宋_GB2312" w:cs="Times New Roman"/>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\l _Toc29106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bCs/>
          <w:kern w:val="0"/>
          <w:sz w:val="32"/>
          <w:szCs w:val="32"/>
          <w:highlight w:val="none"/>
        </w:rPr>
        <w:t>七、《财政拨款“三公”经费支出决算表》</w:t>
      </w:r>
      <w:r>
        <w:rPr>
          <w:rFonts w:hint="default" w:ascii="Times New Roman" w:hAnsi="Times New Roman" w:eastAsia="仿宋_GB2312" w:cs="Times New Roman"/>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bCs/>
          <w:kern w:val="0"/>
          <w:sz w:val="32"/>
          <w:szCs w:val="32"/>
          <w:highlight w:val="none"/>
        </w:rPr>
      </w:pPr>
      <w:r>
        <w:rPr>
          <w:rFonts w:hint="default" w:ascii="Times New Roman" w:hAnsi="Times New Roman" w:eastAsia="仿宋_GB2312" w:cs="Times New Roman"/>
          <w:bCs/>
          <w:kern w:val="0"/>
          <w:sz w:val="32"/>
          <w:szCs w:val="32"/>
          <w:highlight w:val="none"/>
        </w:rPr>
        <w:fldChar w:fldCharType="begin"/>
      </w:r>
      <w:r>
        <w:rPr>
          <w:rFonts w:hint="default" w:ascii="Times New Roman" w:hAnsi="Times New Roman" w:eastAsia="仿宋_GB2312" w:cs="Times New Roman"/>
          <w:bCs/>
          <w:kern w:val="0"/>
          <w:sz w:val="32"/>
          <w:szCs w:val="32"/>
          <w:highlight w:val="none"/>
        </w:rPr>
        <w:instrText xml:space="preserve"> HYPERLINK \l _Toc7643 </w:instrText>
      </w:r>
      <w:r>
        <w:rPr>
          <w:rFonts w:hint="default" w:ascii="Times New Roman" w:hAnsi="Times New Roman" w:eastAsia="仿宋_GB2312" w:cs="Times New Roman"/>
          <w:bCs/>
          <w:kern w:val="0"/>
          <w:sz w:val="32"/>
          <w:szCs w:val="32"/>
          <w:highlight w:val="none"/>
        </w:rPr>
        <w:fldChar w:fldCharType="separate"/>
      </w:r>
      <w:r>
        <w:rPr>
          <w:rFonts w:hint="default" w:ascii="Times New Roman" w:hAnsi="Times New Roman" w:eastAsia="仿宋_GB2312" w:cs="Times New Roman"/>
          <w:bCs/>
          <w:kern w:val="0"/>
          <w:sz w:val="32"/>
          <w:szCs w:val="32"/>
          <w:highlight w:val="none"/>
          <w:lang w:val="en-US" w:eastAsia="zh-CN"/>
        </w:rPr>
        <w:t>八、</w:t>
      </w:r>
      <w:r>
        <w:rPr>
          <w:rFonts w:hint="default" w:ascii="Times New Roman" w:hAnsi="Times New Roman" w:eastAsia="仿宋_GB2312" w:cs="Times New Roman"/>
          <w:bCs/>
          <w:kern w:val="0"/>
          <w:sz w:val="32"/>
          <w:szCs w:val="32"/>
          <w:highlight w:val="none"/>
        </w:rPr>
        <w:t>《政府性基金预算财政拨款收入支出决算表》</w:t>
      </w:r>
      <w:r>
        <w:rPr>
          <w:rFonts w:hint="default" w:ascii="Times New Roman" w:hAnsi="Times New Roman" w:eastAsia="仿宋_GB2312" w:cs="Times New Roman"/>
          <w:bCs/>
          <w:kern w:val="0"/>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Times New Roman" w:hAnsi="Times New Roman" w:eastAsia="仿宋_GB2312" w:cs="Times New Roman"/>
          <w:bCs/>
          <w:kern w:val="0"/>
          <w:sz w:val="32"/>
          <w:szCs w:val="32"/>
          <w:highlight w:val="none"/>
          <w:lang w:eastAsia="zh-CN"/>
        </w:rPr>
      </w:pPr>
      <w:r>
        <w:rPr>
          <w:rFonts w:hint="default" w:ascii="Times New Roman" w:hAnsi="Times New Roman" w:eastAsia="仿宋_GB2312" w:cs="Times New Roman"/>
          <w:bCs/>
          <w:kern w:val="0"/>
          <w:sz w:val="32"/>
          <w:szCs w:val="32"/>
          <w:highlight w:val="none"/>
          <w:lang w:val="en-US" w:eastAsia="zh-CN"/>
        </w:rPr>
        <w:t>九</w:t>
      </w:r>
      <w:r>
        <w:rPr>
          <w:rFonts w:hint="default" w:ascii="Times New Roman" w:hAnsi="Times New Roman" w:eastAsia="仿宋_GB2312" w:cs="Times New Roman"/>
          <w:bCs/>
          <w:kern w:val="0"/>
          <w:sz w:val="32"/>
          <w:szCs w:val="32"/>
          <w:highlight w:val="none"/>
          <w:lang w:eastAsia="zh-CN"/>
        </w:rPr>
        <w:t>、《国有资本经营</w:t>
      </w:r>
      <w:r>
        <w:rPr>
          <w:rFonts w:hint="default" w:ascii="Times New Roman" w:hAnsi="Times New Roman" w:eastAsia="仿宋_GB2312" w:cs="Times New Roman"/>
          <w:bCs/>
          <w:kern w:val="0"/>
          <w:sz w:val="32"/>
          <w:szCs w:val="32"/>
          <w:highlight w:val="none"/>
        </w:rPr>
        <w:t>预算财政拨款收入支出决算表</w:t>
      </w:r>
      <w:r>
        <w:rPr>
          <w:rFonts w:hint="default" w:ascii="Times New Roman" w:hAnsi="Times New Roman" w:eastAsia="仿宋_GB2312" w:cs="Times New Roman"/>
          <w:bCs/>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default" w:ascii="Times New Roman" w:hAnsi="Times New Roman" w:cs="Times New Roman"/>
          <w:highlight w:val="none"/>
        </w:rPr>
      </w:pPr>
      <w:r>
        <w:rPr>
          <w:rFonts w:hint="default" w:ascii="Times New Roman" w:hAnsi="Times New Roman" w:eastAsia="仿宋_GB2312" w:cs="Times New Roman"/>
          <w:sz w:val="32"/>
          <w:szCs w:val="32"/>
          <w:highlight w:val="none"/>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default" w:ascii="Times New Roman" w:hAnsi="Times New Roman" w:eastAsia="黑体" w:cs="Times New Roman"/>
          <w:sz w:val="32"/>
          <w:szCs w:val="32"/>
          <w:highlight w:val="none"/>
        </w:rPr>
      </w:pPr>
      <w:r>
        <w:rPr>
          <w:rFonts w:hint="default" w:ascii="Times New Roman" w:hAnsi="Times New Roman" w:eastAsia="仿宋_GB2312" w:cs="Times New Roman"/>
          <w:sz w:val="32"/>
          <w:szCs w:val="32"/>
          <w:highlight w:val="none"/>
        </w:rPr>
        <w:br w:type="page"/>
      </w:r>
      <w:bookmarkStart w:id="0" w:name="_Toc32314"/>
      <w:bookmarkStart w:id="1" w:name="_Toc24028"/>
      <w:r>
        <w:rPr>
          <w:rFonts w:hint="default" w:ascii="Times New Roman" w:hAnsi="Times New Roman" w:eastAsia="黑体" w:cs="Times New Roman"/>
          <w:sz w:val="32"/>
          <w:szCs w:val="32"/>
          <w:highlight w:val="none"/>
        </w:rPr>
        <w:t>第一部分 单位概况</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kern w:val="0"/>
          <w:sz w:val="32"/>
          <w:szCs w:val="32"/>
          <w:highlight w:val="none"/>
        </w:rPr>
      </w:pPr>
      <w:bookmarkStart w:id="2" w:name="_Toc30567"/>
      <w:bookmarkStart w:id="3" w:name="_Toc30738"/>
      <w:r>
        <w:rPr>
          <w:rFonts w:hint="default" w:ascii="Times New Roman" w:hAnsi="Times New Roman" w:eastAsia="黑体" w:cs="Times New Roman"/>
          <w:bCs/>
          <w:kern w:val="0"/>
          <w:sz w:val="32"/>
          <w:szCs w:val="32"/>
          <w:highlight w:val="none"/>
        </w:rPr>
        <w:t>一、主要职能</w:t>
      </w:r>
      <w:bookmarkEnd w:id="2"/>
      <w:bookmarkEnd w:id="3"/>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 w:hAnsi="仿宋" w:eastAsia="仿宋" w:cs="仿宋"/>
          <w:sz w:val="32"/>
          <w:szCs w:val="32"/>
          <w:highlight w:val="none"/>
          <w:lang w:eastAsia="zh-CN"/>
        </w:rPr>
      </w:pPr>
      <w:bookmarkStart w:id="4" w:name="_Toc31238"/>
      <w:bookmarkStart w:id="5" w:name="_Toc2151"/>
      <w:r>
        <w:rPr>
          <w:rFonts w:hint="eastAsia" w:ascii="仿宋" w:hAnsi="仿宋" w:eastAsia="仿宋" w:cs="仿宋"/>
          <w:sz w:val="32"/>
          <w:szCs w:val="32"/>
          <w:highlight w:val="none"/>
          <w:lang w:eastAsia="zh-CN"/>
        </w:rPr>
        <w:t>为进一步强化街道党工委领导核心作用，统筹优化和综合设置党政机构，合理配置职能，构建职能清晰、简约精干、运转高效的街道组织架构。将街道原“两室四中心一队”优化为“2+4+1+1”构架，即统一设置2个行政机构:党建办公室、综合协调办公室(综合执法办公室);统一设置4个事业单位:党群服务中心、社会事务(统计)服务中心(退役军人服务站)、综治中心(网格化服务中心、群众工作中心)、公共卫生服务指导中心(防疫专员办公室);统一设置1个综合行政执法队。</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结合本街道实际，设置1个特色事业单位，即：城区(物业)管理服务中心。</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(一)党建办公室。主要负责党务、组织、宣传、人事、老干部等工作；承担人大、工青妇等群团组织的日常工作及政协委员的联络工作。</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(二)综合协调办公室(综合执法办公室)。主要负责文秘、档案、保密、翻译、综合协调、后勤保障等工作，负责行政执法工作的规划、管理、协调和监督工作。</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(三)党群服务中心。主要承担辖区居民宣传发动、“访惠聚”工作以及社团组织培育、发展和管理等服务工作。</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(四)社会事务(统计)服务中心(退役军人服务站)。主要承担辖区经济发展、民政、教育、劳动就业、社会保障、社会救助、退役军人服务管理、残疾人事业、统计、生态环保等工作。</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(五)公共卫生服务指导中心(防疫专员办公室)。主要承担辖区公共卫生、计划生育、健康教育、防疫宣传、预防接种等工作，协助专业部门开展</w:t>
      </w:r>
      <w:r>
        <w:rPr>
          <w:rFonts w:hint="eastAsia" w:ascii="仿宋" w:hAnsi="仿宋" w:eastAsia="仿宋" w:cs="仿宋"/>
          <w:sz w:val="32"/>
          <w:szCs w:val="32"/>
          <w:highlight w:val="none"/>
          <w:lang w:val="en-US" w:eastAsia="zh-CN"/>
        </w:rPr>
        <w:t>公共卫生</w:t>
      </w:r>
      <w:r>
        <w:rPr>
          <w:rFonts w:hint="eastAsia" w:ascii="仿宋" w:hAnsi="仿宋" w:eastAsia="仿宋" w:cs="仿宋"/>
          <w:sz w:val="32"/>
          <w:szCs w:val="32"/>
          <w:highlight w:val="none"/>
          <w:lang w:eastAsia="zh-CN"/>
        </w:rPr>
        <w:t>防控工作。</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六)综治中心(网格化服务中心、群众工作中心)。主要承担辖区社会治安综合治理、法治建设、平安建设、民族宗教事务、网格化管理、安全生产、应急管理、人民武装、流动人口、安置帮教、社区矫正、“扫黄打非”、普法、预防未成年人违法犯罪等服务工作，以及群众信访矛盾纠纷调解和群众各类诉求归口收集、精准分流、更进督办等群众工作。</w:t>
      </w:r>
      <w:r>
        <w:rPr>
          <w:rFonts w:hint="eastAsia" w:ascii="仿宋" w:hAnsi="仿宋" w:eastAsia="仿宋" w:cs="仿宋"/>
          <w:sz w:val="32"/>
          <w:szCs w:val="32"/>
          <w:highlight w:val="none"/>
          <w:lang w:val="en-US" w:eastAsia="zh-CN"/>
        </w:rPr>
        <w:t xml:space="preserve">    </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(七)城区(物业)管理服务中心。负责市容和环境卫生管理工作;负责指导、协调、督促辖区物业和企业(商户)的管理服务工作;组织开展环境卫生整治工作。</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(八)综合行政执法队。根据授权做好辖区综合行政执法工作。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kern w:val="0"/>
          <w:sz w:val="32"/>
          <w:szCs w:val="32"/>
          <w:highlight w:val="none"/>
        </w:rPr>
      </w:pPr>
      <w:r>
        <w:rPr>
          <w:rFonts w:hint="default" w:ascii="Times New Roman" w:hAnsi="Times New Roman" w:eastAsia="黑体" w:cs="Times New Roman"/>
          <w:bCs/>
          <w:kern w:val="0"/>
          <w:sz w:val="32"/>
          <w:szCs w:val="32"/>
          <w:highlight w:val="none"/>
        </w:rPr>
        <w:t>二、机构设置</w:t>
      </w:r>
      <w:r>
        <w:rPr>
          <w:rFonts w:hint="default" w:ascii="Times New Roman" w:hAnsi="Times New Roman" w:eastAsia="黑体" w:cs="Times New Roman"/>
          <w:bCs/>
          <w:kern w:val="0"/>
          <w:sz w:val="32"/>
          <w:szCs w:val="32"/>
          <w:highlight w:val="none"/>
          <w:lang w:eastAsia="zh-CN"/>
        </w:rPr>
        <w:t>及</w:t>
      </w:r>
      <w:bookmarkEnd w:id="4"/>
      <w:r>
        <w:rPr>
          <w:rFonts w:hint="default" w:ascii="Times New Roman" w:hAnsi="Times New Roman" w:eastAsia="黑体" w:cs="Times New Roman"/>
          <w:bCs/>
          <w:kern w:val="0"/>
          <w:sz w:val="32"/>
          <w:szCs w:val="32"/>
          <w:highlight w:val="none"/>
          <w:lang w:eastAsia="zh-CN"/>
        </w:rPr>
        <w:t>人员</w:t>
      </w:r>
      <w:r>
        <w:rPr>
          <w:rFonts w:hint="default" w:ascii="Times New Roman" w:hAnsi="Times New Roman" w:eastAsia="黑体" w:cs="Times New Roman"/>
          <w:bCs/>
          <w:kern w:val="0"/>
          <w:sz w:val="32"/>
          <w:szCs w:val="32"/>
          <w:highlight w:val="none"/>
        </w:rPr>
        <w:t>情况</w:t>
      </w:r>
      <w:bookmarkEnd w:id="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pacing w:val="0"/>
          <w:sz w:val="32"/>
          <w:szCs w:val="32"/>
          <w:highlight w:val="none"/>
          <w:lang w:val="en-US" w:eastAsia="zh-CN"/>
        </w:rPr>
      </w:pPr>
      <w:r>
        <w:rPr>
          <w:rFonts w:hint="default" w:ascii="Times New Roman" w:hAnsi="Times New Roman" w:eastAsia="仿宋_GB2312" w:cs="Times New Roman"/>
          <w:spacing w:val="0"/>
          <w:sz w:val="32"/>
          <w:szCs w:val="32"/>
          <w:highlight w:val="none"/>
          <w:lang w:val="en-US" w:eastAsia="zh-CN"/>
        </w:rPr>
        <w:t>乌鲁木齐市水磨沟区七纺片区管理委员会2022年度，实有人数181人，其中：在职人员168人，离休人员0人，退休人员13人。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pacing w:val="0"/>
          <w:sz w:val="32"/>
          <w:szCs w:val="32"/>
          <w:highlight w:val="none"/>
          <w:lang w:val="zh-CN" w:eastAsia="zh-CN"/>
        </w:rPr>
      </w:pPr>
      <w:r>
        <w:rPr>
          <w:rFonts w:hint="default" w:ascii="Times New Roman" w:hAnsi="Times New Roman" w:eastAsia="仿宋_GB2312" w:cs="Times New Roman"/>
          <w:spacing w:val="0"/>
          <w:sz w:val="32"/>
          <w:szCs w:val="32"/>
          <w:highlight w:val="none"/>
          <w:lang w:val="en-US" w:eastAsia="zh-CN"/>
        </w:rPr>
        <w:t>从部门决算单位构成看，乌鲁木齐市水磨沟区七纺片区管理委员会部门决算包括：乌鲁木齐市水磨沟区七纺片区管理委员会决算。单位无下属预算单位，</w:t>
      </w:r>
      <w:r>
        <w:rPr>
          <w:rFonts w:hint="default" w:ascii="Times New Roman" w:hAnsi="Times New Roman" w:eastAsia="仿宋_GB2312" w:cs="Times New Roman"/>
          <w:spacing w:val="0"/>
          <w:sz w:val="32"/>
          <w:szCs w:val="32"/>
          <w:highlight w:val="none"/>
          <w:lang w:val="zh-CN" w:eastAsia="zh-CN"/>
        </w:rPr>
        <w:t>下设</w:t>
      </w:r>
      <w:r>
        <w:rPr>
          <w:rFonts w:hint="default" w:ascii="Times New Roman" w:hAnsi="Times New Roman" w:eastAsia="仿宋_GB2312" w:cs="Times New Roman"/>
          <w:spacing w:val="0"/>
          <w:sz w:val="32"/>
          <w:szCs w:val="32"/>
          <w:highlight w:val="none"/>
          <w:lang w:val="en-US" w:eastAsia="zh-CN"/>
        </w:rPr>
        <w:t>7</w:t>
      </w:r>
      <w:r>
        <w:rPr>
          <w:rFonts w:hint="default" w:ascii="Times New Roman" w:hAnsi="Times New Roman" w:eastAsia="仿宋_GB2312" w:cs="Times New Roman"/>
          <w:spacing w:val="0"/>
          <w:sz w:val="32"/>
          <w:szCs w:val="32"/>
          <w:highlight w:val="none"/>
          <w:lang w:val="zh-CN" w:eastAsia="zh-CN"/>
        </w:rPr>
        <w:t>个科室，分别是：党建办公室、综合协调办公室、党群服务中心、社会事务（统计）服务中心（退役军人服务站）、防疫专员办公室（公共卫生服务指导中心）、综治中心（网格化服务中心）、综合行政执法队。</w:t>
      </w:r>
      <w:bookmarkStart w:id="6" w:name="_Toc3092"/>
      <w:bookmarkStart w:id="7" w:name="_Toc29374"/>
    </w:p>
    <w:p>
      <w:pPr>
        <w:keepNext w:val="0"/>
        <w:keepLines w:val="0"/>
        <w:pageBreakBefore w:val="0"/>
        <w:widowControl w:val="0"/>
        <w:kinsoku/>
        <w:wordWrap/>
        <w:overflowPunct/>
        <w:topLinePunct w:val="0"/>
        <w:bidi w:val="0"/>
        <w:adjustRightInd/>
        <w:snapToGrid/>
        <w:spacing w:line="240" w:lineRule="auto"/>
        <w:ind w:firstLine="640" w:firstLineChars="200"/>
        <w:jc w:val="center"/>
        <w:textAlignment w:val="auto"/>
        <w:rPr>
          <w:rFonts w:hint="default" w:ascii="Times New Roman" w:hAnsi="Times New Roman" w:eastAsia="仿宋_GB2312" w:cs="Times New Roman"/>
          <w:kern w:val="0"/>
          <w:sz w:val="32"/>
          <w:szCs w:val="24"/>
          <w:highlight w:val="none"/>
          <w:lang w:val="zh-CN"/>
        </w:rPr>
      </w:pPr>
    </w:p>
    <w:p>
      <w:pPr>
        <w:keepNext w:val="0"/>
        <w:keepLines w:val="0"/>
        <w:pageBreakBefore w:val="0"/>
        <w:widowControl w:val="0"/>
        <w:kinsoku/>
        <w:wordWrap/>
        <w:overflowPunct/>
        <w:topLinePunct w:val="0"/>
        <w:bidi w:val="0"/>
        <w:adjustRightInd/>
        <w:snapToGrid/>
        <w:spacing w:line="240" w:lineRule="auto"/>
        <w:ind w:firstLine="640" w:firstLineChars="200"/>
        <w:jc w:val="center"/>
        <w:textAlignment w:val="auto"/>
        <w:rPr>
          <w:rFonts w:hint="default" w:ascii="Times New Roman" w:hAnsi="Times New Roman" w:eastAsia="仿宋_GB2312" w:cs="Times New Roman"/>
          <w:kern w:val="0"/>
          <w:sz w:val="32"/>
          <w:szCs w:val="24"/>
          <w:highlight w:val="none"/>
          <w:lang w:val="zh-CN"/>
        </w:rPr>
      </w:pPr>
    </w:p>
    <w:p>
      <w:pPr>
        <w:keepNext w:val="0"/>
        <w:keepLines w:val="0"/>
        <w:pageBreakBefore w:val="0"/>
        <w:widowControl w:val="0"/>
        <w:kinsoku/>
        <w:wordWrap/>
        <w:overflowPunct/>
        <w:topLinePunct w:val="0"/>
        <w:bidi w:val="0"/>
        <w:adjustRightInd/>
        <w:snapToGrid/>
        <w:spacing w:line="240" w:lineRule="auto"/>
        <w:ind w:firstLine="640" w:firstLineChars="200"/>
        <w:jc w:val="center"/>
        <w:textAlignment w:val="auto"/>
        <w:rPr>
          <w:rFonts w:hint="default" w:ascii="Times New Roman" w:hAnsi="Times New Roman" w:eastAsia="仿宋_GB2312" w:cs="Times New Roman"/>
          <w:kern w:val="0"/>
          <w:sz w:val="32"/>
          <w:szCs w:val="24"/>
          <w:highlight w:val="none"/>
          <w:lang w:val="zh-CN"/>
        </w:rPr>
      </w:pPr>
    </w:p>
    <w:p>
      <w:pPr>
        <w:keepNext w:val="0"/>
        <w:keepLines w:val="0"/>
        <w:pageBreakBefore w:val="0"/>
        <w:widowControl w:val="0"/>
        <w:kinsoku/>
        <w:wordWrap/>
        <w:overflowPunct/>
        <w:topLinePunct w:val="0"/>
        <w:bidi w:val="0"/>
        <w:adjustRightInd/>
        <w:snapToGrid/>
        <w:spacing w:line="240" w:lineRule="auto"/>
        <w:ind w:firstLine="640" w:firstLineChars="200"/>
        <w:jc w:val="center"/>
        <w:textAlignment w:val="auto"/>
        <w:rPr>
          <w:rFonts w:hint="default" w:ascii="Times New Roman" w:hAnsi="Times New Roman" w:eastAsia="仿宋_GB2312" w:cs="Times New Roman"/>
          <w:kern w:val="0"/>
          <w:sz w:val="32"/>
          <w:szCs w:val="24"/>
          <w:highlight w:val="none"/>
          <w:lang w:val="zh-CN"/>
        </w:rPr>
      </w:pPr>
    </w:p>
    <w:p>
      <w:pPr>
        <w:keepNext w:val="0"/>
        <w:keepLines w:val="0"/>
        <w:pageBreakBefore w:val="0"/>
        <w:widowControl w:val="0"/>
        <w:kinsoku/>
        <w:wordWrap/>
        <w:overflowPunct/>
        <w:topLinePunct w:val="0"/>
        <w:bidi w:val="0"/>
        <w:adjustRightInd/>
        <w:snapToGrid/>
        <w:spacing w:line="240" w:lineRule="auto"/>
        <w:ind w:firstLine="640" w:firstLineChars="200"/>
        <w:jc w:val="center"/>
        <w:textAlignment w:val="auto"/>
        <w:rPr>
          <w:rFonts w:hint="default" w:ascii="Times New Roman" w:hAnsi="Times New Roman" w:eastAsia="仿宋_GB2312" w:cs="Times New Roman"/>
          <w:kern w:val="0"/>
          <w:sz w:val="32"/>
          <w:szCs w:val="24"/>
          <w:highlight w:val="none"/>
          <w:lang w:val="zh-CN"/>
        </w:rPr>
      </w:pPr>
    </w:p>
    <w:p>
      <w:pPr>
        <w:keepNext w:val="0"/>
        <w:keepLines w:val="0"/>
        <w:pageBreakBefore w:val="0"/>
        <w:widowControl w:val="0"/>
        <w:kinsoku/>
        <w:wordWrap/>
        <w:overflowPunct/>
        <w:topLinePunct w:val="0"/>
        <w:bidi w:val="0"/>
        <w:adjustRightInd/>
        <w:snapToGrid/>
        <w:spacing w:line="240" w:lineRule="auto"/>
        <w:ind w:firstLine="640" w:firstLineChars="200"/>
        <w:jc w:val="center"/>
        <w:textAlignment w:val="auto"/>
        <w:rPr>
          <w:rFonts w:hint="default" w:ascii="Times New Roman" w:hAnsi="Times New Roman" w:eastAsia="仿宋_GB2312" w:cs="Times New Roman"/>
          <w:kern w:val="0"/>
          <w:sz w:val="32"/>
          <w:szCs w:val="24"/>
          <w:highlight w:val="none"/>
          <w:lang w:val="zh-CN"/>
        </w:rPr>
      </w:pPr>
    </w:p>
    <w:p>
      <w:pPr>
        <w:keepNext w:val="0"/>
        <w:keepLines w:val="0"/>
        <w:pageBreakBefore w:val="0"/>
        <w:widowControl w:val="0"/>
        <w:kinsoku/>
        <w:wordWrap/>
        <w:overflowPunct/>
        <w:topLinePunct w:val="0"/>
        <w:bidi w:val="0"/>
        <w:adjustRightInd/>
        <w:snapToGrid/>
        <w:spacing w:line="240" w:lineRule="auto"/>
        <w:ind w:firstLine="640" w:firstLineChars="200"/>
        <w:jc w:val="center"/>
        <w:textAlignment w:val="auto"/>
        <w:rPr>
          <w:rFonts w:hint="default" w:ascii="Times New Roman" w:hAnsi="Times New Roman" w:eastAsia="仿宋_GB2312" w:cs="Times New Roman"/>
          <w:kern w:val="0"/>
          <w:sz w:val="32"/>
          <w:szCs w:val="24"/>
          <w:highlight w:val="none"/>
          <w:lang w:val="zh-CN"/>
        </w:rPr>
      </w:pPr>
    </w:p>
    <w:p>
      <w:pPr>
        <w:keepNext w:val="0"/>
        <w:keepLines w:val="0"/>
        <w:pageBreakBefore w:val="0"/>
        <w:widowControl w:val="0"/>
        <w:kinsoku/>
        <w:wordWrap/>
        <w:overflowPunct/>
        <w:topLinePunct w:val="0"/>
        <w:bidi w:val="0"/>
        <w:adjustRightInd/>
        <w:snapToGrid/>
        <w:spacing w:line="240" w:lineRule="auto"/>
        <w:ind w:firstLine="640" w:firstLineChars="200"/>
        <w:jc w:val="center"/>
        <w:textAlignment w:val="auto"/>
        <w:rPr>
          <w:rFonts w:hint="default" w:ascii="Times New Roman" w:hAnsi="Times New Roman" w:eastAsia="仿宋_GB2312" w:cs="Times New Roman"/>
          <w:kern w:val="0"/>
          <w:sz w:val="32"/>
          <w:szCs w:val="24"/>
          <w:highlight w:val="none"/>
          <w:lang w:val="zh-CN"/>
        </w:rPr>
      </w:pPr>
    </w:p>
    <w:p>
      <w:pPr>
        <w:keepNext w:val="0"/>
        <w:keepLines w:val="0"/>
        <w:pageBreakBefore w:val="0"/>
        <w:widowControl w:val="0"/>
        <w:kinsoku/>
        <w:wordWrap/>
        <w:overflowPunct/>
        <w:topLinePunct w:val="0"/>
        <w:bidi w:val="0"/>
        <w:adjustRightInd/>
        <w:snapToGrid/>
        <w:spacing w:line="240" w:lineRule="auto"/>
        <w:ind w:firstLine="640" w:firstLineChars="200"/>
        <w:jc w:val="center"/>
        <w:textAlignment w:val="auto"/>
        <w:rPr>
          <w:rFonts w:hint="default" w:ascii="Times New Roman" w:hAnsi="Times New Roman" w:eastAsia="仿宋_GB2312" w:cs="Times New Roman"/>
          <w:kern w:val="0"/>
          <w:sz w:val="32"/>
          <w:szCs w:val="24"/>
          <w:highlight w:val="none"/>
          <w:lang w:val="zh-CN"/>
        </w:rPr>
      </w:pPr>
    </w:p>
    <w:p>
      <w:pPr>
        <w:keepNext w:val="0"/>
        <w:keepLines w:val="0"/>
        <w:pageBreakBefore w:val="0"/>
        <w:widowControl w:val="0"/>
        <w:kinsoku/>
        <w:wordWrap/>
        <w:overflowPunct/>
        <w:topLinePunct w:val="0"/>
        <w:bidi w:val="0"/>
        <w:adjustRightInd/>
        <w:snapToGrid/>
        <w:spacing w:line="240" w:lineRule="auto"/>
        <w:ind w:firstLine="640" w:firstLineChars="200"/>
        <w:jc w:val="center"/>
        <w:textAlignment w:val="auto"/>
        <w:rPr>
          <w:rFonts w:hint="default" w:ascii="Times New Roman" w:hAnsi="Times New Roman" w:eastAsia="仿宋_GB2312" w:cs="Times New Roman"/>
          <w:kern w:val="0"/>
          <w:sz w:val="32"/>
          <w:szCs w:val="24"/>
          <w:highlight w:val="none"/>
          <w:lang w:val="zh-CN"/>
        </w:rPr>
      </w:pPr>
    </w:p>
    <w:p>
      <w:pPr>
        <w:keepNext w:val="0"/>
        <w:keepLines w:val="0"/>
        <w:pageBreakBefore w:val="0"/>
        <w:widowControl w:val="0"/>
        <w:kinsoku/>
        <w:wordWrap/>
        <w:overflowPunct/>
        <w:topLinePunct w:val="0"/>
        <w:bidi w:val="0"/>
        <w:adjustRightInd/>
        <w:snapToGrid/>
        <w:spacing w:line="240" w:lineRule="auto"/>
        <w:ind w:firstLine="640" w:firstLineChars="200"/>
        <w:jc w:val="center"/>
        <w:textAlignment w:val="auto"/>
        <w:rPr>
          <w:rFonts w:hint="default" w:ascii="Times New Roman" w:hAnsi="Times New Roman" w:eastAsia="仿宋_GB2312" w:cs="Times New Roman"/>
          <w:kern w:val="0"/>
          <w:sz w:val="32"/>
          <w:szCs w:val="24"/>
          <w:highlight w:val="none"/>
          <w:lang w:val="zh-CN"/>
        </w:rPr>
      </w:pPr>
    </w:p>
    <w:p>
      <w:pPr>
        <w:keepNext w:val="0"/>
        <w:keepLines w:val="0"/>
        <w:pageBreakBefore w:val="0"/>
        <w:widowControl w:val="0"/>
        <w:kinsoku/>
        <w:wordWrap/>
        <w:overflowPunct/>
        <w:topLinePunct w:val="0"/>
        <w:bidi w:val="0"/>
        <w:adjustRightInd/>
        <w:snapToGrid/>
        <w:spacing w:line="240" w:lineRule="auto"/>
        <w:ind w:firstLine="640" w:firstLineChars="200"/>
        <w:jc w:val="center"/>
        <w:textAlignment w:val="auto"/>
        <w:rPr>
          <w:rFonts w:hint="default" w:ascii="Times New Roman" w:hAnsi="Times New Roman" w:eastAsia="仿宋_GB2312" w:cs="Times New Roman"/>
          <w:kern w:val="0"/>
          <w:sz w:val="32"/>
          <w:szCs w:val="24"/>
          <w:highlight w:val="none"/>
          <w:lang w:val="zh-CN"/>
        </w:rPr>
      </w:pPr>
    </w:p>
    <w:p>
      <w:pPr>
        <w:keepNext w:val="0"/>
        <w:keepLines w:val="0"/>
        <w:pageBreakBefore w:val="0"/>
        <w:widowControl w:val="0"/>
        <w:kinsoku/>
        <w:wordWrap/>
        <w:overflowPunct/>
        <w:topLinePunct w:val="0"/>
        <w:bidi w:val="0"/>
        <w:adjustRightInd/>
        <w:snapToGrid/>
        <w:spacing w:line="240" w:lineRule="auto"/>
        <w:ind w:firstLine="640" w:firstLineChars="200"/>
        <w:jc w:val="center"/>
        <w:textAlignment w:val="auto"/>
        <w:rPr>
          <w:rFonts w:hint="default" w:ascii="Times New Roman" w:hAnsi="Times New Roman" w:eastAsia="仿宋_GB2312" w:cs="Times New Roman"/>
          <w:kern w:val="0"/>
          <w:sz w:val="32"/>
          <w:szCs w:val="24"/>
          <w:highlight w:val="none"/>
          <w:lang w:val="zh-CN"/>
        </w:rPr>
      </w:pPr>
    </w:p>
    <w:p>
      <w:pPr>
        <w:keepNext w:val="0"/>
        <w:keepLines w:val="0"/>
        <w:pageBreakBefore w:val="0"/>
        <w:widowControl w:val="0"/>
        <w:kinsoku/>
        <w:wordWrap/>
        <w:overflowPunct/>
        <w:topLinePunct w:val="0"/>
        <w:bidi w:val="0"/>
        <w:adjustRightInd/>
        <w:snapToGrid/>
        <w:spacing w:line="240" w:lineRule="auto"/>
        <w:ind w:firstLine="640" w:firstLineChars="200"/>
        <w:jc w:val="center"/>
        <w:textAlignment w:val="auto"/>
        <w:rPr>
          <w:rFonts w:hint="default" w:ascii="Times New Roman" w:hAnsi="Times New Roman" w:eastAsia="仿宋_GB2312" w:cs="Times New Roman"/>
          <w:kern w:val="0"/>
          <w:sz w:val="32"/>
          <w:szCs w:val="24"/>
          <w:highlight w:val="none"/>
          <w:lang w:val="zh-CN"/>
        </w:rPr>
      </w:pPr>
    </w:p>
    <w:p>
      <w:pPr>
        <w:keepNext w:val="0"/>
        <w:keepLines w:val="0"/>
        <w:pageBreakBefore w:val="0"/>
        <w:widowControl w:val="0"/>
        <w:kinsoku/>
        <w:wordWrap/>
        <w:overflowPunct/>
        <w:topLinePunct w:val="0"/>
        <w:bidi w:val="0"/>
        <w:adjustRightInd/>
        <w:snapToGrid/>
        <w:spacing w:line="240" w:lineRule="auto"/>
        <w:jc w:val="both"/>
        <w:textAlignment w:val="auto"/>
        <w:rPr>
          <w:rFonts w:hint="default" w:ascii="Times New Roman" w:hAnsi="Times New Roman" w:eastAsia="仿宋_GB2312" w:cs="Times New Roman"/>
          <w:kern w:val="0"/>
          <w:sz w:val="32"/>
          <w:szCs w:val="24"/>
          <w:highlight w:val="none"/>
          <w:lang w:val="zh-CN"/>
        </w:rPr>
      </w:pPr>
    </w:p>
    <w:p>
      <w:pPr>
        <w:keepNext w:val="0"/>
        <w:keepLines w:val="0"/>
        <w:pageBreakBefore w:val="0"/>
        <w:widowControl w:val="0"/>
        <w:kinsoku/>
        <w:wordWrap/>
        <w:overflowPunct/>
        <w:topLinePunct w:val="0"/>
        <w:bidi w:val="0"/>
        <w:adjustRightInd/>
        <w:snapToGrid/>
        <w:spacing w:line="240" w:lineRule="auto"/>
        <w:ind w:firstLine="640" w:firstLineChars="200"/>
        <w:jc w:val="center"/>
        <w:textAlignment w:val="auto"/>
        <w:rPr>
          <w:rFonts w:hint="default" w:ascii="Times New Roman" w:hAnsi="Times New Roman" w:eastAsia="仿宋_GB2312" w:cs="Times New Roman"/>
          <w:kern w:val="0"/>
          <w:sz w:val="32"/>
          <w:szCs w:val="24"/>
          <w:highlight w:val="none"/>
          <w:lang w:val="zh-CN"/>
        </w:rPr>
      </w:pPr>
    </w:p>
    <w:p>
      <w:pPr>
        <w:keepNext w:val="0"/>
        <w:keepLines w:val="0"/>
        <w:pageBreakBefore w:val="0"/>
        <w:widowControl w:val="0"/>
        <w:kinsoku/>
        <w:wordWrap/>
        <w:overflowPunct/>
        <w:topLinePunct w:val="0"/>
        <w:bidi w:val="0"/>
        <w:adjustRightInd/>
        <w:snapToGrid/>
        <w:spacing w:line="240" w:lineRule="auto"/>
        <w:ind w:firstLine="640" w:firstLineChars="200"/>
        <w:jc w:val="center"/>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第二部分 部门决算情况说明</w:t>
      </w:r>
      <w:bookmarkEnd w:id="6"/>
      <w:bookmarkEnd w:id="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kern w:val="0"/>
          <w:sz w:val="32"/>
          <w:szCs w:val="32"/>
          <w:highlight w:val="none"/>
        </w:rPr>
      </w:pPr>
      <w:bookmarkStart w:id="8" w:name="_Toc25314"/>
      <w:bookmarkStart w:id="9" w:name="_Toc12566"/>
      <w:r>
        <w:rPr>
          <w:rFonts w:hint="default" w:ascii="Times New Roman" w:hAnsi="Times New Roman" w:eastAsia="黑体" w:cs="Times New Roman"/>
          <w:bCs/>
          <w:kern w:val="0"/>
          <w:sz w:val="32"/>
          <w:szCs w:val="32"/>
          <w:highlight w:val="none"/>
        </w:rPr>
        <w:t>一、收入支出决算总体情况说明</w:t>
      </w:r>
      <w:bookmarkEnd w:id="8"/>
      <w:bookmarkEnd w:id="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pacing w:val="0"/>
          <w:sz w:val="32"/>
          <w:szCs w:val="32"/>
          <w:highlight w:val="none"/>
          <w:lang w:val="en-US" w:eastAsia="zh-CN"/>
        </w:rPr>
        <w:t>2022</w:t>
      </w:r>
      <w:r>
        <w:rPr>
          <w:rFonts w:hint="default" w:ascii="Times New Roman" w:hAnsi="Times New Roman" w:eastAsia="仿宋_GB2312" w:cs="Times New Roman"/>
          <w:spacing w:val="0"/>
          <w:sz w:val="32"/>
          <w:szCs w:val="32"/>
          <w:highlight w:val="none"/>
          <w:lang w:eastAsia="zh-CN"/>
        </w:rPr>
        <w:t>年度</w:t>
      </w:r>
      <w:r>
        <w:rPr>
          <w:rFonts w:hint="default" w:ascii="Times New Roman" w:hAnsi="Times New Roman" w:eastAsia="仿宋_GB2312" w:cs="Times New Roman"/>
          <w:spacing w:val="0"/>
          <w:sz w:val="32"/>
          <w:szCs w:val="32"/>
          <w:highlight w:val="none"/>
          <w:lang w:val="en-US" w:eastAsia="zh-CN"/>
        </w:rPr>
        <w:t>收入总计</w:t>
      </w:r>
      <w:r>
        <w:rPr>
          <w:rFonts w:hint="default" w:ascii="Times New Roman" w:hAnsi="Times New Roman" w:eastAsia="仿宋_GB2312" w:cs="Times New Roman"/>
          <w:sz w:val="32"/>
          <w:szCs w:val="32"/>
          <w:highlight w:val="none"/>
          <w:lang w:val="en-US" w:eastAsia="zh-CN"/>
        </w:rPr>
        <w:t>3613.01</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其中：本年收入合计3216.54</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，使用非财政拨款结余</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，年初结转和结余</w:t>
      </w:r>
      <w:r>
        <w:rPr>
          <w:rFonts w:hint="default" w:ascii="Times New Roman" w:hAnsi="Times New Roman" w:eastAsia="仿宋_GB2312" w:cs="Times New Roman"/>
          <w:sz w:val="32"/>
          <w:szCs w:val="32"/>
          <w:highlight w:val="none"/>
          <w:lang w:val="en-US" w:eastAsia="zh-CN"/>
        </w:rPr>
        <w:t>396.46</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pacing w:val="0"/>
          <w:sz w:val="32"/>
          <w:szCs w:val="32"/>
          <w:highlight w:val="none"/>
          <w:lang w:val="en-US" w:eastAsia="zh-CN"/>
        </w:rPr>
        <w:t>收入总计</w:t>
      </w:r>
      <w:r>
        <w:rPr>
          <w:rFonts w:hint="default" w:ascii="Times New Roman" w:hAnsi="Times New Roman" w:eastAsia="仿宋_GB2312" w:cs="Times New Roman"/>
          <w:sz w:val="32"/>
          <w:szCs w:val="32"/>
          <w:highlight w:val="none"/>
        </w:rPr>
        <w:t>与上年相比</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减少</w:t>
      </w:r>
      <w:r>
        <w:rPr>
          <w:rFonts w:hint="default" w:ascii="Times New Roman" w:hAnsi="Times New Roman" w:eastAsia="仿宋_GB2312" w:cs="Times New Roman"/>
          <w:sz w:val="32"/>
          <w:szCs w:val="32"/>
          <w:highlight w:val="none"/>
          <w:lang w:val="en-US" w:eastAsia="zh-CN"/>
        </w:rPr>
        <w:t>3008.3</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，下降</w:t>
      </w:r>
      <w:r>
        <w:rPr>
          <w:rFonts w:hint="eastAsia" w:eastAsia="仿宋_GB2312" w:cs="Times New Roman"/>
          <w:sz w:val="32"/>
          <w:szCs w:val="32"/>
          <w:highlight w:val="none"/>
          <w:lang w:val="en-US" w:eastAsia="zh-CN"/>
        </w:rPr>
        <w:t>45.43</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kern w:val="0"/>
          <w:sz w:val="32"/>
          <w:szCs w:val="24"/>
          <w:highlight w:val="none"/>
          <w:lang w:val="en-US"/>
        </w:rPr>
        <w:t>主要原因是：</w:t>
      </w:r>
      <w:r>
        <w:rPr>
          <w:rFonts w:hint="default" w:ascii="Times New Roman" w:hAnsi="Times New Roman" w:eastAsia="仿宋_GB2312" w:cs="Times New Roman"/>
          <w:kern w:val="0"/>
          <w:sz w:val="32"/>
          <w:szCs w:val="24"/>
          <w:highlight w:val="none"/>
          <w:lang w:val="en-US" w:eastAsia="zh-CN"/>
        </w:rPr>
        <w:t>减少了</w:t>
      </w:r>
      <w:r>
        <w:rPr>
          <w:rFonts w:hint="default" w:ascii="Times New Roman" w:hAnsi="Times New Roman" w:eastAsia="仿宋_GB2312" w:cs="Times New Roman"/>
          <w:kern w:val="0"/>
          <w:sz w:val="32"/>
          <w:szCs w:val="24"/>
          <w:highlight w:val="none"/>
          <w:lang w:val="en-US"/>
        </w:rPr>
        <w:t>社区食堂补助经费</w:t>
      </w:r>
      <w:r>
        <w:rPr>
          <w:rFonts w:hint="default" w:ascii="Times New Roman" w:hAnsi="Times New Roman" w:eastAsia="仿宋_GB2312" w:cs="Times New Roman"/>
          <w:kern w:val="0"/>
          <w:sz w:val="32"/>
          <w:szCs w:val="24"/>
          <w:highlight w:val="none"/>
          <w:lang w:val="en-US" w:eastAsia="zh-CN"/>
        </w:rPr>
        <w:t>、封闭化岗亭人员经费、2022年临时聘用人员经费、便民服务站人员伙食费、便民服务站运行经费、工作经费</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本年支出</w:t>
      </w:r>
      <w:r>
        <w:rPr>
          <w:rFonts w:hint="default" w:ascii="Times New Roman" w:hAnsi="Times New Roman" w:eastAsia="仿宋_GB2312" w:cs="Times New Roman"/>
          <w:sz w:val="32"/>
          <w:szCs w:val="32"/>
          <w:highlight w:val="none"/>
          <w:lang w:val="en-US" w:eastAsia="zh-CN"/>
        </w:rPr>
        <w:t>总计3613.01</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其中：本年支出合计3415.4</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结余分配0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，年末结转和结余</w:t>
      </w:r>
      <w:r>
        <w:rPr>
          <w:rFonts w:hint="default" w:ascii="Times New Roman" w:hAnsi="Times New Roman" w:eastAsia="仿宋_GB2312" w:cs="Times New Roman"/>
          <w:sz w:val="32"/>
          <w:szCs w:val="32"/>
          <w:highlight w:val="none"/>
          <w:lang w:val="en-US" w:eastAsia="zh-CN"/>
        </w:rPr>
        <w:t>197.61</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支出</w:t>
      </w:r>
      <w:r>
        <w:rPr>
          <w:rFonts w:hint="default" w:ascii="Times New Roman" w:hAnsi="Times New Roman" w:eastAsia="仿宋_GB2312" w:cs="Times New Roman"/>
          <w:sz w:val="32"/>
          <w:szCs w:val="32"/>
          <w:highlight w:val="none"/>
          <w:lang w:val="en-US" w:eastAsia="zh-CN"/>
        </w:rPr>
        <w:t>总计</w:t>
      </w:r>
      <w:r>
        <w:rPr>
          <w:rFonts w:hint="default" w:ascii="Times New Roman" w:hAnsi="Times New Roman" w:eastAsia="仿宋_GB2312" w:cs="Times New Roman"/>
          <w:sz w:val="32"/>
          <w:szCs w:val="32"/>
          <w:highlight w:val="none"/>
        </w:rPr>
        <w:t>与上年相比</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减少</w:t>
      </w:r>
      <w:r>
        <w:rPr>
          <w:rFonts w:hint="default" w:ascii="Times New Roman" w:hAnsi="Times New Roman" w:eastAsia="仿宋_GB2312" w:cs="Times New Roman"/>
          <w:sz w:val="32"/>
          <w:szCs w:val="32"/>
          <w:highlight w:val="none"/>
          <w:lang w:val="en-US" w:eastAsia="zh-CN"/>
        </w:rPr>
        <w:t>3008.3</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，下降</w:t>
      </w:r>
      <w:r>
        <w:rPr>
          <w:rFonts w:hint="eastAsia" w:eastAsia="仿宋_GB2312" w:cs="Times New Roman"/>
          <w:sz w:val="32"/>
          <w:szCs w:val="32"/>
          <w:highlight w:val="none"/>
          <w:lang w:val="en-US" w:eastAsia="zh-CN"/>
        </w:rPr>
        <w:t>45.43</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kern w:val="0"/>
          <w:sz w:val="32"/>
          <w:szCs w:val="24"/>
          <w:highlight w:val="none"/>
          <w:lang w:val="en-US"/>
        </w:rPr>
        <w:t>主要原因是：社区食堂补助经费</w:t>
      </w:r>
      <w:r>
        <w:rPr>
          <w:rFonts w:hint="default" w:ascii="Times New Roman" w:hAnsi="Times New Roman" w:eastAsia="仿宋_GB2312" w:cs="Times New Roman"/>
          <w:kern w:val="0"/>
          <w:sz w:val="32"/>
          <w:szCs w:val="24"/>
          <w:highlight w:val="none"/>
          <w:lang w:val="en-US" w:eastAsia="zh-CN"/>
        </w:rPr>
        <w:t>、封闭化岗亭人员经费、2022年临时聘用人员经费、便民服务站人员伙食费、便民服务站运行经费、工作经费支出减少</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kern w:val="0"/>
          <w:sz w:val="32"/>
          <w:szCs w:val="32"/>
          <w:highlight w:val="none"/>
        </w:rPr>
      </w:pPr>
      <w:bookmarkStart w:id="10" w:name="_Toc12142"/>
      <w:bookmarkStart w:id="11" w:name="_Toc1979"/>
      <w:r>
        <w:rPr>
          <w:rFonts w:hint="default" w:ascii="Times New Roman" w:hAnsi="Times New Roman" w:eastAsia="黑体" w:cs="Times New Roman"/>
          <w:bCs/>
          <w:kern w:val="0"/>
          <w:sz w:val="32"/>
          <w:szCs w:val="32"/>
          <w:highlight w:val="none"/>
          <w:lang w:eastAsia="zh-CN"/>
        </w:rPr>
        <w:t>二、</w:t>
      </w:r>
      <w:r>
        <w:rPr>
          <w:rFonts w:hint="default" w:ascii="Times New Roman" w:hAnsi="Times New Roman" w:eastAsia="黑体" w:cs="Times New Roman"/>
          <w:bCs/>
          <w:kern w:val="0"/>
          <w:sz w:val="32"/>
          <w:szCs w:val="32"/>
          <w:highlight w:val="none"/>
        </w:rPr>
        <w:t>收入</w:t>
      </w:r>
      <w:r>
        <w:rPr>
          <w:rFonts w:hint="default" w:ascii="Times New Roman" w:hAnsi="Times New Roman" w:eastAsia="黑体" w:cs="Times New Roman"/>
          <w:bCs/>
          <w:kern w:val="0"/>
          <w:sz w:val="32"/>
          <w:szCs w:val="32"/>
          <w:highlight w:val="none"/>
          <w:lang w:eastAsia="zh-CN"/>
        </w:rPr>
        <w:t>决算</w:t>
      </w:r>
      <w:r>
        <w:rPr>
          <w:rFonts w:hint="default" w:ascii="Times New Roman" w:hAnsi="Times New Roman" w:eastAsia="黑体" w:cs="Times New Roman"/>
          <w:bCs/>
          <w:kern w:val="0"/>
          <w:sz w:val="32"/>
          <w:szCs w:val="32"/>
          <w:highlight w:val="none"/>
        </w:rPr>
        <w:t>情况说明</w:t>
      </w:r>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pacing w:val="0"/>
          <w:sz w:val="32"/>
          <w:szCs w:val="32"/>
          <w:highlight w:val="none"/>
          <w:lang w:val="en-US" w:eastAsia="zh-CN"/>
        </w:rPr>
      </w:pPr>
      <w:r>
        <w:rPr>
          <w:rFonts w:hint="default" w:ascii="Times New Roman" w:hAnsi="Times New Roman" w:eastAsia="仿宋_GB2312" w:cs="Times New Roman"/>
          <w:spacing w:val="0"/>
          <w:sz w:val="32"/>
          <w:szCs w:val="32"/>
          <w:highlight w:val="none"/>
          <w:lang w:val="en-US" w:eastAsia="zh-CN"/>
        </w:rPr>
        <w:t>2022年度本年收入3216.54万元，其中：财政拨款收入3181.07万元，占98.9%；上级补助收入0万元；事业收入0万元；经营收入0万元；附属单位上缴收入0万元；其他收入35.47万元，占1.1%。</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kern w:val="0"/>
          <w:sz w:val="32"/>
          <w:szCs w:val="32"/>
          <w:highlight w:val="none"/>
          <w:lang w:eastAsia="zh-CN"/>
        </w:rPr>
      </w:pPr>
      <w:bookmarkStart w:id="12" w:name="_Toc13201"/>
      <w:bookmarkStart w:id="13" w:name="_Toc27961"/>
      <w:r>
        <w:rPr>
          <w:rFonts w:hint="default" w:ascii="Times New Roman" w:hAnsi="Times New Roman" w:eastAsia="黑体" w:cs="Times New Roman"/>
          <w:bCs/>
          <w:kern w:val="0"/>
          <w:sz w:val="32"/>
          <w:szCs w:val="32"/>
          <w:highlight w:val="none"/>
          <w:lang w:eastAsia="zh-CN"/>
        </w:rPr>
        <w:t>三、支出决算情况说明</w:t>
      </w:r>
      <w:bookmarkEnd w:id="12"/>
      <w:bookmarkEnd w:id="1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pacing w:val="0"/>
          <w:sz w:val="32"/>
          <w:szCs w:val="32"/>
          <w:highlight w:val="none"/>
          <w:lang w:val="en-US" w:eastAsia="zh-CN"/>
        </w:rPr>
      </w:pPr>
      <w:r>
        <w:rPr>
          <w:rFonts w:hint="default" w:ascii="Times New Roman" w:hAnsi="Times New Roman" w:eastAsia="仿宋_GB2312" w:cs="Times New Roman"/>
          <w:spacing w:val="0"/>
          <w:sz w:val="32"/>
          <w:szCs w:val="32"/>
          <w:highlight w:val="none"/>
          <w:lang w:val="en-US" w:eastAsia="zh-CN"/>
        </w:rPr>
        <w:t>2022年度本年支出3415.4万元，其中：基本支出2539.46万元，占74.35%；项目支出875.94万元，占25.65%；上缴上级支出0万元，占0%；经营支出0万元，占0%；对附属单位补助支出0万元，占0%。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kern w:val="0"/>
          <w:sz w:val="32"/>
          <w:szCs w:val="32"/>
          <w:highlight w:val="none"/>
          <w:lang w:eastAsia="zh-CN"/>
        </w:rPr>
      </w:pPr>
      <w:bookmarkStart w:id="14" w:name="_Toc4393"/>
      <w:bookmarkStart w:id="15" w:name="_Toc26564"/>
      <w:r>
        <w:rPr>
          <w:rFonts w:hint="default" w:ascii="Times New Roman" w:hAnsi="Times New Roman" w:eastAsia="黑体" w:cs="Times New Roman"/>
          <w:bCs/>
          <w:kern w:val="0"/>
          <w:sz w:val="32"/>
          <w:szCs w:val="32"/>
          <w:highlight w:val="none"/>
          <w:lang w:eastAsia="zh-CN"/>
        </w:rPr>
        <w:t>四、财政拨款收入支出决算总体情况说明</w:t>
      </w:r>
      <w:bookmarkEnd w:id="14"/>
      <w:bookmarkEnd w:id="1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pacing w:val="0"/>
          <w:sz w:val="32"/>
          <w:szCs w:val="32"/>
          <w:highlight w:val="none"/>
          <w:lang w:val="en-US" w:eastAsia="zh-CN"/>
        </w:rPr>
      </w:pPr>
      <w:r>
        <w:rPr>
          <w:rFonts w:hint="default" w:ascii="Times New Roman" w:hAnsi="Times New Roman" w:eastAsia="仿宋_GB2312" w:cs="Times New Roman"/>
          <w:spacing w:val="0"/>
          <w:sz w:val="32"/>
          <w:szCs w:val="32"/>
          <w:highlight w:val="none"/>
          <w:lang w:val="en-US" w:eastAsia="zh-CN"/>
        </w:rPr>
        <w:t>2022年度财政拨款收入总计3392.22万元，其中：年初财政拨款结转和结余211.15万元，财政拨款本年收入3181.07万元。财政拨款收入总计与上年相比，减少2834.62万元，下降45.52%，主要原因是：减少了社区食堂补助经费、封闭化岗亭人员经费、2022年临时聘用人员经费、便民服务站人员伙食费、便民服务站运行经费、工作经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pacing w:val="0"/>
          <w:sz w:val="32"/>
          <w:szCs w:val="32"/>
          <w:highlight w:val="none"/>
          <w:lang w:val="en-US" w:eastAsia="zh-CN"/>
        </w:rPr>
      </w:pPr>
      <w:r>
        <w:rPr>
          <w:rFonts w:hint="default" w:ascii="Times New Roman" w:hAnsi="Times New Roman" w:eastAsia="仿宋_GB2312" w:cs="Times New Roman"/>
          <w:spacing w:val="0"/>
          <w:sz w:val="32"/>
          <w:szCs w:val="32"/>
          <w:highlight w:val="none"/>
          <w:lang w:val="en-US" w:eastAsia="zh-CN"/>
        </w:rPr>
        <w:t>财政拨款支出总计3392.22万元，其中：年末财政拨款结转和结余92.05万元，财政拨款本年支出3300.18万元。财政拨款支出总计与上年相比，减少2834.62万元，下降45.52%，主要原因是：社区食堂补助经费、封闭化岗亭人员经费、2022年临时聘用人员经费、便民服务站人员伙食费、便民服务站运行经费、工作经费支出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pacing w:val="0"/>
          <w:sz w:val="32"/>
          <w:szCs w:val="32"/>
          <w:highlight w:val="none"/>
          <w:lang w:val="en-US" w:eastAsia="zh-CN"/>
        </w:rPr>
      </w:pPr>
      <w:r>
        <w:rPr>
          <w:rFonts w:hint="default" w:ascii="Times New Roman" w:hAnsi="Times New Roman" w:eastAsia="仿宋_GB2312" w:cs="Times New Roman"/>
          <w:spacing w:val="0"/>
          <w:sz w:val="32"/>
          <w:szCs w:val="32"/>
          <w:highlight w:val="none"/>
          <w:lang w:val="en-US" w:eastAsia="zh-CN"/>
        </w:rPr>
        <w:t>与年初预算数相比情况：财政拨款收入总计年初预算数4377.49万元，决算数3392.22万元，预决算差异率-22.51%，主要原因是：2022年社区经费、社区食堂补助经费、便民服务站运行经费、便民服务站人员伙食费部分开支暂缓支付。财政拨款支出总计年初预算数4377.49万元，决算数3392.22万元，预决算差异率-22.51%，主要原因是：2022年社区经费、社区食堂补助经费、便民服务站运行经费、便民服务站人员伙食费部分开支暂缓支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kern w:val="0"/>
          <w:sz w:val="32"/>
          <w:szCs w:val="32"/>
          <w:highlight w:val="none"/>
          <w:lang w:eastAsia="zh-CN"/>
        </w:rPr>
      </w:pPr>
      <w:bookmarkStart w:id="16" w:name="_Toc20360"/>
      <w:bookmarkStart w:id="17" w:name="_Toc13833"/>
      <w:r>
        <w:rPr>
          <w:rFonts w:hint="default" w:ascii="Times New Roman" w:hAnsi="Times New Roman" w:eastAsia="黑体" w:cs="Times New Roman"/>
          <w:bCs/>
          <w:kern w:val="0"/>
          <w:sz w:val="32"/>
          <w:szCs w:val="32"/>
          <w:highlight w:val="none"/>
          <w:lang w:eastAsia="zh-CN"/>
        </w:rPr>
        <w:t>五、一般公共预算财政拨款支出决算情况说明</w:t>
      </w:r>
      <w:bookmarkEnd w:id="16"/>
      <w:bookmarkEnd w:id="1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pacing w:val="0"/>
          <w:sz w:val="32"/>
          <w:szCs w:val="32"/>
          <w:highlight w:val="none"/>
        </w:rPr>
      </w:pPr>
      <w:r>
        <w:rPr>
          <w:rFonts w:hint="default" w:ascii="Times New Roman" w:hAnsi="Times New Roman" w:eastAsia="仿宋_GB2312" w:cs="Times New Roman"/>
          <w:spacing w:val="0"/>
          <w:sz w:val="32"/>
          <w:szCs w:val="32"/>
          <w:highlight w:val="none"/>
          <w:lang w:val="en-US" w:eastAsia="zh-CN"/>
        </w:rPr>
        <w:t>2022</w:t>
      </w:r>
      <w:r>
        <w:rPr>
          <w:rFonts w:hint="default" w:ascii="Times New Roman" w:hAnsi="Times New Roman" w:eastAsia="仿宋_GB2312" w:cs="Times New Roman"/>
          <w:spacing w:val="0"/>
          <w:sz w:val="32"/>
          <w:szCs w:val="32"/>
          <w:highlight w:val="none"/>
          <w:lang w:eastAsia="zh-CN"/>
        </w:rPr>
        <w:t>年度一般公共预算财政拨款支出</w:t>
      </w:r>
      <w:r>
        <w:rPr>
          <w:rFonts w:hint="default" w:ascii="Times New Roman" w:hAnsi="Times New Roman" w:eastAsia="仿宋_GB2312" w:cs="Times New Roman"/>
          <w:spacing w:val="0"/>
          <w:sz w:val="32"/>
          <w:szCs w:val="32"/>
          <w:highlight w:val="none"/>
          <w:lang w:val="en-US" w:eastAsia="zh-CN"/>
        </w:rPr>
        <w:t>3291.75</w:t>
      </w:r>
      <w:r>
        <w:rPr>
          <w:rFonts w:hint="default" w:ascii="Times New Roman" w:hAnsi="Times New Roman" w:eastAsia="仿宋_GB2312" w:cs="Times New Roman"/>
          <w:spacing w:val="0"/>
          <w:sz w:val="32"/>
          <w:szCs w:val="32"/>
          <w:highlight w:val="none"/>
          <w:lang w:eastAsia="zh-CN"/>
        </w:rPr>
        <w:t>万元，占本年支出合计的</w:t>
      </w:r>
      <w:r>
        <w:rPr>
          <w:rFonts w:hint="default" w:ascii="Times New Roman" w:hAnsi="Times New Roman" w:eastAsia="仿宋_GB2312" w:cs="Times New Roman"/>
          <w:spacing w:val="0"/>
          <w:sz w:val="32"/>
          <w:szCs w:val="32"/>
          <w:highlight w:val="none"/>
          <w:lang w:val="en-US" w:eastAsia="zh-CN"/>
        </w:rPr>
        <w:t>96.38</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rPr>
        <w:t>与上年相比，减少</w:t>
      </w:r>
      <w:r>
        <w:rPr>
          <w:rFonts w:hint="default" w:ascii="Times New Roman" w:hAnsi="Times New Roman" w:eastAsia="仿宋_GB2312" w:cs="Times New Roman"/>
          <w:spacing w:val="0"/>
          <w:sz w:val="32"/>
          <w:szCs w:val="32"/>
          <w:highlight w:val="none"/>
          <w:lang w:val="en-US" w:eastAsia="zh-CN"/>
        </w:rPr>
        <w:t>2546.96</w:t>
      </w:r>
      <w:r>
        <w:rPr>
          <w:rFonts w:hint="default" w:ascii="Times New Roman" w:hAnsi="Times New Roman" w:eastAsia="仿宋_GB2312" w:cs="Times New Roman"/>
          <w:spacing w:val="0"/>
          <w:sz w:val="32"/>
          <w:szCs w:val="32"/>
          <w:highlight w:val="none"/>
        </w:rPr>
        <w:t>万元，</w:t>
      </w:r>
      <w:r>
        <w:rPr>
          <w:rFonts w:hint="default" w:ascii="Times New Roman" w:hAnsi="Times New Roman" w:eastAsia="仿宋_GB2312" w:cs="Times New Roman"/>
          <w:spacing w:val="0"/>
          <w:sz w:val="32"/>
          <w:szCs w:val="32"/>
          <w:highlight w:val="none"/>
          <w:lang w:eastAsia="zh-CN"/>
        </w:rPr>
        <w:t>下降</w:t>
      </w:r>
      <w:r>
        <w:rPr>
          <w:rFonts w:hint="eastAsia" w:eastAsia="仿宋_GB2312" w:cs="Times New Roman"/>
          <w:spacing w:val="0"/>
          <w:sz w:val="32"/>
          <w:szCs w:val="32"/>
          <w:highlight w:val="none"/>
          <w:lang w:val="en-US" w:eastAsia="zh-CN"/>
        </w:rPr>
        <w:t>43.62</w:t>
      </w:r>
      <w:r>
        <w:rPr>
          <w:rFonts w:hint="default" w:ascii="Times New Roman" w:hAnsi="Times New Roman" w:eastAsia="仿宋_GB2312" w:cs="Times New Roman"/>
          <w:spacing w:val="0"/>
          <w:sz w:val="32"/>
          <w:szCs w:val="32"/>
          <w:highlight w:val="none"/>
        </w:rPr>
        <w:t>%</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kern w:val="0"/>
          <w:sz w:val="32"/>
          <w:szCs w:val="24"/>
          <w:highlight w:val="none"/>
          <w:lang w:val="en-US"/>
        </w:rPr>
        <w:t>主要原因是：社区食堂补助经费</w:t>
      </w:r>
      <w:r>
        <w:rPr>
          <w:rFonts w:hint="default" w:ascii="Times New Roman" w:hAnsi="Times New Roman" w:eastAsia="仿宋_GB2312" w:cs="Times New Roman"/>
          <w:kern w:val="0"/>
          <w:sz w:val="32"/>
          <w:szCs w:val="24"/>
          <w:highlight w:val="none"/>
          <w:lang w:val="en-US" w:eastAsia="zh-CN"/>
        </w:rPr>
        <w:t>、封闭化岗亭人员经费、2022年临时聘用人员经费、便民服务站人员伙食费、便民服务站运行经费、工作经费支出减少</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（二）一般公共预算</w:t>
      </w:r>
      <w:r>
        <w:rPr>
          <w:rFonts w:hint="default" w:ascii="Times New Roman" w:hAnsi="Times New Roman" w:eastAsia="黑体" w:cs="Times New Roman"/>
          <w:sz w:val="32"/>
          <w:szCs w:val="32"/>
          <w:highlight w:val="none"/>
          <w:lang w:val="en-US" w:eastAsia="zh-CN"/>
        </w:rPr>
        <w:t>财政拨款支出决算</w:t>
      </w:r>
      <w:r>
        <w:rPr>
          <w:rFonts w:hint="default" w:ascii="Times New Roman" w:hAnsi="Times New Roman" w:eastAsia="黑体" w:cs="Times New Roman"/>
          <w:sz w:val="32"/>
          <w:szCs w:val="32"/>
          <w:highlight w:val="none"/>
          <w:lang w:eastAsia="zh-CN"/>
        </w:rPr>
        <w:t>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sz w:val="32"/>
          <w:szCs w:val="32"/>
          <w:highlight w:val="none"/>
        </w:rPr>
        <w:t>1.一般公共服务</w:t>
      </w:r>
      <w:r>
        <w:rPr>
          <w:rFonts w:hint="default" w:ascii="Times New Roman" w:hAnsi="Times New Roman" w:eastAsia="仿宋_GB2312" w:cs="Times New Roman"/>
          <w:sz w:val="32"/>
          <w:szCs w:val="32"/>
          <w:highlight w:val="none"/>
          <w:lang w:val="en-US" w:eastAsia="zh-CN"/>
        </w:rPr>
        <w:t>支出</w:t>
      </w:r>
      <w:r>
        <w:rPr>
          <w:rFonts w:hint="default" w:ascii="Times New Roman" w:hAnsi="Times New Roman" w:eastAsia="仿宋_GB2312" w:cs="Times New Roman"/>
          <w:sz w:val="32"/>
          <w:szCs w:val="32"/>
          <w:highlight w:val="none"/>
        </w:rPr>
        <w:t>（类）</w:t>
      </w:r>
      <w:r>
        <w:rPr>
          <w:rFonts w:hint="default" w:ascii="Times New Roman" w:hAnsi="Times New Roman" w:eastAsia="仿宋_GB2312" w:cs="Times New Roman"/>
          <w:sz w:val="32"/>
          <w:szCs w:val="32"/>
          <w:highlight w:val="none"/>
          <w:lang w:val="en-US" w:eastAsia="zh-CN"/>
        </w:rPr>
        <w:t>471.02</w:t>
      </w:r>
      <w:r>
        <w:rPr>
          <w:rFonts w:hint="default" w:ascii="Times New Roman" w:hAnsi="Times New Roman" w:eastAsia="仿宋_GB2312" w:cs="Times New Roman"/>
          <w:kern w:val="0"/>
          <w:sz w:val="32"/>
          <w:szCs w:val="32"/>
          <w:highlight w:val="none"/>
        </w:rPr>
        <w:t>万元，占</w:t>
      </w:r>
      <w:r>
        <w:rPr>
          <w:rFonts w:hint="default" w:ascii="Times New Roman" w:hAnsi="Times New Roman" w:eastAsia="仿宋_GB2312" w:cs="Times New Roman"/>
          <w:spacing w:val="0"/>
          <w:sz w:val="32"/>
          <w:szCs w:val="32"/>
          <w:highlight w:val="none"/>
          <w:lang w:val="en-US" w:eastAsia="zh-CN"/>
        </w:rPr>
        <w:t>14.31</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rPr>
        <w:t>2.</w:t>
      </w:r>
      <w:r>
        <w:rPr>
          <w:rFonts w:hint="default" w:ascii="Times New Roman" w:hAnsi="Times New Roman" w:eastAsia="仿宋_GB2312" w:cs="Times New Roman"/>
          <w:kern w:val="0"/>
          <w:sz w:val="32"/>
          <w:szCs w:val="32"/>
          <w:highlight w:val="none"/>
          <w:lang w:eastAsia="zh-CN"/>
        </w:rPr>
        <w:t>公共安全支出</w:t>
      </w:r>
      <w:r>
        <w:rPr>
          <w:rFonts w:hint="default" w:ascii="Times New Roman" w:hAnsi="Times New Roman" w:eastAsia="仿宋_GB2312" w:cs="Times New Roman"/>
          <w:sz w:val="32"/>
          <w:szCs w:val="32"/>
          <w:highlight w:val="none"/>
        </w:rPr>
        <w:t>（类）</w:t>
      </w:r>
      <w:r>
        <w:rPr>
          <w:rFonts w:hint="default" w:ascii="Times New Roman" w:hAnsi="Times New Roman" w:eastAsia="仿宋_GB2312" w:cs="Times New Roman"/>
          <w:kern w:val="0"/>
          <w:sz w:val="32"/>
          <w:szCs w:val="32"/>
          <w:highlight w:val="none"/>
          <w:lang w:val="en-US" w:eastAsia="zh-CN"/>
        </w:rPr>
        <w:t>0.11万元，</w:t>
      </w:r>
      <w:r>
        <w:rPr>
          <w:rFonts w:hint="default" w:ascii="Times New Roman" w:hAnsi="Times New Roman" w:eastAsia="仿宋_GB2312" w:cs="Times New Roman"/>
          <w:kern w:val="0"/>
          <w:sz w:val="32"/>
          <w:szCs w:val="32"/>
          <w:highlight w:val="none"/>
        </w:rPr>
        <w:t>占</w:t>
      </w:r>
      <w:r>
        <w:rPr>
          <w:rFonts w:hint="default" w:ascii="Times New Roman" w:hAnsi="Times New Roman" w:eastAsia="仿宋_GB2312" w:cs="Times New Roman"/>
          <w:spacing w:val="0"/>
          <w:sz w:val="32"/>
          <w:szCs w:val="32"/>
          <w:highlight w:val="none"/>
          <w:lang w:val="en-US" w:eastAsia="zh-CN"/>
        </w:rPr>
        <w:t>0.003</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3.社会保障和就业支出</w:t>
      </w:r>
      <w:r>
        <w:rPr>
          <w:rFonts w:hint="default" w:ascii="Times New Roman" w:hAnsi="Times New Roman" w:eastAsia="仿宋_GB2312" w:cs="Times New Roman"/>
          <w:sz w:val="32"/>
          <w:szCs w:val="32"/>
          <w:highlight w:val="none"/>
        </w:rPr>
        <w:t>（类）</w:t>
      </w:r>
      <w:r>
        <w:rPr>
          <w:rFonts w:hint="default" w:ascii="Times New Roman" w:hAnsi="Times New Roman" w:eastAsia="仿宋_GB2312" w:cs="Times New Roman"/>
          <w:kern w:val="0"/>
          <w:sz w:val="32"/>
          <w:szCs w:val="32"/>
          <w:highlight w:val="none"/>
          <w:lang w:val="en-US" w:eastAsia="zh-CN"/>
        </w:rPr>
        <w:t>2686.41万元，</w:t>
      </w:r>
      <w:r>
        <w:rPr>
          <w:rFonts w:hint="default" w:ascii="Times New Roman" w:hAnsi="Times New Roman" w:eastAsia="仿宋_GB2312" w:cs="Times New Roman"/>
          <w:kern w:val="0"/>
          <w:sz w:val="32"/>
          <w:szCs w:val="32"/>
          <w:highlight w:val="none"/>
        </w:rPr>
        <w:t>占</w:t>
      </w:r>
      <w:r>
        <w:rPr>
          <w:rFonts w:hint="default" w:ascii="Times New Roman" w:hAnsi="Times New Roman" w:eastAsia="仿宋_GB2312" w:cs="Times New Roman"/>
          <w:spacing w:val="0"/>
          <w:sz w:val="32"/>
          <w:szCs w:val="32"/>
          <w:highlight w:val="none"/>
          <w:lang w:val="en-US" w:eastAsia="zh-CN"/>
        </w:rPr>
        <w:t>81.61</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4.卫生健康支出</w:t>
      </w:r>
      <w:r>
        <w:rPr>
          <w:rFonts w:hint="default" w:ascii="Times New Roman" w:hAnsi="Times New Roman" w:eastAsia="仿宋_GB2312" w:cs="Times New Roman"/>
          <w:sz w:val="32"/>
          <w:szCs w:val="32"/>
          <w:highlight w:val="none"/>
        </w:rPr>
        <w:t>（类）</w:t>
      </w:r>
      <w:r>
        <w:rPr>
          <w:rFonts w:hint="default" w:ascii="Times New Roman" w:hAnsi="Times New Roman" w:eastAsia="仿宋_GB2312" w:cs="Times New Roman"/>
          <w:kern w:val="0"/>
          <w:sz w:val="32"/>
          <w:szCs w:val="32"/>
          <w:highlight w:val="none"/>
          <w:lang w:val="en-US" w:eastAsia="zh-CN"/>
        </w:rPr>
        <w:t>71.94万元，</w:t>
      </w:r>
      <w:r>
        <w:rPr>
          <w:rFonts w:hint="default" w:ascii="Times New Roman" w:hAnsi="Times New Roman" w:eastAsia="仿宋_GB2312" w:cs="Times New Roman"/>
          <w:kern w:val="0"/>
          <w:sz w:val="32"/>
          <w:szCs w:val="32"/>
          <w:highlight w:val="none"/>
        </w:rPr>
        <w:t>占</w:t>
      </w:r>
      <w:r>
        <w:rPr>
          <w:rFonts w:hint="default" w:ascii="Times New Roman" w:hAnsi="Times New Roman" w:eastAsia="仿宋_GB2312" w:cs="Times New Roman"/>
          <w:spacing w:val="0"/>
          <w:sz w:val="32"/>
          <w:szCs w:val="32"/>
          <w:highlight w:val="none"/>
          <w:lang w:val="en-US" w:eastAsia="zh-CN"/>
        </w:rPr>
        <w:t>2.19</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5.城乡社区支出</w:t>
      </w:r>
      <w:r>
        <w:rPr>
          <w:rFonts w:hint="default" w:ascii="Times New Roman" w:hAnsi="Times New Roman" w:eastAsia="仿宋_GB2312" w:cs="Times New Roman"/>
          <w:sz w:val="32"/>
          <w:szCs w:val="32"/>
          <w:highlight w:val="none"/>
        </w:rPr>
        <w:t>（类）</w:t>
      </w:r>
      <w:r>
        <w:rPr>
          <w:rFonts w:hint="default" w:ascii="Times New Roman" w:hAnsi="Times New Roman" w:eastAsia="仿宋_GB2312" w:cs="Times New Roman"/>
          <w:kern w:val="0"/>
          <w:sz w:val="32"/>
          <w:szCs w:val="32"/>
          <w:highlight w:val="none"/>
          <w:lang w:val="en-US" w:eastAsia="zh-CN"/>
        </w:rPr>
        <w:t>62.26万元，</w:t>
      </w:r>
      <w:r>
        <w:rPr>
          <w:rFonts w:hint="default" w:ascii="Times New Roman" w:hAnsi="Times New Roman" w:eastAsia="仿宋_GB2312" w:cs="Times New Roman"/>
          <w:kern w:val="0"/>
          <w:sz w:val="32"/>
          <w:szCs w:val="32"/>
          <w:highlight w:val="none"/>
        </w:rPr>
        <w:t>占</w:t>
      </w:r>
      <w:r>
        <w:rPr>
          <w:rFonts w:hint="default" w:ascii="Times New Roman" w:hAnsi="Times New Roman" w:eastAsia="仿宋_GB2312" w:cs="Times New Roman"/>
          <w:spacing w:val="0"/>
          <w:sz w:val="32"/>
          <w:szCs w:val="32"/>
          <w:highlight w:val="none"/>
          <w:lang w:val="en-US" w:eastAsia="zh-CN"/>
        </w:rPr>
        <w:t>1.89</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（三）一般公共预算财政拨款支出决算具体情况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rPr>
        <w:t>1.一般公共服务（类）政府办公厅（室）及相关机构事务（款）行政运行（项）</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支出决算数</w:t>
      </w:r>
      <w:r>
        <w:rPr>
          <w:rFonts w:hint="default" w:ascii="Times New Roman" w:hAnsi="Times New Roman" w:eastAsia="仿宋_GB2312" w:cs="Times New Roman"/>
          <w:kern w:val="0"/>
          <w:sz w:val="32"/>
          <w:szCs w:val="32"/>
          <w:highlight w:val="none"/>
        </w:rPr>
        <w:t>为</w:t>
      </w:r>
      <w:r>
        <w:rPr>
          <w:rFonts w:hint="default" w:ascii="Times New Roman" w:hAnsi="Times New Roman" w:eastAsia="仿宋_GB2312" w:cs="Times New Roman"/>
          <w:kern w:val="0"/>
          <w:sz w:val="32"/>
          <w:szCs w:val="32"/>
          <w:highlight w:val="none"/>
          <w:lang w:val="en-US" w:eastAsia="zh-CN"/>
        </w:rPr>
        <w:t>384.53</w:t>
      </w:r>
      <w:r>
        <w:rPr>
          <w:rFonts w:hint="default" w:ascii="Times New Roman" w:hAnsi="Times New Roman" w:eastAsia="仿宋_GB2312" w:cs="Times New Roman"/>
          <w:kern w:val="0"/>
          <w:sz w:val="32"/>
          <w:szCs w:val="32"/>
          <w:highlight w:val="none"/>
        </w:rPr>
        <w:t>万元，比上年</w:t>
      </w:r>
      <w:r>
        <w:rPr>
          <w:rFonts w:hint="default" w:ascii="Times New Roman" w:hAnsi="Times New Roman" w:eastAsia="仿宋_GB2312" w:cs="Times New Roman"/>
          <w:kern w:val="0"/>
          <w:sz w:val="32"/>
          <w:szCs w:val="32"/>
          <w:highlight w:val="none"/>
          <w:lang w:val="en-US" w:eastAsia="zh-CN"/>
        </w:rPr>
        <w:t>决算</w:t>
      </w:r>
      <w:r>
        <w:rPr>
          <w:rFonts w:hint="default" w:ascii="Times New Roman" w:hAnsi="Times New Roman" w:eastAsia="仿宋_GB2312" w:cs="Times New Roman"/>
          <w:kern w:val="0"/>
          <w:sz w:val="32"/>
          <w:szCs w:val="32"/>
          <w:highlight w:val="none"/>
        </w:rPr>
        <w:t>增加</w:t>
      </w:r>
      <w:r>
        <w:rPr>
          <w:rFonts w:hint="default" w:ascii="Times New Roman" w:hAnsi="Times New Roman" w:eastAsia="仿宋_GB2312" w:cs="Times New Roman"/>
          <w:kern w:val="0"/>
          <w:sz w:val="32"/>
          <w:szCs w:val="32"/>
          <w:highlight w:val="none"/>
          <w:lang w:val="en-US" w:eastAsia="zh-CN"/>
        </w:rPr>
        <w:t>42.81</w:t>
      </w:r>
      <w:r>
        <w:rPr>
          <w:rFonts w:hint="default" w:ascii="Times New Roman" w:hAnsi="Times New Roman" w:eastAsia="仿宋_GB2312" w:cs="Times New Roman"/>
          <w:kern w:val="0"/>
          <w:sz w:val="32"/>
          <w:szCs w:val="32"/>
          <w:highlight w:val="none"/>
        </w:rPr>
        <w:t>万元，增长</w:t>
      </w:r>
      <w:r>
        <w:rPr>
          <w:rFonts w:hint="default" w:ascii="Times New Roman" w:hAnsi="Times New Roman" w:eastAsia="仿宋_GB2312" w:cs="Times New Roman"/>
          <w:kern w:val="0"/>
          <w:sz w:val="32"/>
          <w:szCs w:val="32"/>
          <w:highlight w:val="none"/>
          <w:lang w:val="en-US" w:eastAsia="zh-CN"/>
        </w:rPr>
        <w:t>1</w:t>
      </w:r>
      <w:r>
        <w:rPr>
          <w:rFonts w:hint="eastAsia" w:eastAsia="仿宋_GB2312" w:cs="Times New Roman"/>
          <w:kern w:val="0"/>
          <w:sz w:val="32"/>
          <w:szCs w:val="32"/>
          <w:highlight w:val="none"/>
          <w:lang w:val="en-US" w:eastAsia="zh-CN"/>
        </w:rPr>
        <w:t>2.52</w:t>
      </w:r>
      <w:r>
        <w:rPr>
          <w:rFonts w:hint="default" w:ascii="Times New Roman" w:hAnsi="Times New Roman" w:eastAsia="仿宋_GB2312" w:cs="Times New Roman"/>
          <w:kern w:val="0"/>
          <w:sz w:val="32"/>
          <w:szCs w:val="32"/>
          <w:highlight w:val="none"/>
        </w:rPr>
        <w:t>%，主要原因是：</w:t>
      </w:r>
      <w:r>
        <w:rPr>
          <w:rFonts w:hint="default" w:ascii="Times New Roman" w:hAnsi="Times New Roman" w:eastAsia="仿宋_GB2312" w:cs="Times New Roman"/>
          <w:kern w:val="0"/>
          <w:sz w:val="32"/>
          <w:szCs w:val="32"/>
          <w:highlight w:val="none"/>
          <w:lang w:eastAsia="zh-CN"/>
        </w:rPr>
        <w:t>行政人员增加，人员正常晋升。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rPr>
        <w:t>2.一般公共服务（类）政府办公厅（室）及相关机构事务（款）</w:t>
      </w:r>
      <w:r>
        <w:rPr>
          <w:rFonts w:hint="default" w:ascii="Times New Roman" w:hAnsi="Times New Roman" w:eastAsia="仿宋_GB2312" w:cs="Times New Roman"/>
          <w:kern w:val="0"/>
          <w:sz w:val="32"/>
          <w:szCs w:val="32"/>
          <w:highlight w:val="none"/>
          <w:lang w:eastAsia="zh-CN"/>
        </w:rPr>
        <w:t>事业</w:t>
      </w:r>
      <w:r>
        <w:rPr>
          <w:rFonts w:hint="default" w:ascii="Times New Roman" w:hAnsi="Times New Roman" w:eastAsia="仿宋_GB2312" w:cs="Times New Roman"/>
          <w:kern w:val="0"/>
          <w:sz w:val="32"/>
          <w:szCs w:val="32"/>
          <w:highlight w:val="none"/>
        </w:rPr>
        <w:t>运行（项）</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支出决算数</w:t>
      </w:r>
      <w:r>
        <w:rPr>
          <w:rFonts w:hint="default" w:ascii="Times New Roman" w:hAnsi="Times New Roman" w:eastAsia="仿宋_GB2312" w:cs="Times New Roman"/>
          <w:kern w:val="0"/>
          <w:sz w:val="32"/>
          <w:szCs w:val="32"/>
          <w:highlight w:val="none"/>
        </w:rPr>
        <w:t>为</w:t>
      </w:r>
      <w:r>
        <w:rPr>
          <w:rFonts w:hint="default" w:ascii="Times New Roman" w:hAnsi="Times New Roman" w:eastAsia="仿宋_GB2312" w:cs="Times New Roman"/>
          <w:kern w:val="0"/>
          <w:sz w:val="32"/>
          <w:szCs w:val="32"/>
          <w:highlight w:val="none"/>
          <w:lang w:val="en-US" w:eastAsia="zh-CN"/>
        </w:rPr>
        <w:t>70.13</w:t>
      </w:r>
      <w:r>
        <w:rPr>
          <w:rFonts w:hint="default" w:ascii="Times New Roman" w:hAnsi="Times New Roman" w:eastAsia="仿宋_GB2312" w:cs="Times New Roman"/>
          <w:kern w:val="0"/>
          <w:sz w:val="32"/>
          <w:szCs w:val="32"/>
          <w:highlight w:val="none"/>
        </w:rPr>
        <w:t>万元，比上年</w:t>
      </w:r>
      <w:r>
        <w:rPr>
          <w:rFonts w:hint="default" w:ascii="Times New Roman" w:hAnsi="Times New Roman" w:eastAsia="仿宋_GB2312" w:cs="Times New Roman"/>
          <w:kern w:val="0"/>
          <w:sz w:val="32"/>
          <w:szCs w:val="32"/>
          <w:highlight w:val="none"/>
          <w:lang w:val="en-US" w:eastAsia="zh-CN"/>
        </w:rPr>
        <w:t>决算</w:t>
      </w:r>
      <w:r>
        <w:rPr>
          <w:rFonts w:hint="default" w:ascii="Times New Roman" w:hAnsi="Times New Roman" w:eastAsia="仿宋_GB2312" w:cs="Times New Roman"/>
          <w:kern w:val="0"/>
          <w:sz w:val="32"/>
          <w:szCs w:val="32"/>
          <w:highlight w:val="none"/>
        </w:rPr>
        <w:t>减少</w:t>
      </w:r>
      <w:r>
        <w:rPr>
          <w:rFonts w:hint="default" w:ascii="Times New Roman" w:hAnsi="Times New Roman" w:eastAsia="仿宋_GB2312" w:cs="Times New Roman"/>
          <w:kern w:val="0"/>
          <w:sz w:val="32"/>
          <w:szCs w:val="32"/>
          <w:highlight w:val="none"/>
          <w:lang w:val="en-US" w:eastAsia="zh-CN"/>
        </w:rPr>
        <w:t>20.54</w:t>
      </w:r>
      <w:r>
        <w:rPr>
          <w:rFonts w:hint="default" w:ascii="Times New Roman" w:hAnsi="Times New Roman" w:eastAsia="仿宋_GB2312" w:cs="Times New Roman"/>
          <w:kern w:val="0"/>
          <w:sz w:val="32"/>
          <w:szCs w:val="32"/>
          <w:highlight w:val="none"/>
        </w:rPr>
        <w:t>万元，下降</w:t>
      </w:r>
      <w:r>
        <w:rPr>
          <w:rFonts w:hint="default" w:ascii="Times New Roman" w:hAnsi="Times New Roman" w:eastAsia="仿宋_GB2312" w:cs="Times New Roman"/>
          <w:kern w:val="0"/>
          <w:sz w:val="32"/>
          <w:szCs w:val="32"/>
          <w:highlight w:val="none"/>
          <w:lang w:val="en-US" w:eastAsia="zh-CN"/>
        </w:rPr>
        <w:t>2</w:t>
      </w:r>
      <w:r>
        <w:rPr>
          <w:rFonts w:hint="eastAsia" w:eastAsia="仿宋_GB2312" w:cs="Times New Roman"/>
          <w:kern w:val="0"/>
          <w:sz w:val="32"/>
          <w:szCs w:val="32"/>
          <w:highlight w:val="none"/>
          <w:lang w:val="en-US" w:eastAsia="zh-CN"/>
        </w:rPr>
        <w:t>2.65</w:t>
      </w:r>
      <w:r>
        <w:rPr>
          <w:rFonts w:hint="default" w:ascii="Times New Roman" w:hAnsi="Times New Roman" w:eastAsia="仿宋_GB2312" w:cs="Times New Roman"/>
          <w:kern w:val="0"/>
          <w:sz w:val="32"/>
          <w:szCs w:val="32"/>
          <w:highlight w:val="none"/>
        </w:rPr>
        <w:t>%，主要原因是：</w:t>
      </w:r>
      <w:r>
        <w:rPr>
          <w:rFonts w:hint="default" w:ascii="Times New Roman" w:hAnsi="Times New Roman" w:eastAsia="仿宋_GB2312" w:cs="Times New Roman"/>
          <w:kern w:val="0"/>
          <w:sz w:val="32"/>
          <w:szCs w:val="32"/>
          <w:highlight w:val="none"/>
          <w:lang w:eastAsia="zh-CN"/>
        </w:rPr>
        <w:t>人员</w:t>
      </w:r>
      <w:r>
        <w:rPr>
          <w:rFonts w:hint="default" w:ascii="Times New Roman" w:hAnsi="Times New Roman" w:eastAsia="仿宋_GB2312" w:cs="Times New Roman"/>
          <w:kern w:val="0"/>
          <w:sz w:val="32"/>
          <w:szCs w:val="32"/>
          <w:highlight w:val="none"/>
          <w:lang w:val="en-US" w:eastAsia="zh-CN"/>
        </w:rPr>
        <w:t>正常</w:t>
      </w:r>
      <w:r>
        <w:rPr>
          <w:rFonts w:hint="default" w:ascii="Times New Roman" w:hAnsi="Times New Roman" w:eastAsia="仿宋_GB2312" w:cs="Times New Roman"/>
          <w:kern w:val="0"/>
          <w:sz w:val="32"/>
          <w:szCs w:val="32"/>
          <w:highlight w:val="none"/>
          <w:lang w:eastAsia="zh-CN"/>
        </w:rPr>
        <w:t>减少，相应运行经费减少。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FF0000"/>
          <w:kern w:val="0"/>
          <w:sz w:val="32"/>
          <w:szCs w:val="32"/>
          <w:highlight w:val="none"/>
          <w:lang w:val="en-US" w:eastAsia="zh-CN"/>
        </w:rPr>
      </w:pPr>
      <w:r>
        <w:rPr>
          <w:rFonts w:hint="eastAsia" w:ascii="Times New Roman" w:hAnsi="Times New Roman" w:eastAsia="仿宋_GB2312" w:cs="Times New Roman"/>
          <w:color w:val="FF0000"/>
          <w:kern w:val="0"/>
          <w:sz w:val="32"/>
          <w:szCs w:val="32"/>
          <w:highlight w:val="none"/>
          <w:lang w:val="en-US" w:eastAsia="zh-CN"/>
        </w:rPr>
        <w:t>3.</w:t>
      </w:r>
      <w:r>
        <w:rPr>
          <w:rFonts w:hint="default" w:ascii="Times New Roman" w:hAnsi="Times New Roman" w:eastAsia="仿宋_GB2312" w:cs="Times New Roman"/>
          <w:color w:val="FF0000"/>
          <w:kern w:val="0"/>
          <w:sz w:val="32"/>
          <w:szCs w:val="32"/>
          <w:highlight w:val="none"/>
        </w:rPr>
        <w:t>一般公共服务（类）财政事务（款）行政运行（项）:支出决算数为0万元，比上年决算减少15.34万元，下降100%，主要原因是：此款项本年基本支出减少。</w:t>
      </w:r>
      <w:r>
        <w:rPr>
          <w:rFonts w:hint="default" w:ascii="Times New Roman" w:hAnsi="Times New Roman" w:eastAsia="仿宋_GB2312" w:cs="Times New Roman"/>
          <w:color w:val="FF0000"/>
          <w:kern w:val="0"/>
          <w:sz w:val="32"/>
          <w:szCs w:val="32"/>
          <w:highlight w:val="none"/>
        </w:rPr>
        <w:br w:type="textWrapping"/>
      </w:r>
      <w:r>
        <w:rPr>
          <w:rFonts w:hint="eastAsia" w:ascii="Times New Roman" w:hAnsi="Times New Roman" w:eastAsia="仿宋_GB2312" w:cs="Times New Roman"/>
          <w:color w:val="FF0000"/>
          <w:kern w:val="0"/>
          <w:sz w:val="32"/>
          <w:szCs w:val="32"/>
          <w:highlight w:val="none"/>
          <w:lang w:val="en-US" w:eastAsia="zh-CN"/>
        </w:rPr>
        <w:t xml:space="preserve">    </w:t>
      </w:r>
      <w:r>
        <w:rPr>
          <w:rFonts w:hint="default" w:ascii="Times New Roman" w:hAnsi="Times New Roman" w:eastAsia="仿宋_GB2312" w:cs="Times New Roman"/>
          <w:color w:val="FF0000"/>
          <w:kern w:val="0"/>
          <w:sz w:val="32"/>
          <w:szCs w:val="32"/>
          <w:highlight w:val="none"/>
        </w:rPr>
        <w:t>4.</w:t>
      </w:r>
      <w:r>
        <w:rPr>
          <w:rFonts w:hint="eastAsia" w:eastAsia="仿宋_GB2312" w:cs="Times New Roman"/>
          <w:color w:val="FF0000"/>
          <w:kern w:val="0"/>
          <w:sz w:val="32"/>
          <w:szCs w:val="32"/>
          <w:highlight w:val="none"/>
          <w:lang w:val="en-US" w:eastAsia="zh-CN"/>
        </w:rPr>
        <w:t>一般公共服务</w:t>
      </w:r>
      <w:r>
        <w:rPr>
          <w:rFonts w:hint="default" w:ascii="Times New Roman" w:hAnsi="Times New Roman" w:eastAsia="仿宋_GB2312" w:cs="Times New Roman"/>
          <w:color w:val="FF0000"/>
          <w:kern w:val="0"/>
          <w:sz w:val="32"/>
          <w:szCs w:val="32"/>
          <w:highlight w:val="none"/>
        </w:rPr>
        <w:t>（类）</w:t>
      </w:r>
      <w:r>
        <w:rPr>
          <w:rFonts w:hint="eastAsia" w:eastAsia="仿宋_GB2312" w:cs="Times New Roman"/>
          <w:color w:val="FF0000"/>
          <w:kern w:val="0"/>
          <w:sz w:val="32"/>
          <w:szCs w:val="32"/>
          <w:highlight w:val="none"/>
          <w:lang w:val="en-US" w:eastAsia="zh-CN"/>
        </w:rPr>
        <w:t>纪检监察事务</w:t>
      </w:r>
      <w:r>
        <w:rPr>
          <w:rFonts w:hint="default" w:ascii="Times New Roman" w:hAnsi="Times New Roman" w:eastAsia="仿宋_GB2312" w:cs="Times New Roman"/>
          <w:color w:val="FF0000"/>
          <w:kern w:val="0"/>
          <w:sz w:val="32"/>
          <w:szCs w:val="32"/>
          <w:highlight w:val="none"/>
        </w:rPr>
        <w:t>（款）其他纪检监察事务</w:t>
      </w:r>
      <w:r>
        <w:rPr>
          <w:rFonts w:hint="eastAsia" w:eastAsia="仿宋_GB2312" w:cs="Times New Roman"/>
          <w:color w:val="FF0000"/>
          <w:kern w:val="0"/>
          <w:sz w:val="32"/>
          <w:szCs w:val="32"/>
          <w:highlight w:val="none"/>
          <w:lang w:val="en-US" w:eastAsia="zh-CN"/>
        </w:rPr>
        <w:t>支出</w:t>
      </w:r>
      <w:r>
        <w:rPr>
          <w:rFonts w:hint="default" w:ascii="Times New Roman" w:hAnsi="Times New Roman" w:eastAsia="仿宋_GB2312" w:cs="Times New Roman"/>
          <w:color w:val="FF0000"/>
          <w:kern w:val="0"/>
          <w:sz w:val="32"/>
          <w:szCs w:val="32"/>
          <w:highlight w:val="none"/>
        </w:rPr>
        <w:t>（项）：支出决算数0元，比上年决算减少3.17万元，下降100%，主要原因是：2022年度全年未拨付此项经费，故经费减少。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lang w:eastAsia="zh-CN"/>
        </w:rPr>
      </w:pPr>
      <w:r>
        <w:rPr>
          <w:rFonts w:hint="eastAsia"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.一般公共服务（类）组织事务（款）</w:t>
      </w:r>
      <w:r>
        <w:rPr>
          <w:rFonts w:hint="default" w:ascii="Times New Roman" w:hAnsi="Times New Roman" w:eastAsia="仿宋_GB2312" w:cs="Times New Roman"/>
          <w:kern w:val="0"/>
          <w:sz w:val="32"/>
          <w:szCs w:val="32"/>
          <w:highlight w:val="none"/>
          <w:lang w:eastAsia="zh-CN"/>
        </w:rPr>
        <w:t>其他组织事务支出</w:t>
      </w:r>
      <w:r>
        <w:rPr>
          <w:rFonts w:hint="default" w:ascii="Times New Roman" w:hAnsi="Times New Roman" w:eastAsia="仿宋_GB2312" w:cs="Times New Roman"/>
          <w:kern w:val="0"/>
          <w:sz w:val="32"/>
          <w:szCs w:val="32"/>
          <w:highlight w:val="none"/>
        </w:rPr>
        <w:t>（项）</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支出决算数</w:t>
      </w:r>
      <w:r>
        <w:rPr>
          <w:rFonts w:hint="default" w:ascii="Times New Roman" w:hAnsi="Times New Roman" w:eastAsia="仿宋_GB2312" w:cs="Times New Roman"/>
          <w:kern w:val="0"/>
          <w:sz w:val="32"/>
          <w:szCs w:val="32"/>
          <w:highlight w:val="none"/>
        </w:rPr>
        <w:t>为</w:t>
      </w:r>
      <w:r>
        <w:rPr>
          <w:rFonts w:hint="default" w:ascii="Times New Roman" w:hAnsi="Times New Roman" w:eastAsia="仿宋_GB2312" w:cs="Times New Roman"/>
          <w:kern w:val="0"/>
          <w:sz w:val="32"/>
          <w:szCs w:val="32"/>
          <w:highlight w:val="none"/>
          <w:lang w:val="en-US" w:eastAsia="zh-CN"/>
        </w:rPr>
        <w:t>13.89</w:t>
      </w:r>
      <w:r>
        <w:rPr>
          <w:rFonts w:hint="default" w:ascii="Times New Roman" w:hAnsi="Times New Roman" w:eastAsia="仿宋_GB2312" w:cs="Times New Roman"/>
          <w:kern w:val="0"/>
          <w:sz w:val="32"/>
          <w:szCs w:val="32"/>
          <w:highlight w:val="none"/>
        </w:rPr>
        <w:t>万元，比上年</w:t>
      </w:r>
      <w:r>
        <w:rPr>
          <w:rFonts w:hint="default" w:ascii="Times New Roman" w:hAnsi="Times New Roman" w:eastAsia="仿宋_GB2312" w:cs="Times New Roman"/>
          <w:kern w:val="0"/>
          <w:sz w:val="32"/>
          <w:szCs w:val="32"/>
          <w:highlight w:val="none"/>
          <w:lang w:val="en-US" w:eastAsia="zh-CN"/>
        </w:rPr>
        <w:t>决算</w:t>
      </w:r>
      <w:r>
        <w:rPr>
          <w:rFonts w:hint="default" w:ascii="Times New Roman" w:hAnsi="Times New Roman" w:eastAsia="仿宋_GB2312" w:cs="Times New Roman"/>
          <w:kern w:val="0"/>
          <w:sz w:val="32"/>
          <w:szCs w:val="32"/>
          <w:highlight w:val="none"/>
        </w:rPr>
        <w:t>增加</w:t>
      </w:r>
      <w:r>
        <w:rPr>
          <w:rFonts w:hint="default" w:ascii="Times New Roman" w:hAnsi="Times New Roman" w:eastAsia="仿宋_GB2312" w:cs="Times New Roman"/>
          <w:kern w:val="0"/>
          <w:sz w:val="32"/>
          <w:szCs w:val="32"/>
          <w:highlight w:val="none"/>
          <w:lang w:val="en-US" w:eastAsia="zh-CN"/>
        </w:rPr>
        <w:t>13.89</w:t>
      </w:r>
      <w:r>
        <w:rPr>
          <w:rFonts w:hint="default" w:ascii="Times New Roman" w:hAnsi="Times New Roman" w:eastAsia="仿宋_GB2312" w:cs="Times New Roman"/>
          <w:kern w:val="0"/>
          <w:sz w:val="32"/>
          <w:szCs w:val="32"/>
          <w:highlight w:val="none"/>
        </w:rPr>
        <w:t>万元，增长</w:t>
      </w:r>
      <w:r>
        <w:rPr>
          <w:rFonts w:hint="default" w:ascii="Times New Roman" w:hAnsi="Times New Roman" w:eastAsia="仿宋_GB2312" w:cs="Times New Roman"/>
          <w:kern w:val="0"/>
          <w:sz w:val="32"/>
          <w:szCs w:val="32"/>
          <w:highlight w:val="none"/>
          <w:lang w:val="en-US" w:eastAsia="zh-CN"/>
        </w:rPr>
        <w:t>100</w:t>
      </w:r>
      <w:r>
        <w:rPr>
          <w:rFonts w:hint="default" w:ascii="Times New Roman" w:hAnsi="Times New Roman" w:eastAsia="仿宋_GB2312" w:cs="Times New Roman"/>
          <w:kern w:val="0"/>
          <w:sz w:val="32"/>
          <w:szCs w:val="32"/>
          <w:highlight w:val="none"/>
        </w:rPr>
        <w:t>%，主要原因是：</w:t>
      </w:r>
      <w:r>
        <w:rPr>
          <w:rFonts w:hint="default" w:ascii="Times New Roman" w:hAnsi="Times New Roman" w:eastAsia="仿宋_GB2312" w:cs="Times New Roman"/>
          <w:kern w:val="0"/>
          <w:sz w:val="32"/>
          <w:szCs w:val="32"/>
          <w:highlight w:val="none"/>
          <w:lang w:eastAsia="zh-CN"/>
        </w:rPr>
        <w:t>以前年度北山社区办公建设补助项目经费结余，</w:t>
      </w:r>
      <w:r>
        <w:rPr>
          <w:rFonts w:hint="default" w:ascii="Times New Roman" w:hAnsi="Times New Roman" w:eastAsia="仿宋_GB2312" w:cs="Times New Roman"/>
          <w:kern w:val="0"/>
          <w:sz w:val="32"/>
          <w:szCs w:val="32"/>
          <w:highlight w:val="none"/>
          <w:lang w:val="en-US" w:eastAsia="zh-CN"/>
        </w:rPr>
        <w:t>2022年支付完毕</w:t>
      </w:r>
      <w:r>
        <w:rPr>
          <w:rFonts w:hint="default" w:ascii="Times New Roman" w:hAnsi="Times New Roman" w:eastAsia="仿宋_GB2312" w:cs="Times New Roman"/>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lang w:eastAsia="zh-CN"/>
        </w:rPr>
      </w:pPr>
      <w:r>
        <w:rPr>
          <w:rFonts w:hint="eastAsia" w:eastAsia="仿宋_GB2312" w:cs="Times New Roman"/>
          <w:kern w:val="0"/>
          <w:sz w:val="32"/>
          <w:szCs w:val="32"/>
          <w:highlight w:val="none"/>
          <w:lang w:val="en-US" w:eastAsia="zh-CN"/>
        </w:rPr>
        <w:t>6</w:t>
      </w:r>
      <w:r>
        <w:rPr>
          <w:rFonts w:hint="default" w:ascii="Times New Roman" w:hAnsi="Times New Roman" w:eastAsia="仿宋_GB2312" w:cs="Times New Roman"/>
          <w:kern w:val="0"/>
          <w:sz w:val="32"/>
          <w:szCs w:val="32"/>
          <w:highlight w:val="none"/>
        </w:rPr>
        <w:t>.一般公共服务（类）其他一般公共服务支出（款）</w:t>
      </w:r>
      <w:r>
        <w:rPr>
          <w:rFonts w:hint="default" w:ascii="Times New Roman" w:hAnsi="Times New Roman" w:eastAsia="仿宋_GB2312" w:cs="Times New Roman"/>
          <w:kern w:val="0"/>
          <w:sz w:val="32"/>
          <w:szCs w:val="32"/>
          <w:highlight w:val="none"/>
          <w:lang w:eastAsia="zh-CN"/>
        </w:rPr>
        <w:t>其他一般公共服务支出</w:t>
      </w:r>
      <w:r>
        <w:rPr>
          <w:rFonts w:hint="default" w:ascii="Times New Roman" w:hAnsi="Times New Roman" w:eastAsia="仿宋_GB2312" w:cs="Times New Roman"/>
          <w:kern w:val="0"/>
          <w:sz w:val="32"/>
          <w:szCs w:val="32"/>
          <w:highlight w:val="none"/>
        </w:rPr>
        <w:t>（项）</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支出决算数</w:t>
      </w:r>
      <w:r>
        <w:rPr>
          <w:rFonts w:hint="default" w:ascii="Times New Roman" w:hAnsi="Times New Roman" w:eastAsia="仿宋_GB2312" w:cs="Times New Roman"/>
          <w:kern w:val="0"/>
          <w:sz w:val="32"/>
          <w:szCs w:val="32"/>
          <w:highlight w:val="none"/>
        </w:rPr>
        <w:t>为</w:t>
      </w:r>
      <w:r>
        <w:rPr>
          <w:rFonts w:hint="default" w:ascii="Times New Roman" w:hAnsi="Times New Roman" w:eastAsia="仿宋_GB2312" w:cs="Times New Roman"/>
          <w:kern w:val="0"/>
          <w:sz w:val="32"/>
          <w:szCs w:val="32"/>
          <w:highlight w:val="none"/>
          <w:lang w:val="en-US" w:eastAsia="zh-CN"/>
        </w:rPr>
        <w:t>2.48</w:t>
      </w:r>
      <w:r>
        <w:rPr>
          <w:rFonts w:hint="default" w:ascii="Times New Roman" w:hAnsi="Times New Roman" w:eastAsia="仿宋_GB2312" w:cs="Times New Roman"/>
          <w:kern w:val="0"/>
          <w:sz w:val="32"/>
          <w:szCs w:val="32"/>
          <w:highlight w:val="none"/>
        </w:rPr>
        <w:t>万元，比上年</w:t>
      </w:r>
      <w:r>
        <w:rPr>
          <w:rFonts w:hint="default" w:ascii="Times New Roman" w:hAnsi="Times New Roman" w:eastAsia="仿宋_GB2312" w:cs="Times New Roman"/>
          <w:kern w:val="0"/>
          <w:sz w:val="32"/>
          <w:szCs w:val="32"/>
          <w:highlight w:val="none"/>
          <w:lang w:val="en-US" w:eastAsia="zh-CN"/>
        </w:rPr>
        <w:t>决算</w:t>
      </w:r>
      <w:r>
        <w:rPr>
          <w:rFonts w:hint="default" w:ascii="Times New Roman" w:hAnsi="Times New Roman" w:eastAsia="仿宋_GB2312" w:cs="Times New Roman"/>
          <w:kern w:val="0"/>
          <w:sz w:val="32"/>
          <w:szCs w:val="32"/>
          <w:highlight w:val="none"/>
        </w:rPr>
        <w:t>减少</w:t>
      </w:r>
      <w:r>
        <w:rPr>
          <w:rFonts w:hint="default" w:ascii="Times New Roman" w:hAnsi="Times New Roman" w:eastAsia="仿宋_GB2312" w:cs="Times New Roman"/>
          <w:kern w:val="0"/>
          <w:sz w:val="32"/>
          <w:szCs w:val="32"/>
          <w:highlight w:val="none"/>
          <w:lang w:val="en-US" w:eastAsia="zh-CN"/>
        </w:rPr>
        <w:t>55.04</w:t>
      </w:r>
      <w:r>
        <w:rPr>
          <w:rFonts w:hint="default" w:ascii="Times New Roman" w:hAnsi="Times New Roman" w:eastAsia="仿宋_GB2312" w:cs="Times New Roman"/>
          <w:kern w:val="0"/>
          <w:sz w:val="32"/>
          <w:szCs w:val="32"/>
          <w:highlight w:val="none"/>
        </w:rPr>
        <w:t>万元，下降</w:t>
      </w:r>
      <w:r>
        <w:rPr>
          <w:rFonts w:hint="eastAsia" w:eastAsia="仿宋_GB2312" w:cs="Times New Roman"/>
          <w:kern w:val="0"/>
          <w:sz w:val="32"/>
          <w:szCs w:val="32"/>
          <w:highlight w:val="none"/>
          <w:lang w:val="en-US" w:eastAsia="zh-CN"/>
        </w:rPr>
        <w:t>95.68</w:t>
      </w:r>
      <w:r>
        <w:rPr>
          <w:rFonts w:hint="default" w:ascii="Times New Roman" w:hAnsi="Times New Roman" w:eastAsia="仿宋_GB2312" w:cs="Times New Roman"/>
          <w:kern w:val="0"/>
          <w:sz w:val="32"/>
          <w:szCs w:val="32"/>
          <w:highlight w:val="none"/>
        </w:rPr>
        <w:t>%，主要原因是：</w:t>
      </w:r>
      <w:r>
        <w:rPr>
          <w:rFonts w:hint="default" w:ascii="Times New Roman" w:hAnsi="Times New Roman" w:eastAsia="仿宋_GB2312" w:cs="Times New Roman"/>
          <w:kern w:val="0"/>
          <w:sz w:val="32"/>
          <w:szCs w:val="32"/>
          <w:highlight w:val="none"/>
          <w:lang w:eastAsia="zh-CN"/>
        </w:rPr>
        <w:t>以前年度</w:t>
      </w:r>
      <w:r>
        <w:rPr>
          <w:rFonts w:hint="default" w:ascii="Times New Roman" w:hAnsi="Times New Roman" w:eastAsia="仿宋_GB2312" w:cs="Times New Roman"/>
          <w:kern w:val="0"/>
          <w:sz w:val="32"/>
          <w:szCs w:val="32"/>
          <w:highlight w:val="none"/>
        </w:rPr>
        <w:t>集中整治经费北山工作组</w:t>
      </w:r>
      <w:r>
        <w:rPr>
          <w:rFonts w:hint="default" w:ascii="Times New Roman" w:hAnsi="Times New Roman" w:eastAsia="仿宋_GB2312" w:cs="Times New Roman"/>
          <w:kern w:val="0"/>
          <w:sz w:val="32"/>
          <w:szCs w:val="32"/>
          <w:highlight w:val="none"/>
          <w:lang w:eastAsia="zh-CN"/>
        </w:rPr>
        <w:t>项目结余，</w:t>
      </w:r>
      <w:r>
        <w:rPr>
          <w:rFonts w:hint="default" w:ascii="Times New Roman" w:hAnsi="Times New Roman" w:eastAsia="仿宋_GB2312" w:cs="Times New Roman"/>
          <w:kern w:val="0"/>
          <w:sz w:val="32"/>
          <w:szCs w:val="32"/>
          <w:highlight w:val="none"/>
          <w:lang w:val="en-US" w:eastAsia="zh-CN"/>
        </w:rPr>
        <w:t>2021年支付57.52万元，2022年支付2.48万元</w:t>
      </w:r>
      <w:r>
        <w:rPr>
          <w:rFonts w:hint="default" w:ascii="Times New Roman" w:hAnsi="Times New Roman" w:eastAsia="仿宋_GB2312" w:cs="Times New Roman"/>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FF0000"/>
          <w:kern w:val="0"/>
          <w:sz w:val="32"/>
          <w:szCs w:val="32"/>
          <w:highlight w:val="none"/>
          <w:lang w:val="en-US" w:eastAsia="zh-CN"/>
        </w:rPr>
      </w:pPr>
      <w:r>
        <w:rPr>
          <w:rFonts w:hint="eastAsia" w:eastAsia="仿宋_GB2312" w:cs="Times New Roman"/>
          <w:color w:val="FF0000"/>
          <w:kern w:val="0"/>
          <w:sz w:val="32"/>
          <w:szCs w:val="32"/>
          <w:highlight w:val="none"/>
          <w:lang w:val="en-US" w:eastAsia="zh-CN"/>
        </w:rPr>
        <w:t>7</w:t>
      </w:r>
      <w:r>
        <w:rPr>
          <w:rFonts w:hint="eastAsia" w:ascii="Times New Roman" w:hAnsi="Times New Roman" w:eastAsia="仿宋_GB2312" w:cs="Times New Roman"/>
          <w:color w:val="FF0000"/>
          <w:kern w:val="0"/>
          <w:sz w:val="32"/>
          <w:szCs w:val="32"/>
          <w:highlight w:val="none"/>
          <w:lang w:val="en-US" w:eastAsia="zh-CN"/>
        </w:rPr>
        <w:t>.</w:t>
      </w:r>
      <w:r>
        <w:rPr>
          <w:rFonts w:hint="default" w:ascii="Times New Roman" w:hAnsi="Times New Roman" w:eastAsia="仿宋_GB2312" w:cs="Times New Roman"/>
          <w:color w:val="FF0000"/>
          <w:kern w:val="0"/>
          <w:sz w:val="32"/>
          <w:szCs w:val="32"/>
          <w:highlight w:val="none"/>
          <w:lang w:val="en-US" w:eastAsia="zh-CN"/>
        </w:rPr>
        <w:t>公共安全支出（类）公安（款）其他公安支出（项）:支出决算数为0元，比上年决算减少170.11万元，下降100%，主要原因是：便民服务站运行经费在年末大部分调整为往来款项目，故决算支出数减少。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rPr>
      </w:pPr>
      <w:r>
        <w:rPr>
          <w:rFonts w:hint="eastAsia" w:eastAsia="仿宋_GB2312" w:cs="Times New Roman"/>
          <w:kern w:val="0"/>
          <w:sz w:val="32"/>
          <w:szCs w:val="32"/>
          <w:highlight w:val="none"/>
          <w:lang w:val="en-US" w:eastAsia="zh-CN"/>
        </w:rPr>
        <w:t>8</w:t>
      </w:r>
      <w:r>
        <w:rPr>
          <w:rFonts w:hint="default" w:ascii="Times New Roman" w:hAnsi="Times New Roman" w:eastAsia="仿宋_GB2312" w:cs="Times New Roman"/>
          <w:kern w:val="0"/>
          <w:sz w:val="32"/>
          <w:szCs w:val="32"/>
          <w:highlight w:val="none"/>
        </w:rPr>
        <w:t>.公共安全支出（类）其他公共安全支出（款）</w:t>
      </w:r>
      <w:r>
        <w:rPr>
          <w:rFonts w:hint="default" w:ascii="Times New Roman" w:hAnsi="Times New Roman" w:eastAsia="仿宋_GB2312" w:cs="Times New Roman"/>
          <w:kern w:val="0"/>
          <w:sz w:val="32"/>
          <w:szCs w:val="32"/>
          <w:highlight w:val="none"/>
          <w:lang w:eastAsia="zh-CN"/>
        </w:rPr>
        <w:t>其他公共安全支出</w:t>
      </w:r>
      <w:r>
        <w:rPr>
          <w:rFonts w:hint="default" w:ascii="Times New Roman" w:hAnsi="Times New Roman" w:eastAsia="仿宋_GB2312" w:cs="Times New Roman"/>
          <w:kern w:val="0"/>
          <w:sz w:val="32"/>
          <w:szCs w:val="32"/>
          <w:highlight w:val="none"/>
        </w:rPr>
        <w:t>（项）</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支出决算数</w:t>
      </w:r>
      <w:r>
        <w:rPr>
          <w:rFonts w:hint="default" w:ascii="Times New Roman" w:hAnsi="Times New Roman" w:eastAsia="仿宋_GB2312" w:cs="Times New Roman"/>
          <w:kern w:val="0"/>
          <w:sz w:val="32"/>
          <w:szCs w:val="32"/>
          <w:highlight w:val="none"/>
        </w:rPr>
        <w:t>为</w:t>
      </w:r>
      <w:r>
        <w:rPr>
          <w:rFonts w:hint="default" w:ascii="Times New Roman" w:hAnsi="Times New Roman" w:eastAsia="仿宋_GB2312" w:cs="Times New Roman"/>
          <w:kern w:val="0"/>
          <w:sz w:val="32"/>
          <w:szCs w:val="32"/>
          <w:highlight w:val="none"/>
          <w:lang w:val="en-US" w:eastAsia="zh-CN"/>
        </w:rPr>
        <w:t>0.11</w:t>
      </w:r>
      <w:r>
        <w:rPr>
          <w:rFonts w:hint="default" w:ascii="Times New Roman" w:hAnsi="Times New Roman" w:eastAsia="仿宋_GB2312" w:cs="Times New Roman"/>
          <w:kern w:val="0"/>
          <w:sz w:val="32"/>
          <w:szCs w:val="32"/>
          <w:highlight w:val="none"/>
        </w:rPr>
        <w:t>万元，比上年</w:t>
      </w:r>
      <w:r>
        <w:rPr>
          <w:rFonts w:hint="default" w:ascii="Times New Roman" w:hAnsi="Times New Roman" w:eastAsia="仿宋_GB2312" w:cs="Times New Roman"/>
          <w:kern w:val="0"/>
          <w:sz w:val="32"/>
          <w:szCs w:val="32"/>
          <w:highlight w:val="none"/>
          <w:lang w:val="en-US" w:eastAsia="zh-CN"/>
        </w:rPr>
        <w:t>决算</w:t>
      </w:r>
      <w:r>
        <w:rPr>
          <w:rFonts w:hint="default" w:ascii="Times New Roman" w:hAnsi="Times New Roman" w:eastAsia="仿宋_GB2312" w:cs="Times New Roman"/>
          <w:kern w:val="0"/>
          <w:sz w:val="32"/>
          <w:szCs w:val="32"/>
          <w:highlight w:val="none"/>
        </w:rPr>
        <w:t>减少</w:t>
      </w:r>
      <w:r>
        <w:rPr>
          <w:rFonts w:hint="default" w:ascii="Times New Roman" w:hAnsi="Times New Roman" w:eastAsia="仿宋_GB2312" w:cs="Times New Roman"/>
          <w:kern w:val="0"/>
          <w:sz w:val="32"/>
          <w:szCs w:val="32"/>
          <w:highlight w:val="none"/>
          <w:lang w:val="en-US" w:eastAsia="zh-CN"/>
        </w:rPr>
        <w:t>268.93</w:t>
      </w:r>
      <w:r>
        <w:rPr>
          <w:rFonts w:hint="default" w:ascii="Times New Roman" w:hAnsi="Times New Roman" w:eastAsia="仿宋_GB2312" w:cs="Times New Roman"/>
          <w:kern w:val="0"/>
          <w:sz w:val="32"/>
          <w:szCs w:val="32"/>
          <w:highlight w:val="none"/>
        </w:rPr>
        <w:t>万元，下降</w:t>
      </w:r>
      <w:r>
        <w:rPr>
          <w:rFonts w:hint="eastAsia" w:eastAsia="仿宋_GB2312" w:cs="Times New Roman"/>
          <w:kern w:val="0"/>
          <w:sz w:val="32"/>
          <w:szCs w:val="32"/>
          <w:highlight w:val="none"/>
          <w:lang w:val="en-US" w:eastAsia="zh-CN"/>
        </w:rPr>
        <w:t>99.95</w:t>
      </w:r>
      <w:r>
        <w:rPr>
          <w:rFonts w:hint="default" w:ascii="Times New Roman" w:hAnsi="Times New Roman" w:eastAsia="仿宋_GB2312" w:cs="Times New Roman"/>
          <w:kern w:val="0"/>
          <w:sz w:val="32"/>
          <w:szCs w:val="32"/>
          <w:highlight w:val="none"/>
        </w:rPr>
        <w:t>%，主要原因是：</w:t>
      </w:r>
      <w:r>
        <w:rPr>
          <w:rFonts w:hint="default" w:ascii="Times New Roman" w:hAnsi="Times New Roman" w:eastAsia="仿宋_GB2312" w:cs="Times New Roman"/>
          <w:kern w:val="0"/>
          <w:sz w:val="32"/>
          <w:szCs w:val="24"/>
          <w:highlight w:val="none"/>
          <w:lang w:val="en-US" w:eastAsia="zh-CN"/>
        </w:rPr>
        <w:t>便民服务站人员伙食费、便民服务站运行经费、封闭化岗亭人员经费支出减少</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FF0000"/>
          <w:kern w:val="0"/>
          <w:sz w:val="32"/>
          <w:szCs w:val="32"/>
          <w:highlight w:val="none"/>
          <w:lang w:val="en-US" w:eastAsia="zh-CN"/>
        </w:rPr>
      </w:pPr>
      <w:r>
        <w:rPr>
          <w:rFonts w:hint="eastAsia" w:eastAsia="仿宋_GB2312" w:cs="Times New Roman"/>
          <w:color w:val="FF0000"/>
          <w:kern w:val="0"/>
          <w:sz w:val="32"/>
          <w:szCs w:val="32"/>
          <w:highlight w:val="none"/>
          <w:lang w:val="en-US" w:eastAsia="zh-CN"/>
        </w:rPr>
        <w:t>9</w:t>
      </w:r>
      <w:r>
        <w:rPr>
          <w:rFonts w:hint="default" w:ascii="Times New Roman" w:hAnsi="Times New Roman" w:eastAsia="仿宋_GB2312" w:cs="Times New Roman"/>
          <w:color w:val="FF0000"/>
          <w:kern w:val="0"/>
          <w:sz w:val="32"/>
          <w:szCs w:val="32"/>
          <w:highlight w:val="none"/>
          <w:lang w:val="en-US" w:eastAsia="zh-CN"/>
        </w:rPr>
        <w:t>.科学技术支出（类）其他科学技术支出（款）其他科学技术支出（项）:支出决算数为0元，比上年决算减少12.75万元，下降100%，主要原因是：2022年度全年未拨付此项经费，故经费减少。</w:t>
      </w:r>
      <w:r>
        <w:rPr>
          <w:rFonts w:hint="default" w:ascii="Times New Roman" w:hAnsi="Times New Roman" w:eastAsia="仿宋_GB2312" w:cs="Times New Roman"/>
          <w:color w:val="FF0000"/>
          <w:kern w:val="0"/>
          <w:sz w:val="32"/>
          <w:szCs w:val="32"/>
          <w:highlight w:val="none"/>
          <w:lang w:val="en-US" w:eastAsia="zh-CN"/>
        </w:rPr>
        <w:br w:type="textWrapping"/>
      </w:r>
      <w:r>
        <w:rPr>
          <w:rFonts w:hint="eastAsia" w:eastAsia="仿宋_GB2312" w:cs="Times New Roman"/>
          <w:color w:val="FF0000"/>
          <w:kern w:val="0"/>
          <w:sz w:val="32"/>
          <w:szCs w:val="32"/>
          <w:highlight w:val="none"/>
          <w:lang w:val="en-US" w:eastAsia="zh-CN"/>
        </w:rPr>
        <w:t xml:space="preserve">    10</w:t>
      </w:r>
      <w:r>
        <w:rPr>
          <w:rFonts w:hint="default" w:ascii="Times New Roman" w:hAnsi="Times New Roman" w:eastAsia="仿宋_GB2312" w:cs="Times New Roman"/>
          <w:color w:val="FF0000"/>
          <w:kern w:val="0"/>
          <w:sz w:val="32"/>
          <w:szCs w:val="32"/>
          <w:highlight w:val="none"/>
          <w:lang w:val="en-US" w:eastAsia="zh-CN"/>
        </w:rPr>
        <w:t>.文化旅游体育与传媒支出（类）文化和旅游（款）群众文化（项）支出:支出决算数为0元，比上年决算减少11.4万元，下降100%，主要原因是：2022年度全年未拨付此项经费，故经费减少。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lang w:eastAsia="zh-CN"/>
        </w:rPr>
      </w:pPr>
      <w:r>
        <w:rPr>
          <w:rFonts w:hint="eastAsia" w:eastAsia="仿宋_GB2312" w:cs="Times New Roman"/>
          <w:kern w:val="0"/>
          <w:sz w:val="32"/>
          <w:szCs w:val="32"/>
          <w:highlight w:val="none"/>
          <w:lang w:val="en-US" w:eastAsia="zh-CN"/>
        </w:rPr>
        <w:t>11</w:t>
      </w:r>
      <w:r>
        <w:rPr>
          <w:rFonts w:hint="default" w:ascii="Times New Roman" w:hAnsi="Times New Roman" w:eastAsia="仿宋_GB2312" w:cs="Times New Roman"/>
          <w:kern w:val="0"/>
          <w:sz w:val="32"/>
          <w:szCs w:val="32"/>
          <w:highlight w:val="none"/>
        </w:rPr>
        <w:t>.社会保障和就业支出（类）民政管理事务（款）</w:t>
      </w:r>
      <w:r>
        <w:rPr>
          <w:rFonts w:hint="default" w:ascii="Times New Roman" w:hAnsi="Times New Roman" w:eastAsia="仿宋_GB2312" w:cs="Times New Roman"/>
          <w:kern w:val="0"/>
          <w:sz w:val="32"/>
          <w:szCs w:val="32"/>
          <w:highlight w:val="none"/>
          <w:lang w:eastAsia="zh-CN"/>
        </w:rPr>
        <w:t>基层政权建设和社区治理</w:t>
      </w:r>
      <w:r>
        <w:rPr>
          <w:rFonts w:hint="default" w:ascii="Times New Roman" w:hAnsi="Times New Roman" w:eastAsia="仿宋_GB2312" w:cs="Times New Roman"/>
          <w:kern w:val="0"/>
          <w:sz w:val="32"/>
          <w:szCs w:val="32"/>
          <w:highlight w:val="none"/>
        </w:rPr>
        <w:t>（项）</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支出决算数</w:t>
      </w:r>
      <w:r>
        <w:rPr>
          <w:rFonts w:hint="default" w:ascii="Times New Roman" w:hAnsi="Times New Roman" w:eastAsia="仿宋_GB2312" w:cs="Times New Roman"/>
          <w:kern w:val="0"/>
          <w:sz w:val="32"/>
          <w:szCs w:val="32"/>
          <w:highlight w:val="none"/>
        </w:rPr>
        <w:t>为</w:t>
      </w:r>
      <w:r>
        <w:rPr>
          <w:rFonts w:hint="default" w:ascii="Times New Roman" w:hAnsi="Times New Roman" w:eastAsia="仿宋_GB2312" w:cs="Times New Roman"/>
          <w:kern w:val="0"/>
          <w:sz w:val="32"/>
          <w:szCs w:val="32"/>
          <w:highlight w:val="none"/>
          <w:lang w:val="en-US" w:eastAsia="zh-CN"/>
        </w:rPr>
        <w:t>2515.44</w:t>
      </w:r>
      <w:r>
        <w:rPr>
          <w:rFonts w:hint="default" w:ascii="Times New Roman" w:hAnsi="Times New Roman" w:eastAsia="仿宋_GB2312" w:cs="Times New Roman"/>
          <w:kern w:val="0"/>
          <w:sz w:val="32"/>
          <w:szCs w:val="32"/>
          <w:highlight w:val="none"/>
        </w:rPr>
        <w:t>万元，比上年</w:t>
      </w:r>
      <w:r>
        <w:rPr>
          <w:rFonts w:hint="default" w:ascii="Times New Roman" w:hAnsi="Times New Roman" w:eastAsia="仿宋_GB2312" w:cs="Times New Roman"/>
          <w:kern w:val="0"/>
          <w:sz w:val="32"/>
          <w:szCs w:val="32"/>
          <w:highlight w:val="none"/>
          <w:lang w:val="en-US" w:eastAsia="zh-CN"/>
        </w:rPr>
        <w:t>决算</w:t>
      </w:r>
      <w:r>
        <w:rPr>
          <w:rFonts w:hint="default" w:ascii="Times New Roman" w:hAnsi="Times New Roman" w:eastAsia="仿宋_GB2312" w:cs="Times New Roman"/>
          <w:kern w:val="0"/>
          <w:sz w:val="32"/>
          <w:szCs w:val="32"/>
          <w:highlight w:val="none"/>
        </w:rPr>
        <w:t>减少</w:t>
      </w:r>
      <w:r>
        <w:rPr>
          <w:rFonts w:hint="default" w:ascii="Times New Roman" w:hAnsi="Times New Roman" w:eastAsia="仿宋_GB2312" w:cs="Times New Roman"/>
          <w:kern w:val="0"/>
          <w:sz w:val="32"/>
          <w:szCs w:val="32"/>
          <w:highlight w:val="none"/>
          <w:lang w:val="en-US" w:eastAsia="zh-CN"/>
        </w:rPr>
        <w:t>813.27</w:t>
      </w:r>
      <w:r>
        <w:rPr>
          <w:rFonts w:hint="default" w:ascii="Times New Roman" w:hAnsi="Times New Roman" w:eastAsia="仿宋_GB2312" w:cs="Times New Roman"/>
          <w:kern w:val="0"/>
          <w:sz w:val="32"/>
          <w:szCs w:val="32"/>
          <w:highlight w:val="none"/>
        </w:rPr>
        <w:t>万元，下降</w:t>
      </w:r>
      <w:r>
        <w:rPr>
          <w:rFonts w:hint="eastAsia" w:eastAsia="仿宋_GB2312" w:cs="Times New Roman"/>
          <w:kern w:val="0"/>
          <w:sz w:val="32"/>
          <w:szCs w:val="32"/>
          <w:highlight w:val="none"/>
          <w:lang w:val="en-US" w:eastAsia="zh-CN"/>
        </w:rPr>
        <w:t>24.43</w:t>
      </w:r>
      <w:r>
        <w:rPr>
          <w:rFonts w:hint="default" w:ascii="Times New Roman" w:hAnsi="Times New Roman" w:eastAsia="仿宋_GB2312" w:cs="Times New Roman"/>
          <w:kern w:val="0"/>
          <w:sz w:val="32"/>
          <w:szCs w:val="32"/>
          <w:highlight w:val="none"/>
        </w:rPr>
        <w:t>%，主要原因是：</w:t>
      </w:r>
      <w:r>
        <w:rPr>
          <w:rFonts w:hint="default" w:ascii="Times New Roman" w:hAnsi="Times New Roman" w:eastAsia="仿宋_GB2312" w:cs="Times New Roman"/>
          <w:kern w:val="0"/>
          <w:sz w:val="32"/>
          <w:szCs w:val="24"/>
          <w:highlight w:val="none"/>
          <w:lang w:val="en-US"/>
        </w:rPr>
        <w:t>主要原因是：社区食堂补助经费</w:t>
      </w:r>
      <w:r>
        <w:rPr>
          <w:rFonts w:hint="default" w:ascii="Times New Roman" w:hAnsi="Times New Roman" w:eastAsia="仿宋_GB2312" w:cs="Times New Roman"/>
          <w:kern w:val="0"/>
          <w:sz w:val="32"/>
          <w:szCs w:val="24"/>
          <w:highlight w:val="none"/>
          <w:lang w:val="en-US" w:eastAsia="zh-CN"/>
        </w:rPr>
        <w:t>、2022年临时聘用人员经费、便民服务站人员伙食费、工作经费支出减少</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lang w:eastAsia="zh-CN"/>
        </w:rPr>
      </w:pPr>
      <w:r>
        <w:rPr>
          <w:rFonts w:hint="eastAsia" w:eastAsia="仿宋_GB2312" w:cs="Times New Roman"/>
          <w:kern w:val="0"/>
          <w:sz w:val="32"/>
          <w:szCs w:val="32"/>
          <w:highlight w:val="none"/>
          <w:lang w:val="en-US" w:eastAsia="zh-CN"/>
        </w:rPr>
        <w:t>12</w:t>
      </w:r>
      <w:r>
        <w:rPr>
          <w:rFonts w:hint="default" w:ascii="Times New Roman" w:hAnsi="Times New Roman" w:eastAsia="仿宋_GB2312" w:cs="Times New Roman"/>
          <w:kern w:val="0"/>
          <w:sz w:val="32"/>
          <w:szCs w:val="32"/>
          <w:highlight w:val="none"/>
        </w:rPr>
        <w:t>.社会保障和就业支出（类）行政事业单位养老支出（款）</w:t>
      </w:r>
      <w:r>
        <w:rPr>
          <w:rFonts w:hint="default" w:ascii="Times New Roman" w:hAnsi="Times New Roman" w:eastAsia="仿宋_GB2312" w:cs="Times New Roman"/>
          <w:kern w:val="0"/>
          <w:sz w:val="32"/>
          <w:szCs w:val="32"/>
          <w:highlight w:val="none"/>
          <w:lang w:eastAsia="zh-CN"/>
        </w:rPr>
        <w:t>行政单位离退休</w:t>
      </w:r>
      <w:r>
        <w:rPr>
          <w:rFonts w:hint="default" w:ascii="Times New Roman" w:hAnsi="Times New Roman" w:eastAsia="仿宋_GB2312" w:cs="Times New Roman"/>
          <w:kern w:val="0"/>
          <w:sz w:val="32"/>
          <w:szCs w:val="32"/>
          <w:highlight w:val="none"/>
        </w:rPr>
        <w:t>（项）</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支出决算数</w:t>
      </w:r>
      <w:r>
        <w:rPr>
          <w:rFonts w:hint="default" w:ascii="Times New Roman" w:hAnsi="Times New Roman" w:eastAsia="仿宋_GB2312" w:cs="Times New Roman"/>
          <w:kern w:val="0"/>
          <w:sz w:val="32"/>
          <w:szCs w:val="32"/>
          <w:highlight w:val="none"/>
        </w:rPr>
        <w:t>为</w:t>
      </w:r>
      <w:r>
        <w:rPr>
          <w:rFonts w:hint="default" w:ascii="Times New Roman" w:hAnsi="Times New Roman" w:eastAsia="仿宋_GB2312" w:cs="Times New Roman"/>
          <w:kern w:val="0"/>
          <w:sz w:val="32"/>
          <w:szCs w:val="32"/>
          <w:highlight w:val="none"/>
          <w:lang w:val="en-US" w:eastAsia="zh-CN"/>
        </w:rPr>
        <w:t>0.94</w:t>
      </w:r>
      <w:r>
        <w:rPr>
          <w:rFonts w:hint="default" w:ascii="Times New Roman" w:hAnsi="Times New Roman" w:eastAsia="仿宋_GB2312" w:cs="Times New Roman"/>
          <w:kern w:val="0"/>
          <w:sz w:val="32"/>
          <w:szCs w:val="32"/>
          <w:highlight w:val="none"/>
        </w:rPr>
        <w:t>万元，比上年</w:t>
      </w:r>
      <w:r>
        <w:rPr>
          <w:rFonts w:hint="default" w:ascii="Times New Roman" w:hAnsi="Times New Roman" w:eastAsia="仿宋_GB2312" w:cs="Times New Roman"/>
          <w:kern w:val="0"/>
          <w:sz w:val="32"/>
          <w:szCs w:val="32"/>
          <w:highlight w:val="none"/>
          <w:lang w:val="en-US" w:eastAsia="zh-CN"/>
        </w:rPr>
        <w:t>决算</w:t>
      </w:r>
      <w:r>
        <w:rPr>
          <w:rFonts w:hint="default" w:ascii="Times New Roman" w:hAnsi="Times New Roman" w:eastAsia="仿宋_GB2312" w:cs="Times New Roman"/>
          <w:kern w:val="0"/>
          <w:sz w:val="32"/>
          <w:szCs w:val="32"/>
          <w:highlight w:val="none"/>
        </w:rPr>
        <w:t>增加</w:t>
      </w:r>
      <w:r>
        <w:rPr>
          <w:rFonts w:hint="default" w:ascii="Times New Roman" w:hAnsi="Times New Roman" w:eastAsia="仿宋_GB2312" w:cs="Times New Roman"/>
          <w:kern w:val="0"/>
          <w:sz w:val="32"/>
          <w:szCs w:val="32"/>
          <w:highlight w:val="none"/>
          <w:lang w:val="en-US" w:eastAsia="zh-CN"/>
        </w:rPr>
        <w:t>0.94</w:t>
      </w:r>
      <w:r>
        <w:rPr>
          <w:rFonts w:hint="default" w:ascii="Times New Roman" w:hAnsi="Times New Roman" w:eastAsia="仿宋_GB2312" w:cs="Times New Roman"/>
          <w:kern w:val="0"/>
          <w:sz w:val="32"/>
          <w:szCs w:val="32"/>
          <w:highlight w:val="none"/>
        </w:rPr>
        <w:t>万元，增长</w:t>
      </w:r>
      <w:r>
        <w:rPr>
          <w:rFonts w:hint="default" w:ascii="Times New Roman" w:hAnsi="Times New Roman" w:eastAsia="仿宋_GB2312" w:cs="Times New Roman"/>
          <w:kern w:val="0"/>
          <w:sz w:val="32"/>
          <w:szCs w:val="32"/>
          <w:highlight w:val="none"/>
          <w:lang w:val="en-US" w:eastAsia="zh-CN"/>
        </w:rPr>
        <w:t>100</w:t>
      </w:r>
      <w:r>
        <w:rPr>
          <w:rFonts w:hint="default" w:ascii="Times New Roman" w:hAnsi="Times New Roman" w:eastAsia="仿宋_GB2312" w:cs="Times New Roman"/>
          <w:kern w:val="0"/>
          <w:sz w:val="32"/>
          <w:szCs w:val="32"/>
          <w:highlight w:val="none"/>
        </w:rPr>
        <w:t>%，主要原因是：</w:t>
      </w:r>
      <w:r>
        <w:rPr>
          <w:rFonts w:hint="default" w:ascii="Times New Roman" w:hAnsi="Times New Roman" w:eastAsia="仿宋_GB2312" w:cs="Times New Roman"/>
          <w:kern w:val="0"/>
          <w:sz w:val="32"/>
          <w:szCs w:val="32"/>
          <w:highlight w:val="none"/>
          <w:lang w:val="en-US" w:eastAsia="zh-CN"/>
        </w:rPr>
        <w:t>2022年新增款项</w:t>
      </w:r>
      <w:r>
        <w:rPr>
          <w:rFonts w:hint="default" w:ascii="Times New Roman" w:hAnsi="Times New Roman" w:eastAsia="仿宋_GB2312" w:cs="Times New Roman"/>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lang w:eastAsia="zh-CN"/>
        </w:rPr>
      </w:pPr>
      <w:r>
        <w:rPr>
          <w:rFonts w:hint="eastAsia" w:eastAsia="仿宋_GB2312" w:cs="Times New Roman"/>
          <w:kern w:val="0"/>
          <w:sz w:val="32"/>
          <w:szCs w:val="32"/>
          <w:highlight w:val="none"/>
          <w:lang w:val="en-US" w:eastAsia="zh-CN"/>
        </w:rPr>
        <w:t>13</w:t>
      </w:r>
      <w:r>
        <w:rPr>
          <w:rFonts w:hint="default"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rPr>
        <w:t>社会保障和就业支出（类）行政事业单位养老支出（款）</w:t>
      </w:r>
      <w:r>
        <w:rPr>
          <w:rFonts w:hint="default" w:ascii="Times New Roman" w:hAnsi="Times New Roman" w:eastAsia="仿宋_GB2312" w:cs="Times New Roman"/>
          <w:kern w:val="0"/>
          <w:sz w:val="32"/>
          <w:szCs w:val="32"/>
          <w:highlight w:val="none"/>
          <w:lang w:eastAsia="zh-CN"/>
        </w:rPr>
        <w:t>事业单位离退休</w:t>
      </w:r>
      <w:r>
        <w:rPr>
          <w:rFonts w:hint="default" w:ascii="Times New Roman" w:hAnsi="Times New Roman" w:eastAsia="仿宋_GB2312" w:cs="Times New Roman"/>
          <w:kern w:val="0"/>
          <w:sz w:val="32"/>
          <w:szCs w:val="32"/>
          <w:highlight w:val="none"/>
        </w:rPr>
        <w:t>（项）</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支出决算数</w:t>
      </w:r>
      <w:r>
        <w:rPr>
          <w:rFonts w:hint="default" w:ascii="Times New Roman" w:hAnsi="Times New Roman" w:eastAsia="仿宋_GB2312" w:cs="Times New Roman"/>
          <w:kern w:val="0"/>
          <w:sz w:val="32"/>
          <w:szCs w:val="32"/>
          <w:highlight w:val="none"/>
        </w:rPr>
        <w:t>为</w:t>
      </w:r>
      <w:r>
        <w:rPr>
          <w:rFonts w:hint="default" w:ascii="Times New Roman" w:hAnsi="Times New Roman" w:eastAsia="仿宋_GB2312" w:cs="Times New Roman"/>
          <w:kern w:val="0"/>
          <w:sz w:val="32"/>
          <w:szCs w:val="32"/>
          <w:highlight w:val="none"/>
          <w:lang w:val="en-US" w:eastAsia="zh-CN"/>
        </w:rPr>
        <w:t>3.08</w:t>
      </w:r>
      <w:r>
        <w:rPr>
          <w:rFonts w:hint="default" w:ascii="Times New Roman" w:hAnsi="Times New Roman" w:eastAsia="仿宋_GB2312" w:cs="Times New Roman"/>
          <w:kern w:val="0"/>
          <w:sz w:val="32"/>
          <w:szCs w:val="32"/>
          <w:highlight w:val="none"/>
        </w:rPr>
        <w:t>万元，比上年</w:t>
      </w:r>
      <w:r>
        <w:rPr>
          <w:rFonts w:hint="default" w:ascii="Times New Roman" w:hAnsi="Times New Roman" w:eastAsia="仿宋_GB2312" w:cs="Times New Roman"/>
          <w:kern w:val="0"/>
          <w:sz w:val="32"/>
          <w:szCs w:val="32"/>
          <w:highlight w:val="none"/>
          <w:lang w:val="en-US" w:eastAsia="zh-CN"/>
        </w:rPr>
        <w:t>决算</w:t>
      </w:r>
      <w:r>
        <w:rPr>
          <w:rFonts w:hint="default" w:ascii="Times New Roman" w:hAnsi="Times New Roman" w:eastAsia="仿宋_GB2312" w:cs="Times New Roman"/>
          <w:kern w:val="0"/>
          <w:sz w:val="32"/>
          <w:szCs w:val="32"/>
          <w:highlight w:val="none"/>
        </w:rPr>
        <w:t>增加</w:t>
      </w:r>
      <w:r>
        <w:rPr>
          <w:rFonts w:hint="default" w:ascii="Times New Roman" w:hAnsi="Times New Roman" w:eastAsia="仿宋_GB2312" w:cs="Times New Roman"/>
          <w:kern w:val="0"/>
          <w:sz w:val="32"/>
          <w:szCs w:val="32"/>
          <w:highlight w:val="none"/>
          <w:lang w:val="en-US" w:eastAsia="zh-CN"/>
        </w:rPr>
        <w:t>3.08</w:t>
      </w:r>
      <w:r>
        <w:rPr>
          <w:rFonts w:hint="default" w:ascii="Times New Roman" w:hAnsi="Times New Roman" w:eastAsia="仿宋_GB2312" w:cs="Times New Roman"/>
          <w:kern w:val="0"/>
          <w:sz w:val="32"/>
          <w:szCs w:val="32"/>
          <w:highlight w:val="none"/>
        </w:rPr>
        <w:t>万元，增长</w:t>
      </w:r>
      <w:r>
        <w:rPr>
          <w:rFonts w:hint="default" w:ascii="Times New Roman" w:hAnsi="Times New Roman" w:eastAsia="仿宋_GB2312" w:cs="Times New Roman"/>
          <w:kern w:val="0"/>
          <w:sz w:val="32"/>
          <w:szCs w:val="32"/>
          <w:highlight w:val="none"/>
          <w:lang w:val="en-US" w:eastAsia="zh-CN"/>
        </w:rPr>
        <w:t>100</w:t>
      </w:r>
      <w:r>
        <w:rPr>
          <w:rFonts w:hint="default" w:ascii="Times New Roman" w:hAnsi="Times New Roman" w:eastAsia="仿宋_GB2312" w:cs="Times New Roman"/>
          <w:kern w:val="0"/>
          <w:sz w:val="32"/>
          <w:szCs w:val="32"/>
          <w:highlight w:val="none"/>
        </w:rPr>
        <w:t>%，主要原因是：</w:t>
      </w:r>
      <w:r>
        <w:rPr>
          <w:rFonts w:hint="default" w:ascii="Times New Roman" w:hAnsi="Times New Roman" w:eastAsia="仿宋_GB2312" w:cs="Times New Roman"/>
          <w:kern w:val="0"/>
          <w:sz w:val="32"/>
          <w:szCs w:val="32"/>
          <w:highlight w:val="none"/>
          <w:lang w:val="en-US" w:eastAsia="zh-CN"/>
        </w:rPr>
        <w:t>2022年新增款项。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lang w:eastAsia="zh-CN"/>
        </w:rPr>
      </w:pPr>
      <w:r>
        <w:rPr>
          <w:rFonts w:hint="eastAsia" w:eastAsia="仿宋_GB2312" w:cs="Times New Roman"/>
          <w:kern w:val="0"/>
          <w:sz w:val="32"/>
          <w:szCs w:val="32"/>
          <w:highlight w:val="none"/>
          <w:lang w:val="en-US" w:eastAsia="zh-CN"/>
        </w:rPr>
        <w:t>14</w:t>
      </w:r>
      <w:r>
        <w:rPr>
          <w:rFonts w:hint="default"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rPr>
        <w:t>社会保障和就业支出（类）行政事业单位养老支出（款）</w:t>
      </w:r>
      <w:r>
        <w:rPr>
          <w:rFonts w:hint="default" w:ascii="Times New Roman" w:hAnsi="Times New Roman" w:eastAsia="仿宋_GB2312" w:cs="Times New Roman"/>
          <w:kern w:val="0"/>
          <w:sz w:val="32"/>
          <w:szCs w:val="32"/>
          <w:highlight w:val="none"/>
          <w:lang w:eastAsia="zh-CN"/>
        </w:rPr>
        <w:t>机关事业单位基本养老保险缴费支出</w:t>
      </w:r>
      <w:r>
        <w:rPr>
          <w:rFonts w:hint="default" w:ascii="Times New Roman" w:hAnsi="Times New Roman" w:eastAsia="仿宋_GB2312" w:cs="Times New Roman"/>
          <w:kern w:val="0"/>
          <w:sz w:val="32"/>
          <w:szCs w:val="32"/>
          <w:highlight w:val="none"/>
        </w:rPr>
        <w:t>（项）</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支出决算数</w:t>
      </w:r>
      <w:r>
        <w:rPr>
          <w:rFonts w:hint="default" w:ascii="Times New Roman" w:hAnsi="Times New Roman" w:eastAsia="仿宋_GB2312" w:cs="Times New Roman"/>
          <w:kern w:val="0"/>
          <w:sz w:val="32"/>
          <w:szCs w:val="32"/>
          <w:highlight w:val="none"/>
        </w:rPr>
        <w:t>为</w:t>
      </w:r>
      <w:r>
        <w:rPr>
          <w:rFonts w:hint="default" w:ascii="Times New Roman" w:hAnsi="Times New Roman" w:eastAsia="仿宋_GB2312" w:cs="Times New Roman"/>
          <w:kern w:val="0"/>
          <w:sz w:val="32"/>
          <w:szCs w:val="32"/>
          <w:highlight w:val="none"/>
          <w:lang w:val="en-US" w:eastAsia="zh-CN"/>
        </w:rPr>
        <w:t>156</w:t>
      </w:r>
      <w:r>
        <w:rPr>
          <w:rFonts w:hint="default" w:ascii="Times New Roman" w:hAnsi="Times New Roman" w:eastAsia="仿宋_GB2312" w:cs="Times New Roman"/>
          <w:kern w:val="0"/>
          <w:sz w:val="32"/>
          <w:szCs w:val="32"/>
          <w:highlight w:val="none"/>
        </w:rPr>
        <w:t>万元，比上年</w:t>
      </w:r>
      <w:r>
        <w:rPr>
          <w:rFonts w:hint="default" w:ascii="Times New Roman" w:hAnsi="Times New Roman" w:eastAsia="仿宋_GB2312" w:cs="Times New Roman"/>
          <w:kern w:val="0"/>
          <w:sz w:val="32"/>
          <w:szCs w:val="32"/>
          <w:highlight w:val="none"/>
          <w:lang w:val="en-US" w:eastAsia="zh-CN"/>
        </w:rPr>
        <w:t>决算</w:t>
      </w:r>
      <w:r>
        <w:rPr>
          <w:rFonts w:hint="default" w:ascii="Times New Roman" w:hAnsi="Times New Roman" w:eastAsia="仿宋_GB2312" w:cs="Times New Roman"/>
          <w:kern w:val="0"/>
          <w:sz w:val="32"/>
          <w:szCs w:val="32"/>
          <w:highlight w:val="none"/>
        </w:rPr>
        <w:t>减少</w:t>
      </w:r>
      <w:r>
        <w:rPr>
          <w:rFonts w:hint="default" w:ascii="Times New Roman" w:hAnsi="Times New Roman" w:eastAsia="仿宋_GB2312" w:cs="Times New Roman"/>
          <w:kern w:val="0"/>
          <w:sz w:val="32"/>
          <w:szCs w:val="32"/>
          <w:highlight w:val="none"/>
          <w:lang w:val="en-US" w:eastAsia="zh-CN"/>
        </w:rPr>
        <w:t>11.86</w:t>
      </w:r>
      <w:r>
        <w:rPr>
          <w:rFonts w:hint="default" w:ascii="Times New Roman" w:hAnsi="Times New Roman" w:eastAsia="仿宋_GB2312" w:cs="Times New Roman"/>
          <w:kern w:val="0"/>
          <w:sz w:val="32"/>
          <w:szCs w:val="32"/>
          <w:highlight w:val="none"/>
        </w:rPr>
        <w:t>万元，下降</w:t>
      </w:r>
      <w:r>
        <w:rPr>
          <w:rFonts w:hint="default" w:ascii="Times New Roman" w:hAnsi="Times New Roman" w:eastAsia="仿宋_GB2312" w:cs="Times New Roman"/>
          <w:kern w:val="0"/>
          <w:sz w:val="32"/>
          <w:szCs w:val="32"/>
          <w:highlight w:val="none"/>
          <w:lang w:val="en-US" w:eastAsia="zh-CN"/>
        </w:rPr>
        <w:t>7.</w:t>
      </w:r>
      <w:r>
        <w:rPr>
          <w:rFonts w:hint="eastAsia" w:eastAsia="仿宋_GB2312" w:cs="Times New Roman"/>
          <w:kern w:val="0"/>
          <w:sz w:val="32"/>
          <w:szCs w:val="32"/>
          <w:highlight w:val="none"/>
          <w:lang w:val="en-US" w:eastAsia="zh-CN"/>
        </w:rPr>
        <w:t>07</w:t>
      </w:r>
      <w:r>
        <w:rPr>
          <w:rFonts w:hint="default" w:ascii="Times New Roman" w:hAnsi="Times New Roman" w:eastAsia="仿宋_GB2312" w:cs="Times New Roman"/>
          <w:kern w:val="0"/>
          <w:sz w:val="32"/>
          <w:szCs w:val="32"/>
          <w:highlight w:val="none"/>
        </w:rPr>
        <w:t>%，主要原因是：</w:t>
      </w:r>
      <w:r>
        <w:rPr>
          <w:rFonts w:hint="default" w:ascii="Times New Roman" w:hAnsi="Times New Roman" w:eastAsia="仿宋_GB2312" w:cs="Times New Roman"/>
          <w:kern w:val="0"/>
          <w:sz w:val="32"/>
          <w:szCs w:val="32"/>
          <w:highlight w:val="none"/>
          <w:lang w:val="en-US" w:eastAsia="zh-CN"/>
        </w:rPr>
        <w:t>2022年</w:t>
      </w:r>
      <w:r>
        <w:rPr>
          <w:rFonts w:hint="default" w:ascii="Times New Roman" w:hAnsi="Times New Roman" w:eastAsia="仿宋_GB2312" w:cs="Times New Roman"/>
          <w:kern w:val="0"/>
          <w:sz w:val="32"/>
          <w:szCs w:val="32"/>
          <w:highlight w:val="none"/>
          <w:lang w:eastAsia="zh-CN"/>
        </w:rPr>
        <w:t>机关事业单位基本养老保险缴费支出</w:t>
      </w:r>
      <w:r>
        <w:rPr>
          <w:rFonts w:hint="default" w:ascii="Times New Roman" w:hAnsi="Times New Roman" w:eastAsia="仿宋_GB2312" w:cs="Times New Roman"/>
          <w:kern w:val="0"/>
          <w:sz w:val="32"/>
          <w:szCs w:val="32"/>
          <w:highlight w:val="none"/>
          <w:lang w:val="en-US" w:eastAsia="zh-CN"/>
        </w:rPr>
        <w:t>预算安排减少</w:t>
      </w:r>
      <w:r>
        <w:rPr>
          <w:rFonts w:hint="default" w:ascii="Times New Roman" w:hAnsi="Times New Roman" w:eastAsia="仿宋_GB2312" w:cs="Times New Roman"/>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FF0000"/>
          <w:kern w:val="0"/>
          <w:sz w:val="32"/>
          <w:szCs w:val="32"/>
          <w:highlight w:val="none"/>
          <w:lang w:val="en-US" w:eastAsia="zh-CN"/>
        </w:rPr>
      </w:pPr>
      <w:r>
        <w:rPr>
          <w:rFonts w:hint="default" w:ascii="Times New Roman" w:hAnsi="Times New Roman" w:eastAsia="仿宋_GB2312" w:cs="Times New Roman"/>
          <w:color w:val="FF0000"/>
          <w:kern w:val="0"/>
          <w:sz w:val="32"/>
          <w:szCs w:val="32"/>
          <w:highlight w:val="none"/>
          <w:lang w:val="en-US" w:eastAsia="zh-CN"/>
        </w:rPr>
        <w:t>1</w:t>
      </w:r>
      <w:r>
        <w:rPr>
          <w:rFonts w:hint="eastAsia" w:eastAsia="仿宋_GB2312" w:cs="Times New Roman"/>
          <w:color w:val="FF0000"/>
          <w:kern w:val="0"/>
          <w:sz w:val="32"/>
          <w:szCs w:val="32"/>
          <w:highlight w:val="none"/>
          <w:lang w:val="en-US" w:eastAsia="zh-CN"/>
        </w:rPr>
        <w:t>5</w:t>
      </w:r>
      <w:r>
        <w:rPr>
          <w:rFonts w:hint="default" w:ascii="Times New Roman" w:hAnsi="Times New Roman" w:eastAsia="仿宋_GB2312" w:cs="Times New Roman"/>
          <w:color w:val="FF0000"/>
          <w:kern w:val="0"/>
          <w:sz w:val="32"/>
          <w:szCs w:val="32"/>
          <w:highlight w:val="none"/>
          <w:lang w:val="en-US" w:eastAsia="zh-CN"/>
        </w:rPr>
        <w:t>.社会保障和就业支出（类）就业补助（款）社会保险补贴（项）:支出决算数为0万元，比上年决算减少92.11万元，下降100%，主要原因是：2022年度全年未拨付此项经费，故经费减少。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1</w:t>
      </w:r>
      <w:r>
        <w:rPr>
          <w:rFonts w:hint="eastAsia" w:eastAsia="仿宋_GB2312" w:cs="Times New Roman"/>
          <w:kern w:val="0"/>
          <w:sz w:val="32"/>
          <w:szCs w:val="32"/>
          <w:highlight w:val="none"/>
          <w:lang w:val="en-US" w:eastAsia="zh-CN"/>
        </w:rPr>
        <w:t>6</w:t>
      </w:r>
      <w:r>
        <w:rPr>
          <w:rFonts w:hint="default"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rPr>
        <w:t>社会保障和就业支出（类）其他生活救助（款）</w:t>
      </w:r>
      <w:r>
        <w:rPr>
          <w:rFonts w:hint="default" w:ascii="Times New Roman" w:hAnsi="Times New Roman" w:eastAsia="仿宋_GB2312" w:cs="Times New Roman"/>
          <w:kern w:val="0"/>
          <w:sz w:val="32"/>
          <w:szCs w:val="32"/>
          <w:highlight w:val="none"/>
          <w:lang w:eastAsia="zh-CN"/>
        </w:rPr>
        <w:t>其他城市生活救助</w:t>
      </w:r>
      <w:r>
        <w:rPr>
          <w:rFonts w:hint="default" w:ascii="Times New Roman" w:hAnsi="Times New Roman" w:eastAsia="仿宋_GB2312" w:cs="Times New Roman"/>
          <w:kern w:val="0"/>
          <w:sz w:val="32"/>
          <w:szCs w:val="32"/>
          <w:highlight w:val="none"/>
        </w:rPr>
        <w:t>（项）</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支出决算数</w:t>
      </w:r>
      <w:r>
        <w:rPr>
          <w:rFonts w:hint="default" w:ascii="Times New Roman" w:hAnsi="Times New Roman" w:eastAsia="仿宋_GB2312" w:cs="Times New Roman"/>
          <w:kern w:val="0"/>
          <w:sz w:val="32"/>
          <w:szCs w:val="32"/>
          <w:highlight w:val="none"/>
        </w:rPr>
        <w:t>为</w:t>
      </w:r>
      <w:r>
        <w:rPr>
          <w:rFonts w:hint="default" w:ascii="Times New Roman" w:hAnsi="Times New Roman" w:eastAsia="仿宋_GB2312" w:cs="Times New Roman"/>
          <w:kern w:val="0"/>
          <w:sz w:val="32"/>
          <w:szCs w:val="32"/>
          <w:highlight w:val="none"/>
          <w:lang w:val="en-US" w:eastAsia="zh-CN"/>
        </w:rPr>
        <w:t>10.95</w:t>
      </w:r>
      <w:r>
        <w:rPr>
          <w:rFonts w:hint="default" w:ascii="Times New Roman" w:hAnsi="Times New Roman" w:eastAsia="仿宋_GB2312" w:cs="Times New Roman"/>
          <w:kern w:val="0"/>
          <w:sz w:val="32"/>
          <w:szCs w:val="32"/>
          <w:highlight w:val="none"/>
        </w:rPr>
        <w:t>万元，比上年</w:t>
      </w:r>
      <w:r>
        <w:rPr>
          <w:rFonts w:hint="default" w:ascii="Times New Roman" w:hAnsi="Times New Roman" w:eastAsia="仿宋_GB2312" w:cs="Times New Roman"/>
          <w:kern w:val="0"/>
          <w:sz w:val="32"/>
          <w:szCs w:val="32"/>
          <w:highlight w:val="none"/>
          <w:lang w:val="en-US" w:eastAsia="zh-CN"/>
        </w:rPr>
        <w:t>决算</w:t>
      </w:r>
      <w:r>
        <w:rPr>
          <w:rFonts w:hint="default" w:ascii="Times New Roman" w:hAnsi="Times New Roman" w:eastAsia="仿宋_GB2312" w:cs="Times New Roman"/>
          <w:kern w:val="0"/>
          <w:sz w:val="32"/>
          <w:szCs w:val="32"/>
          <w:highlight w:val="none"/>
        </w:rPr>
        <w:t>增加</w:t>
      </w:r>
      <w:r>
        <w:rPr>
          <w:rFonts w:hint="default" w:ascii="Times New Roman" w:hAnsi="Times New Roman" w:eastAsia="仿宋_GB2312" w:cs="Times New Roman"/>
          <w:kern w:val="0"/>
          <w:sz w:val="32"/>
          <w:szCs w:val="32"/>
          <w:highlight w:val="none"/>
          <w:lang w:val="en-US" w:eastAsia="zh-CN"/>
        </w:rPr>
        <w:t>10.95</w:t>
      </w:r>
      <w:r>
        <w:rPr>
          <w:rFonts w:hint="default" w:ascii="Times New Roman" w:hAnsi="Times New Roman" w:eastAsia="仿宋_GB2312" w:cs="Times New Roman"/>
          <w:kern w:val="0"/>
          <w:sz w:val="32"/>
          <w:szCs w:val="32"/>
          <w:highlight w:val="none"/>
        </w:rPr>
        <w:t>万元，增长</w:t>
      </w:r>
      <w:r>
        <w:rPr>
          <w:rFonts w:hint="default" w:ascii="Times New Roman" w:hAnsi="Times New Roman" w:eastAsia="仿宋_GB2312" w:cs="Times New Roman"/>
          <w:kern w:val="0"/>
          <w:sz w:val="32"/>
          <w:szCs w:val="32"/>
          <w:highlight w:val="none"/>
          <w:lang w:val="en-US" w:eastAsia="zh-CN"/>
        </w:rPr>
        <w:t>100</w:t>
      </w:r>
      <w:r>
        <w:rPr>
          <w:rFonts w:hint="default" w:ascii="Times New Roman" w:hAnsi="Times New Roman" w:eastAsia="仿宋_GB2312" w:cs="Times New Roman"/>
          <w:kern w:val="0"/>
          <w:sz w:val="32"/>
          <w:szCs w:val="32"/>
          <w:highlight w:val="none"/>
        </w:rPr>
        <w:t>%，主要原因是：</w:t>
      </w:r>
      <w:r>
        <w:rPr>
          <w:rFonts w:hint="default" w:ascii="Times New Roman" w:hAnsi="Times New Roman" w:eastAsia="仿宋_GB2312" w:cs="Times New Roman"/>
          <w:kern w:val="0"/>
          <w:sz w:val="32"/>
          <w:szCs w:val="32"/>
          <w:highlight w:val="none"/>
          <w:lang w:val="en-US" w:eastAsia="zh-CN"/>
        </w:rPr>
        <w:t>2022年新增受防控工作影响未参加失业保险灵活就业困难人员救助款项10.95万元</w:t>
      </w:r>
      <w:r>
        <w:rPr>
          <w:rFonts w:hint="default" w:ascii="Times New Roman" w:hAnsi="Times New Roman" w:eastAsia="仿宋_GB2312" w:cs="Times New Roman"/>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1</w:t>
      </w:r>
      <w:r>
        <w:rPr>
          <w:rFonts w:hint="eastAsia" w:eastAsia="仿宋_GB2312" w:cs="Times New Roman"/>
          <w:kern w:val="0"/>
          <w:sz w:val="32"/>
          <w:szCs w:val="32"/>
          <w:highlight w:val="none"/>
          <w:lang w:val="en-US" w:eastAsia="zh-CN"/>
        </w:rPr>
        <w:t>7</w:t>
      </w:r>
      <w:r>
        <w:rPr>
          <w:rFonts w:hint="default"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rPr>
        <w:t>卫生健康支出（类）公共卫生（款）</w:t>
      </w:r>
      <w:r>
        <w:rPr>
          <w:rFonts w:hint="default" w:ascii="Times New Roman" w:hAnsi="Times New Roman" w:eastAsia="仿宋_GB2312" w:cs="Times New Roman"/>
          <w:kern w:val="0"/>
          <w:sz w:val="32"/>
          <w:szCs w:val="32"/>
          <w:highlight w:val="none"/>
          <w:lang w:eastAsia="zh-CN"/>
        </w:rPr>
        <w:t>突发公共卫生事件应急处理</w:t>
      </w:r>
      <w:r>
        <w:rPr>
          <w:rFonts w:hint="default" w:ascii="Times New Roman" w:hAnsi="Times New Roman" w:eastAsia="仿宋_GB2312" w:cs="Times New Roman"/>
          <w:kern w:val="0"/>
          <w:sz w:val="32"/>
          <w:szCs w:val="32"/>
          <w:highlight w:val="none"/>
        </w:rPr>
        <w:t>（项）</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支出决算数</w:t>
      </w:r>
      <w:r>
        <w:rPr>
          <w:rFonts w:hint="default" w:ascii="Times New Roman" w:hAnsi="Times New Roman" w:eastAsia="仿宋_GB2312" w:cs="Times New Roman"/>
          <w:kern w:val="0"/>
          <w:sz w:val="32"/>
          <w:szCs w:val="32"/>
          <w:highlight w:val="none"/>
        </w:rPr>
        <w:t>为</w:t>
      </w:r>
      <w:r>
        <w:rPr>
          <w:rFonts w:hint="default" w:ascii="Times New Roman" w:hAnsi="Times New Roman" w:eastAsia="仿宋_GB2312" w:cs="Times New Roman"/>
          <w:kern w:val="0"/>
          <w:sz w:val="32"/>
          <w:szCs w:val="32"/>
          <w:highlight w:val="none"/>
          <w:lang w:val="en-US" w:eastAsia="zh-CN"/>
        </w:rPr>
        <w:t>71.94</w:t>
      </w:r>
      <w:r>
        <w:rPr>
          <w:rFonts w:hint="default" w:ascii="Times New Roman" w:hAnsi="Times New Roman" w:eastAsia="仿宋_GB2312" w:cs="Times New Roman"/>
          <w:kern w:val="0"/>
          <w:sz w:val="32"/>
          <w:szCs w:val="32"/>
          <w:highlight w:val="none"/>
        </w:rPr>
        <w:t>万元，比上年</w:t>
      </w:r>
      <w:r>
        <w:rPr>
          <w:rFonts w:hint="default" w:ascii="Times New Roman" w:hAnsi="Times New Roman" w:eastAsia="仿宋_GB2312" w:cs="Times New Roman"/>
          <w:kern w:val="0"/>
          <w:sz w:val="32"/>
          <w:szCs w:val="32"/>
          <w:highlight w:val="none"/>
          <w:lang w:val="en-US" w:eastAsia="zh-CN"/>
        </w:rPr>
        <w:t>决算</w:t>
      </w:r>
      <w:r>
        <w:rPr>
          <w:rFonts w:hint="default" w:ascii="Times New Roman" w:hAnsi="Times New Roman" w:eastAsia="仿宋_GB2312" w:cs="Times New Roman"/>
          <w:kern w:val="0"/>
          <w:sz w:val="32"/>
          <w:szCs w:val="32"/>
          <w:highlight w:val="none"/>
        </w:rPr>
        <w:t>增加</w:t>
      </w:r>
      <w:r>
        <w:rPr>
          <w:rFonts w:hint="default" w:ascii="Times New Roman" w:hAnsi="Times New Roman" w:eastAsia="仿宋_GB2312" w:cs="Times New Roman"/>
          <w:kern w:val="0"/>
          <w:sz w:val="32"/>
          <w:szCs w:val="32"/>
          <w:highlight w:val="none"/>
          <w:lang w:val="en-US" w:eastAsia="zh-CN"/>
        </w:rPr>
        <w:t>71.94</w:t>
      </w:r>
      <w:r>
        <w:rPr>
          <w:rFonts w:hint="default" w:ascii="Times New Roman" w:hAnsi="Times New Roman" w:eastAsia="仿宋_GB2312" w:cs="Times New Roman"/>
          <w:kern w:val="0"/>
          <w:sz w:val="32"/>
          <w:szCs w:val="32"/>
          <w:highlight w:val="none"/>
        </w:rPr>
        <w:t>万元，增长</w:t>
      </w:r>
      <w:r>
        <w:rPr>
          <w:rFonts w:hint="default" w:ascii="Times New Roman" w:hAnsi="Times New Roman" w:eastAsia="仿宋_GB2312" w:cs="Times New Roman"/>
          <w:kern w:val="0"/>
          <w:sz w:val="32"/>
          <w:szCs w:val="32"/>
          <w:highlight w:val="none"/>
          <w:lang w:val="en-US" w:eastAsia="zh-CN"/>
        </w:rPr>
        <w:t>100</w:t>
      </w:r>
      <w:r>
        <w:rPr>
          <w:rFonts w:hint="default" w:ascii="Times New Roman" w:hAnsi="Times New Roman" w:eastAsia="仿宋_GB2312" w:cs="Times New Roman"/>
          <w:kern w:val="0"/>
          <w:sz w:val="32"/>
          <w:szCs w:val="32"/>
          <w:highlight w:val="none"/>
        </w:rPr>
        <w:t>%，主要原因是：</w:t>
      </w:r>
      <w:r>
        <w:rPr>
          <w:rFonts w:hint="default" w:ascii="Times New Roman" w:hAnsi="Times New Roman" w:eastAsia="仿宋_GB2312" w:cs="Times New Roman"/>
          <w:kern w:val="0"/>
          <w:sz w:val="32"/>
          <w:szCs w:val="32"/>
          <w:highlight w:val="none"/>
          <w:lang w:val="en-US" w:eastAsia="zh-CN"/>
        </w:rPr>
        <w:t>2022年新增</w:t>
      </w:r>
      <w:r>
        <w:rPr>
          <w:rFonts w:hint="default" w:ascii="Times New Roman" w:hAnsi="Times New Roman" w:eastAsia="仿宋_GB2312" w:cs="Times New Roman"/>
          <w:kern w:val="0"/>
          <w:sz w:val="32"/>
          <w:szCs w:val="32"/>
          <w:highlight w:val="none"/>
        </w:rPr>
        <w:t>防控补助经费</w:t>
      </w:r>
      <w:r>
        <w:rPr>
          <w:rFonts w:hint="default" w:ascii="Times New Roman" w:hAnsi="Times New Roman" w:eastAsia="仿宋_GB2312" w:cs="Times New Roman"/>
          <w:kern w:val="0"/>
          <w:sz w:val="32"/>
          <w:szCs w:val="32"/>
          <w:highlight w:val="none"/>
          <w:lang w:val="en-US" w:eastAsia="zh-CN"/>
        </w:rPr>
        <w:t>71.94万元</w:t>
      </w:r>
      <w:r>
        <w:rPr>
          <w:rFonts w:hint="default" w:ascii="Times New Roman" w:hAnsi="Times New Roman" w:eastAsia="仿宋_GB2312" w:cs="Times New Roman"/>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color w:val="FF0000"/>
          <w:kern w:val="0"/>
          <w:sz w:val="32"/>
          <w:szCs w:val="32"/>
          <w:highlight w:val="none"/>
          <w:lang w:val="en-US" w:eastAsia="zh-CN"/>
        </w:rPr>
        <w:t>1</w:t>
      </w:r>
      <w:r>
        <w:rPr>
          <w:rFonts w:hint="eastAsia" w:eastAsia="仿宋_GB2312" w:cs="Times New Roman"/>
          <w:color w:val="FF0000"/>
          <w:kern w:val="0"/>
          <w:sz w:val="32"/>
          <w:szCs w:val="32"/>
          <w:highlight w:val="none"/>
          <w:lang w:val="en-US" w:eastAsia="zh-CN"/>
        </w:rPr>
        <w:t>8</w:t>
      </w:r>
      <w:r>
        <w:rPr>
          <w:rFonts w:hint="default" w:ascii="Times New Roman" w:hAnsi="Times New Roman" w:eastAsia="仿宋_GB2312" w:cs="Times New Roman"/>
          <w:color w:val="FF0000"/>
          <w:kern w:val="0"/>
          <w:sz w:val="32"/>
          <w:szCs w:val="32"/>
          <w:highlight w:val="none"/>
          <w:lang w:val="en-US" w:eastAsia="zh-CN"/>
        </w:rPr>
        <w:t>.卫生健康支出（类）卫生健康管理事务（款）行政运行（项）支出:支出决算数为0元，比上年决算减少15.42万元，下降100%，主要原因是：2022年度全年未拨付此项经费，故经费减少。</w:t>
      </w:r>
      <w:r>
        <w:rPr>
          <w:rFonts w:hint="default" w:ascii="Times New Roman" w:hAnsi="Times New Roman" w:eastAsia="仿宋_GB2312" w:cs="Times New Roman"/>
          <w:color w:val="FF0000"/>
          <w:kern w:val="0"/>
          <w:sz w:val="32"/>
          <w:szCs w:val="32"/>
          <w:highlight w:val="none"/>
          <w:lang w:val="en-US" w:eastAsia="zh-CN"/>
        </w:rPr>
        <w:br w:type="textWrapping"/>
      </w:r>
      <w:r>
        <w:rPr>
          <w:rFonts w:hint="eastAsia" w:eastAsia="仿宋_GB2312" w:cs="Times New Roman"/>
          <w:color w:val="FF0000"/>
          <w:kern w:val="0"/>
          <w:sz w:val="32"/>
          <w:szCs w:val="32"/>
          <w:highlight w:val="none"/>
          <w:lang w:val="en-US" w:eastAsia="zh-CN"/>
        </w:rPr>
        <w:t xml:space="preserve">    </w:t>
      </w:r>
      <w:r>
        <w:rPr>
          <w:rFonts w:hint="default" w:ascii="Times New Roman" w:hAnsi="Times New Roman" w:eastAsia="仿宋_GB2312" w:cs="Times New Roman"/>
          <w:color w:val="FF0000"/>
          <w:kern w:val="0"/>
          <w:sz w:val="32"/>
          <w:szCs w:val="32"/>
          <w:highlight w:val="none"/>
          <w:lang w:val="en-US" w:eastAsia="zh-CN"/>
        </w:rPr>
        <w:t>1</w:t>
      </w:r>
      <w:r>
        <w:rPr>
          <w:rFonts w:hint="eastAsia" w:eastAsia="仿宋_GB2312" w:cs="Times New Roman"/>
          <w:color w:val="FF0000"/>
          <w:kern w:val="0"/>
          <w:sz w:val="32"/>
          <w:szCs w:val="32"/>
          <w:highlight w:val="none"/>
          <w:lang w:val="en-US" w:eastAsia="zh-CN"/>
        </w:rPr>
        <w:t>9</w:t>
      </w:r>
      <w:r>
        <w:rPr>
          <w:rFonts w:hint="default" w:ascii="Times New Roman" w:hAnsi="Times New Roman" w:eastAsia="仿宋_GB2312" w:cs="Times New Roman"/>
          <w:color w:val="FF0000"/>
          <w:kern w:val="0"/>
          <w:sz w:val="32"/>
          <w:szCs w:val="32"/>
          <w:highlight w:val="none"/>
          <w:lang w:val="en-US" w:eastAsia="zh-CN"/>
        </w:rPr>
        <w:t>.卫生健康支出（类）公共卫生（款）疾病预防控制机构（项）支出:支出决算数为0元，比上年决算减少2.58万元，下降100%，主要原因是：2022年度全年未拨付此项经费，故经费减少。</w:t>
      </w:r>
      <w:bookmarkStart w:id="54" w:name="_GoBack"/>
      <w:bookmarkEnd w:id="54"/>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lang w:eastAsia="zh-CN"/>
        </w:rPr>
      </w:pPr>
      <w:r>
        <w:rPr>
          <w:rFonts w:hint="eastAsia"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rPr>
        <w:t>城乡社区支出（类）城乡社区公共设施（款）</w:t>
      </w:r>
      <w:r>
        <w:rPr>
          <w:rFonts w:hint="default" w:ascii="Times New Roman" w:hAnsi="Times New Roman" w:eastAsia="仿宋_GB2312" w:cs="Times New Roman"/>
          <w:kern w:val="0"/>
          <w:sz w:val="32"/>
          <w:szCs w:val="32"/>
          <w:highlight w:val="none"/>
          <w:lang w:eastAsia="zh-CN"/>
        </w:rPr>
        <w:t>其他城乡社区公共设施支出</w:t>
      </w:r>
      <w:r>
        <w:rPr>
          <w:rFonts w:hint="default" w:ascii="Times New Roman" w:hAnsi="Times New Roman" w:eastAsia="仿宋_GB2312" w:cs="Times New Roman"/>
          <w:kern w:val="0"/>
          <w:sz w:val="32"/>
          <w:szCs w:val="32"/>
          <w:highlight w:val="none"/>
        </w:rPr>
        <w:t>（项）</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支出决算数</w:t>
      </w:r>
      <w:r>
        <w:rPr>
          <w:rFonts w:hint="default" w:ascii="Times New Roman" w:hAnsi="Times New Roman" w:eastAsia="仿宋_GB2312" w:cs="Times New Roman"/>
          <w:kern w:val="0"/>
          <w:sz w:val="32"/>
          <w:szCs w:val="32"/>
          <w:highlight w:val="none"/>
        </w:rPr>
        <w:t>为</w:t>
      </w:r>
      <w:r>
        <w:rPr>
          <w:rFonts w:hint="default" w:ascii="Times New Roman" w:hAnsi="Times New Roman" w:eastAsia="仿宋_GB2312" w:cs="Times New Roman"/>
          <w:kern w:val="0"/>
          <w:sz w:val="32"/>
          <w:szCs w:val="32"/>
          <w:highlight w:val="none"/>
          <w:lang w:val="en-US" w:eastAsia="zh-CN"/>
        </w:rPr>
        <w:t>25.9</w:t>
      </w:r>
      <w:r>
        <w:rPr>
          <w:rFonts w:hint="default" w:ascii="Times New Roman" w:hAnsi="Times New Roman" w:eastAsia="仿宋_GB2312" w:cs="Times New Roman"/>
          <w:kern w:val="0"/>
          <w:sz w:val="32"/>
          <w:szCs w:val="32"/>
          <w:highlight w:val="none"/>
        </w:rPr>
        <w:t>万元，比上年</w:t>
      </w:r>
      <w:r>
        <w:rPr>
          <w:rFonts w:hint="default" w:ascii="Times New Roman" w:hAnsi="Times New Roman" w:eastAsia="仿宋_GB2312" w:cs="Times New Roman"/>
          <w:kern w:val="0"/>
          <w:sz w:val="32"/>
          <w:szCs w:val="32"/>
          <w:highlight w:val="none"/>
          <w:lang w:val="en-US" w:eastAsia="zh-CN"/>
        </w:rPr>
        <w:t>决</w:t>
      </w:r>
      <w:r>
        <w:rPr>
          <w:rFonts w:hint="default" w:ascii="Times New Roman" w:hAnsi="Times New Roman" w:eastAsia="仿宋_GB2312" w:cs="Times New Roman"/>
          <w:kern w:val="0"/>
          <w:sz w:val="32"/>
          <w:szCs w:val="32"/>
          <w:highlight w:val="none"/>
        </w:rPr>
        <w:t>减少</w:t>
      </w:r>
      <w:r>
        <w:rPr>
          <w:rFonts w:hint="default" w:ascii="Times New Roman" w:hAnsi="Times New Roman" w:eastAsia="仿宋_GB2312" w:cs="Times New Roman"/>
          <w:kern w:val="0"/>
          <w:sz w:val="32"/>
          <w:szCs w:val="32"/>
          <w:highlight w:val="none"/>
          <w:lang w:val="en-US" w:eastAsia="zh-CN"/>
        </w:rPr>
        <w:t>805.59</w:t>
      </w:r>
      <w:r>
        <w:rPr>
          <w:rFonts w:hint="default" w:ascii="Times New Roman" w:hAnsi="Times New Roman" w:eastAsia="仿宋_GB2312" w:cs="Times New Roman"/>
          <w:kern w:val="0"/>
          <w:sz w:val="32"/>
          <w:szCs w:val="32"/>
          <w:highlight w:val="none"/>
        </w:rPr>
        <w:t>万元，下降</w:t>
      </w:r>
      <w:r>
        <w:rPr>
          <w:rFonts w:hint="eastAsia" w:eastAsia="仿宋_GB2312" w:cs="Times New Roman"/>
          <w:kern w:val="0"/>
          <w:sz w:val="32"/>
          <w:szCs w:val="32"/>
          <w:highlight w:val="none"/>
          <w:lang w:val="en-US" w:eastAsia="zh-CN"/>
        </w:rPr>
        <w:t>96.88</w:t>
      </w:r>
      <w:r>
        <w:rPr>
          <w:rFonts w:hint="default" w:ascii="Times New Roman" w:hAnsi="Times New Roman" w:eastAsia="仿宋_GB2312" w:cs="Times New Roman"/>
          <w:kern w:val="0"/>
          <w:sz w:val="32"/>
          <w:szCs w:val="32"/>
          <w:highlight w:val="none"/>
        </w:rPr>
        <w:t>%，主要原因是：</w:t>
      </w:r>
      <w:r>
        <w:rPr>
          <w:rFonts w:hint="default" w:ascii="Times New Roman" w:hAnsi="Times New Roman" w:eastAsia="仿宋_GB2312" w:cs="Times New Roman"/>
          <w:kern w:val="0"/>
          <w:sz w:val="32"/>
          <w:szCs w:val="24"/>
          <w:highlight w:val="none"/>
          <w:lang w:val="en-US" w:eastAsia="zh-CN"/>
        </w:rPr>
        <w:t>2022年临时聘用人员经费支出减少</w:t>
      </w:r>
      <w:r>
        <w:rPr>
          <w:rFonts w:hint="default" w:ascii="Times New Roman" w:hAnsi="Times New Roman" w:eastAsia="仿宋_GB2312" w:cs="Times New Roman"/>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FF0000"/>
          <w:kern w:val="0"/>
          <w:sz w:val="32"/>
          <w:szCs w:val="32"/>
          <w:highlight w:val="none"/>
          <w:lang w:val="en-US" w:eastAsia="zh-CN"/>
        </w:rPr>
      </w:pPr>
      <w:r>
        <w:rPr>
          <w:rFonts w:hint="default" w:ascii="Times New Roman" w:hAnsi="Times New Roman" w:eastAsia="仿宋_GB2312" w:cs="Times New Roman"/>
          <w:color w:val="FF0000"/>
          <w:kern w:val="0"/>
          <w:sz w:val="32"/>
          <w:szCs w:val="32"/>
          <w:highlight w:val="none"/>
          <w:lang w:val="en-US" w:eastAsia="zh-CN"/>
        </w:rPr>
        <w:t>21.城乡社区支出（类）城乡社区环境卫生（款）城乡社区环境卫生（项）:支出决算数为0万元，比上年决算减少125.46万元，减少100%，主要原因是：2022年度全年未拨付此项经费，故经费减少。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FF0000"/>
          <w:kern w:val="0"/>
          <w:sz w:val="32"/>
          <w:szCs w:val="32"/>
          <w:highlight w:val="none"/>
          <w:lang w:eastAsia="zh-CN"/>
        </w:rPr>
      </w:pPr>
      <w:r>
        <w:rPr>
          <w:rFonts w:hint="eastAsia" w:eastAsia="仿宋_GB2312" w:cs="Times New Roman"/>
          <w:kern w:val="0"/>
          <w:sz w:val="32"/>
          <w:szCs w:val="32"/>
          <w:highlight w:val="none"/>
          <w:lang w:val="en-US" w:eastAsia="zh-CN"/>
        </w:rPr>
        <w:t>22</w:t>
      </w:r>
      <w:r>
        <w:rPr>
          <w:rFonts w:hint="default"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rPr>
        <w:t>城乡社区支出（类）其他城乡社区支出（款）</w:t>
      </w:r>
      <w:r>
        <w:rPr>
          <w:rFonts w:hint="default" w:ascii="Times New Roman" w:hAnsi="Times New Roman" w:eastAsia="仿宋_GB2312" w:cs="Times New Roman"/>
          <w:kern w:val="0"/>
          <w:sz w:val="32"/>
          <w:szCs w:val="32"/>
          <w:highlight w:val="none"/>
          <w:lang w:eastAsia="zh-CN"/>
        </w:rPr>
        <w:t>其他城乡社区支出</w:t>
      </w:r>
      <w:r>
        <w:rPr>
          <w:rFonts w:hint="default" w:ascii="Times New Roman" w:hAnsi="Times New Roman" w:eastAsia="仿宋_GB2312" w:cs="Times New Roman"/>
          <w:kern w:val="0"/>
          <w:sz w:val="32"/>
          <w:szCs w:val="32"/>
          <w:highlight w:val="none"/>
        </w:rPr>
        <w:t>（项）</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支出决算数</w:t>
      </w:r>
      <w:r>
        <w:rPr>
          <w:rFonts w:hint="default" w:ascii="Times New Roman" w:hAnsi="Times New Roman" w:eastAsia="仿宋_GB2312" w:cs="Times New Roman"/>
          <w:kern w:val="0"/>
          <w:sz w:val="32"/>
          <w:szCs w:val="32"/>
          <w:highlight w:val="none"/>
        </w:rPr>
        <w:t>为</w:t>
      </w:r>
      <w:r>
        <w:rPr>
          <w:rFonts w:hint="default" w:ascii="Times New Roman" w:hAnsi="Times New Roman" w:eastAsia="仿宋_GB2312" w:cs="Times New Roman"/>
          <w:kern w:val="0"/>
          <w:sz w:val="32"/>
          <w:szCs w:val="32"/>
          <w:highlight w:val="none"/>
          <w:lang w:val="en-US" w:eastAsia="zh-CN"/>
        </w:rPr>
        <w:t>36.36</w:t>
      </w:r>
      <w:r>
        <w:rPr>
          <w:rFonts w:hint="default" w:ascii="Times New Roman" w:hAnsi="Times New Roman" w:eastAsia="仿宋_GB2312" w:cs="Times New Roman"/>
          <w:kern w:val="0"/>
          <w:sz w:val="32"/>
          <w:szCs w:val="32"/>
          <w:highlight w:val="none"/>
        </w:rPr>
        <w:t>万元，比上年</w:t>
      </w:r>
      <w:r>
        <w:rPr>
          <w:rFonts w:hint="default" w:ascii="Times New Roman" w:hAnsi="Times New Roman" w:eastAsia="仿宋_GB2312" w:cs="Times New Roman"/>
          <w:kern w:val="0"/>
          <w:sz w:val="32"/>
          <w:szCs w:val="32"/>
          <w:highlight w:val="none"/>
          <w:lang w:val="en-US" w:eastAsia="zh-CN"/>
        </w:rPr>
        <w:t>决算</w:t>
      </w:r>
      <w:r>
        <w:rPr>
          <w:rFonts w:hint="default" w:ascii="Times New Roman" w:hAnsi="Times New Roman" w:eastAsia="仿宋_GB2312" w:cs="Times New Roman"/>
          <w:kern w:val="0"/>
          <w:sz w:val="32"/>
          <w:szCs w:val="32"/>
          <w:highlight w:val="none"/>
        </w:rPr>
        <w:t>减少</w:t>
      </w:r>
      <w:r>
        <w:rPr>
          <w:rFonts w:hint="default" w:ascii="Times New Roman" w:hAnsi="Times New Roman" w:eastAsia="仿宋_GB2312" w:cs="Times New Roman"/>
          <w:kern w:val="0"/>
          <w:sz w:val="32"/>
          <w:szCs w:val="32"/>
          <w:highlight w:val="none"/>
          <w:lang w:val="en-US" w:eastAsia="zh-CN"/>
        </w:rPr>
        <w:t>266.99</w:t>
      </w:r>
      <w:r>
        <w:rPr>
          <w:rFonts w:hint="default" w:ascii="Times New Roman" w:hAnsi="Times New Roman" w:eastAsia="仿宋_GB2312" w:cs="Times New Roman"/>
          <w:kern w:val="0"/>
          <w:sz w:val="32"/>
          <w:szCs w:val="32"/>
          <w:highlight w:val="none"/>
        </w:rPr>
        <w:t>万元，下降</w:t>
      </w:r>
      <w:r>
        <w:rPr>
          <w:rFonts w:hint="eastAsia" w:eastAsia="仿宋_GB2312" w:cs="Times New Roman"/>
          <w:kern w:val="0"/>
          <w:sz w:val="32"/>
          <w:szCs w:val="32"/>
          <w:highlight w:val="none"/>
          <w:lang w:val="en-US" w:eastAsia="zh-CN"/>
        </w:rPr>
        <w:t>88.01</w:t>
      </w:r>
      <w:r>
        <w:rPr>
          <w:rFonts w:hint="default" w:ascii="Times New Roman" w:hAnsi="Times New Roman" w:eastAsia="仿宋_GB2312" w:cs="Times New Roman"/>
          <w:kern w:val="0"/>
          <w:sz w:val="32"/>
          <w:szCs w:val="32"/>
          <w:highlight w:val="none"/>
        </w:rPr>
        <w:t>%，主要原因是：</w:t>
      </w:r>
      <w:r>
        <w:rPr>
          <w:rFonts w:hint="default" w:ascii="Times New Roman" w:hAnsi="Times New Roman" w:eastAsia="仿宋_GB2312" w:cs="Times New Roman"/>
          <w:kern w:val="0"/>
          <w:sz w:val="32"/>
          <w:szCs w:val="24"/>
          <w:highlight w:val="none"/>
          <w:lang w:val="en-US" w:eastAsia="zh-CN"/>
        </w:rPr>
        <w:t>保洁人员新增生活补贴市级经费支出减少</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kern w:val="0"/>
          <w:sz w:val="32"/>
          <w:szCs w:val="32"/>
          <w:highlight w:val="none"/>
          <w:lang w:eastAsia="zh-CN"/>
        </w:rPr>
      </w:pPr>
      <w:bookmarkStart w:id="18" w:name="_Toc30870"/>
      <w:bookmarkStart w:id="19" w:name="_Toc11146"/>
      <w:r>
        <w:rPr>
          <w:rFonts w:hint="default" w:ascii="Times New Roman" w:hAnsi="Times New Roman" w:eastAsia="黑体" w:cs="Times New Roman"/>
          <w:bCs/>
          <w:kern w:val="0"/>
          <w:sz w:val="32"/>
          <w:szCs w:val="32"/>
          <w:highlight w:val="none"/>
          <w:lang w:eastAsia="zh-CN"/>
        </w:rPr>
        <w:t>六、一般公共预算财政拨款基本支出决算情况说明</w:t>
      </w:r>
      <w:bookmarkEnd w:id="18"/>
      <w:bookmarkEnd w:id="19"/>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pacing w:val="0"/>
          <w:sz w:val="32"/>
          <w:szCs w:val="32"/>
          <w:highlight w:val="none"/>
          <w:lang w:val="en-US" w:eastAsia="zh-CN"/>
        </w:rPr>
        <w:t>2022</w:t>
      </w:r>
      <w:r>
        <w:rPr>
          <w:rFonts w:hint="default" w:ascii="Times New Roman" w:hAnsi="Times New Roman" w:eastAsia="仿宋_GB2312" w:cs="Times New Roman"/>
          <w:spacing w:val="0"/>
          <w:sz w:val="32"/>
          <w:szCs w:val="32"/>
          <w:highlight w:val="none"/>
          <w:lang w:eastAsia="zh-CN"/>
        </w:rPr>
        <w:t>年度</w:t>
      </w:r>
      <w:r>
        <w:rPr>
          <w:rFonts w:hint="default" w:ascii="Times New Roman" w:hAnsi="Times New Roman" w:eastAsia="仿宋_GB2312" w:cs="Times New Roman"/>
          <w:sz w:val="32"/>
          <w:szCs w:val="32"/>
          <w:highlight w:val="none"/>
        </w:rPr>
        <w:t>一般公共预算财政拨款基本支出</w:t>
      </w:r>
      <w:r>
        <w:rPr>
          <w:rFonts w:hint="default" w:ascii="Times New Roman" w:hAnsi="Times New Roman" w:eastAsia="仿宋_GB2312" w:cs="Times New Roman"/>
          <w:sz w:val="32"/>
          <w:szCs w:val="32"/>
          <w:highlight w:val="none"/>
          <w:lang w:val="en-US" w:eastAsia="zh-CN"/>
        </w:rPr>
        <w:t>2520.48</w:t>
      </w:r>
      <w:r>
        <w:rPr>
          <w:rFonts w:hint="default" w:ascii="Times New Roman" w:hAnsi="Times New Roman" w:eastAsia="仿宋_GB2312" w:cs="Times New Roman"/>
          <w:sz w:val="32"/>
          <w:szCs w:val="32"/>
          <w:highlight w:val="none"/>
        </w:rPr>
        <w:t>万元，其中：</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人员经费</w:t>
      </w:r>
      <w:r>
        <w:rPr>
          <w:rFonts w:hint="default" w:ascii="Times New Roman" w:hAnsi="Times New Roman" w:eastAsia="仿宋_GB2312" w:cs="Times New Roman"/>
          <w:sz w:val="32"/>
          <w:szCs w:val="32"/>
          <w:highlight w:val="none"/>
          <w:lang w:val="en-US" w:eastAsia="zh-CN"/>
        </w:rPr>
        <w:t>2432.46</w:t>
      </w:r>
      <w:r>
        <w:rPr>
          <w:rFonts w:hint="default" w:ascii="Times New Roman" w:hAnsi="Times New Roman" w:eastAsia="仿宋_GB2312" w:cs="Times New Roman"/>
          <w:sz w:val="32"/>
          <w:szCs w:val="32"/>
          <w:highlight w:val="none"/>
        </w:rPr>
        <w:t>万元，包括：基本工资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津贴补贴</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机关事业单位基本养老保险缴费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职工基本医疗保险缴费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住房公积金</w:t>
      </w:r>
      <w:r>
        <w:rPr>
          <w:rFonts w:hint="default" w:ascii="Times New Roman" w:hAnsi="Times New Roman" w:eastAsia="仿宋_GB2312" w:cs="Times New Roman"/>
          <w:sz w:val="32"/>
          <w:szCs w:val="32"/>
          <w:highlight w:val="none"/>
          <w:lang w:eastAsia="zh-CN"/>
        </w:rPr>
        <w:t>、退休费、奖励金。</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公用经费</w:t>
      </w:r>
      <w:r>
        <w:rPr>
          <w:rFonts w:hint="default" w:ascii="Times New Roman" w:hAnsi="Times New Roman" w:eastAsia="仿宋_GB2312" w:cs="Times New Roman"/>
          <w:sz w:val="32"/>
          <w:szCs w:val="32"/>
          <w:highlight w:val="none"/>
          <w:lang w:val="en-US" w:eastAsia="zh-CN"/>
        </w:rPr>
        <w:t>88.02</w:t>
      </w:r>
      <w:r>
        <w:rPr>
          <w:rFonts w:hint="default" w:ascii="Times New Roman" w:hAnsi="Times New Roman" w:eastAsia="仿宋_GB2312" w:cs="Times New Roman"/>
          <w:sz w:val="32"/>
          <w:szCs w:val="32"/>
          <w:highlight w:val="none"/>
        </w:rPr>
        <w:t>万元，包括：办公费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手续费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水费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电费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邮电费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取暖费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工会经费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公务用车运行维护费</w:t>
      </w:r>
      <w:r>
        <w:rPr>
          <w:rFonts w:hint="default" w:ascii="Times New Roman" w:hAnsi="Times New Roman" w:eastAsia="仿宋_GB2312" w:cs="Times New Roman"/>
          <w:sz w:val="32"/>
          <w:szCs w:val="32"/>
          <w:highlight w:val="none"/>
          <w:lang w:eastAsia="zh-CN"/>
        </w:rPr>
        <w:t>、办公设备购置。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kern w:val="0"/>
          <w:sz w:val="32"/>
          <w:szCs w:val="32"/>
          <w:highlight w:val="none"/>
          <w:lang w:eastAsia="zh-CN"/>
        </w:rPr>
      </w:pPr>
      <w:bookmarkStart w:id="20" w:name="_Toc7190"/>
      <w:bookmarkStart w:id="21" w:name="_Toc21518"/>
      <w:r>
        <w:rPr>
          <w:rFonts w:hint="default" w:ascii="Times New Roman" w:hAnsi="Times New Roman" w:eastAsia="黑体" w:cs="Times New Roman"/>
          <w:bCs/>
          <w:kern w:val="0"/>
          <w:sz w:val="32"/>
          <w:szCs w:val="32"/>
          <w:highlight w:val="none"/>
          <w:lang w:val="en-US" w:eastAsia="zh-CN"/>
        </w:rPr>
        <w:t>七、</w:t>
      </w:r>
      <w:r>
        <w:rPr>
          <w:rFonts w:hint="default" w:ascii="Times New Roman" w:hAnsi="Times New Roman" w:eastAsia="黑体" w:cs="Times New Roman"/>
          <w:bCs/>
          <w:kern w:val="0"/>
          <w:sz w:val="32"/>
          <w:szCs w:val="32"/>
          <w:highlight w:val="none"/>
          <w:lang w:eastAsia="zh-CN"/>
        </w:rPr>
        <w:t>财政拨款</w:t>
      </w:r>
      <w:r>
        <w:rPr>
          <w:rFonts w:hint="default" w:ascii="Times New Roman" w:hAnsi="Times New Roman" w:eastAsia="黑体" w:cs="Times New Roman"/>
          <w:bCs/>
          <w:kern w:val="0"/>
          <w:sz w:val="32"/>
          <w:szCs w:val="32"/>
          <w:highlight w:val="none"/>
        </w:rPr>
        <w:t>“三公”经费支出</w:t>
      </w:r>
      <w:r>
        <w:rPr>
          <w:rFonts w:hint="default" w:ascii="Times New Roman" w:hAnsi="Times New Roman" w:eastAsia="黑体" w:cs="Times New Roman"/>
          <w:bCs/>
          <w:kern w:val="0"/>
          <w:sz w:val="32"/>
          <w:szCs w:val="32"/>
          <w:highlight w:val="none"/>
          <w:lang w:eastAsia="zh-CN"/>
        </w:rPr>
        <w:t>决算</w:t>
      </w:r>
      <w:r>
        <w:rPr>
          <w:rFonts w:hint="default" w:ascii="Times New Roman" w:hAnsi="Times New Roman" w:eastAsia="黑体" w:cs="Times New Roman"/>
          <w:bCs/>
          <w:kern w:val="0"/>
          <w:sz w:val="32"/>
          <w:szCs w:val="32"/>
          <w:highlight w:val="none"/>
        </w:rPr>
        <w:t>情况</w:t>
      </w:r>
      <w:r>
        <w:rPr>
          <w:rFonts w:hint="default" w:ascii="Times New Roman" w:hAnsi="Times New Roman" w:eastAsia="黑体" w:cs="Times New Roman"/>
          <w:bCs/>
          <w:kern w:val="0"/>
          <w:sz w:val="32"/>
          <w:szCs w:val="32"/>
          <w:highlight w:val="none"/>
          <w:lang w:eastAsia="zh-CN"/>
        </w:rPr>
        <w:t>说明</w:t>
      </w:r>
      <w:bookmarkEnd w:id="20"/>
      <w:bookmarkEnd w:id="21"/>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pacing w:val="0"/>
          <w:sz w:val="32"/>
          <w:szCs w:val="32"/>
          <w:highlight w:val="none"/>
          <w:lang w:val="en-US" w:eastAsia="zh-CN"/>
        </w:rPr>
        <w:t>2022</w:t>
      </w:r>
      <w:r>
        <w:rPr>
          <w:rFonts w:hint="default" w:ascii="Times New Roman" w:hAnsi="Times New Roman" w:eastAsia="仿宋_GB2312" w:cs="Times New Roman"/>
          <w:spacing w:val="0"/>
          <w:sz w:val="32"/>
          <w:szCs w:val="32"/>
          <w:highlight w:val="none"/>
          <w:lang w:eastAsia="zh-CN"/>
        </w:rPr>
        <w:t>年度</w:t>
      </w:r>
      <w:r>
        <w:rPr>
          <w:rFonts w:hint="default" w:ascii="Times New Roman" w:hAnsi="Times New Roman" w:eastAsia="仿宋_GB2312" w:cs="Times New Roman"/>
          <w:sz w:val="32"/>
          <w:szCs w:val="32"/>
          <w:highlight w:val="none"/>
          <w:lang w:val="en-US" w:eastAsia="zh-CN"/>
        </w:rPr>
        <w:t>财政拨款</w:t>
      </w:r>
      <w:r>
        <w:rPr>
          <w:rFonts w:hint="default" w:ascii="Times New Roman" w:hAnsi="Times New Roman" w:eastAsia="仿宋_GB2312" w:cs="Times New Roman"/>
          <w:sz w:val="32"/>
          <w:szCs w:val="32"/>
          <w:highlight w:val="none"/>
        </w:rPr>
        <w:t>“三公”经费支出决算</w:t>
      </w:r>
      <w:r>
        <w:rPr>
          <w:rFonts w:hint="default" w:ascii="Times New Roman" w:hAnsi="Times New Roman" w:eastAsia="仿宋_GB2312" w:cs="Times New Roman"/>
          <w:sz w:val="32"/>
          <w:szCs w:val="32"/>
          <w:highlight w:val="none"/>
          <w:lang w:val="en-US" w:eastAsia="zh-CN"/>
        </w:rPr>
        <w:t>6.69</w:t>
      </w:r>
      <w:r>
        <w:rPr>
          <w:rFonts w:hint="default" w:ascii="Times New Roman" w:hAnsi="Times New Roman" w:eastAsia="仿宋_GB2312" w:cs="Times New Roman"/>
          <w:sz w:val="32"/>
          <w:szCs w:val="32"/>
          <w:highlight w:val="none"/>
        </w:rPr>
        <w:t>万元，比上年增加</w:t>
      </w:r>
      <w:r>
        <w:rPr>
          <w:rFonts w:hint="default" w:ascii="Times New Roman" w:hAnsi="Times New Roman" w:eastAsia="仿宋_GB2312" w:cs="Times New Roman"/>
          <w:sz w:val="32"/>
          <w:szCs w:val="32"/>
          <w:highlight w:val="none"/>
          <w:lang w:val="en-US" w:eastAsia="zh-CN"/>
        </w:rPr>
        <w:t>2.23</w:t>
      </w:r>
      <w:r>
        <w:rPr>
          <w:rFonts w:hint="default" w:ascii="Times New Roman" w:hAnsi="Times New Roman" w:eastAsia="仿宋_GB2312" w:cs="Times New Roman"/>
          <w:sz w:val="32"/>
          <w:szCs w:val="32"/>
          <w:highlight w:val="none"/>
        </w:rPr>
        <w:t>万元，增长</w:t>
      </w:r>
      <w:r>
        <w:rPr>
          <w:rFonts w:hint="eastAsia" w:eastAsia="仿宋_GB2312" w:cs="Times New Roman"/>
          <w:sz w:val="32"/>
          <w:szCs w:val="32"/>
          <w:highlight w:val="none"/>
          <w:lang w:val="en-US" w:eastAsia="zh-CN"/>
        </w:rPr>
        <w:t>50</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主要原因是：</w:t>
      </w:r>
      <w:r>
        <w:rPr>
          <w:rFonts w:hint="default" w:ascii="Times New Roman" w:hAnsi="Times New Roman" w:eastAsia="仿宋_GB2312" w:cs="Times New Roman"/>
          <w:sz w:val="32"/>
          <w:szCs w:val="32"/>
          <w:highlight w:val="none"/>
          <w:lang w:val="en-US" w:eastAsia="zh-CN"/>
        </w:rPr>
        <w:t>2022年防控工作期间，车辆使用频繁，燃油消耗较大</w:t>
      </w:r>
      <w:r>
        <w:rPr>
          <w:rFonts w:hint="default" w:ascii="Times New Roman" w:hAnsi="Times New Roman" w:eastAsia="仿宋_GB2312" w:cs="Times New Roman"/>
          <w:sz w:val="32"/>
          <w:szCs w:val="32"/>
          <w:highlight w:val="none"/>
        </w:rPr>
        <w:t>。其中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因公出国（境）费支出</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万元，占</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%，比上年增加</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万元，增长</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主要原因是：</w:t>
      </w:r>
      <w:r>
        <w:rPr>
          <w:rFonts w:hint="default" w:ascii="Times New Roman" w:hAnsi="Times New Roman" w:eastAsia="仿宋_GB2312" w:cs="Times New Roman"/>
          <w:sz w:val="32"/>
          <w:szCs w:val="32"/>
          <w:highlight w:val="none"/>
          <w:lang w:val="en-US" w:eastAsia="zh-CN"/>
        </w:rPr>
        <w:t>本年单位无因公出国（境）费支出</w:t>
      </w:r>
      <w:r>
        <w:rPr>
          <w:rFonts w:hint="default" w:ascii="Times New Roman" w:hAnsi="Times New Roman" w:eastAsia="仿宋_GB2312" w:cs="Times New Roman"/>
          <w:sz w:val="32"/>
          <w:szCs w:val="32"/>
          <w:highlight w:val="none"/>
        </w:rPr>
        <w:t>；公务用车购置及运行维护费支出</w:t>
      </w:r>
      <w:r>
        <w:rPr>
          <w:rFonts w:hint="default" w:ascii="Times New Roman" w:hAnsi="Times New Roman" w:eastAsia="仿宋_GB2312" w:cs="Times New Roman"/>
          <w:sz w:val="32"/>
          <w:szCs w:val="32"/>
          <w:highlight w:val="none"/>
          <w:lang w:val="en-US" w:eastAsia="zh-CN"/>
        </w:rPr>
        <w:t>6.69</w:t>
      </w:r>
      <w:r>
        <w:rPr>
          <w:rFonts w:hint="default" w:ascii="Times New Roman" w:hAnsi="Times New Roman" w:eastAsia="仿宋_GB2312" w:cs="Times New Roman"/>
          <w:sz w:val="32"/>
          <w:szCs w:val="32"/>
          <w:highlight w:val="none"/>
        </w:rPr>
        <w:t>万元，占</w:t>
      </w:r>
      <w:r>
        <w:rPr>
          <w:rFonts w:hint="default"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%，比上年增加</w:t>
      </w:r>
      <w:r>
        <w:rPr>
          <w:rFonts w:hint="default" w:ascii="Times New Roman" w:hAnsi="Times New Roman" w:eastAsia="仿宋_GB2312" w:cs="Times New Roman"/>
          <w:sz w:val="32"/>
          <w:szCs w:val="32"/>
          <w:highlight w:val="none"/>
          <w:lang w:val="en-US" w:eastAsia="zh-CN"/>
        </w:rPr>
        <w:t>2.23</w:t>
      </w:r>
      <w:r>
        <w:rPr>
          <w:rFonts w:hint="default" w:ascii="Times New Roman" w:hAnsi="Times New Roman" w:eastAsia="仿宋_GB2312" w:cs="Times New Roman"/>
          <w:sz w:val="32"/>
          <w:szCs w:val="32"/>
          <w:highlight w:val="none"/>
        </w:rPr>
        <w:t>万元，增长</w:t>
      </w:r>
      <w:r>
        <w:rPr>
          <w:rFonts w:hint="eastAsia" w:eastAsia="仿宋_GB2312" w:cs="Times New Roman"/>
          <w:sz w:val="32"/>
          <w:szCs w:val="32"/>
          <w:highlight w:val="none"/>
          <w:lang w:val="en-US" w:eastAsia="zh-CN"/>
        </w:rPr>
        <w:t>50</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主要原因是：</w:t>
      </w:r>
      <w:r>
        <w:rPr>
          <w:rFonts w:hint="default" w:ascii="Times New Roman" w:hAnsi="Times New Roman" w:eastAsia="仿宋_GB2312" w:cs="Times New Roman"/>
          <w:sz w:val="32"/>
          <w:szCs w:val="32"/>
          <w:highlight w:val="none"/>
          <w:lang w:val="en-US" w:eastAsia="zh-CN"/>
        </w:rPr>
        <w:t>2022年防控工作期间，车辆使用频繁，燃油消耗较大</w:t>
      </w:r>
      <w:r>
        <w:rPr>
          <w:rFonts w:hint="default" w:ascii="Times New Roman" w:hAnsi="Times New Roman" w:eastAsia="仿宋_GB2312" w:cs="Times New Roman"/>
          <w:sz w:val="32"/>
          <w:szCs w:val="32"/>
          <w:highlight w:val="none"/>
        </w:rPr>
        <w:t>；公务接待费支出</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万元，占</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%，比上年增加</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万元，增长</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主要原因是：本年单位无公务接待费支出</w:t>
      </w:r>
      <w:r>
        <w:rPr>
          <w:rFonts w:hint="default" w:ascii="Times New Roman" w:hAnsi="Times New Roman" w:eastAsia="仿宋_GB2312" w:cs="Times New Roman"/>
          <w:sz w:val="32"/>
          <w:szCs w:val="32"/>
          <w:highlight w:val="none"/>
        </w:rPr>
        <w:t>。具体情况如下：</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因公出国（境）费支出</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kern w:val="0"/>
          <w:sz w:val="32"/>
          <w:szCs w:val="24"/>
          <w:highlight w:val="none"/>
          <w:lang w:val="en-US"/>
        </w:rPr>
        <w:t>本年单位无因公出国（境）费支出。</w:t>
      </w:r>
      <w:r>
        <w:rPr>
          <w:rFonts w:hint="default" w:ascii="Times New Roman" w:hAnsi="Times New Roman" w:eastAsia="仿宋_GB2312" w:cs="Times New Roman"/>
          <w:sz w:val="32"/>
          <w:szCs w:val="32"/>
          <w:highlight w:val="none"/>
        </w:rPr>
        <w:t>单位全年安排</w:t>
      </w:r>
      <w:r>
        <w:rPr>
          <w:rFonts w:hint="default" w:ascii="Times New Roman" w:hAnsi="Times New Roman" w:eastAsia="仿宋_GB2312" w:cs="Times New Roman"/>
          <w:sz w:val="32"/>
          <w:szCs w:val="32"/>
          <w:highlight w:val="none"/>
          <w:lang w:eastAsia="zh-CN"/>
        </w:rPr>
        <w:t>的</w:t>
      </w:r>
      <w:r>
        <w:rPr>
          <w:rFonts w:hint="default" w:ascii="Times New Roman" w:hAnsi="Times New Roman" w:eastAsia="仿宋_GB2312" w:cs="Times New Roman"/>
          <w:sz w:val="32"/>
          <w:szCs w:val="32"/>
          <w:highlight w:val="none"/>
        </w:rPr>
        <w:t>因公出国（境）团组</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个，因公出国（境）</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公务用车购置及运行维护费</w:t>
      </w:r>
      <w:r>
        <w:rPr>
          <w:rFonts w:hint="default" w:ascii="Times New Roman" w:hAnsi="Times New Roman" w:eastAsia="仿宋_GB2312" w:cs="Times New Roman"/>
          <w:sz w:val="32"/>
          <w:szCs w:val="32"/>
          <w:highlight w:val="none"/>
          <w:lang w:val="en-US" w:eastAsia="zh-CN"/>
        </w:rPr>
        <w:t>6.69</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公务用车购置费</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万元，公务用车运行维护费</w:t>
      </w:r>
      <w:r>
        <w:rPr>
          <w:rFonts w:hint="default" w:ascii="Times New Roman" w:hAnsi="Times New Roman" w:eastAsia="仿宋_GB2312" w:cs="Times New Roman"/>
          <w:sz w:val="32"/>
          <w:szCs w:val="32"/>
          <w:highlight w:val="none"/>
          <w:lang w:val="en-US" w:eastAsia="zh-CN"/>
        </w:rPr>
        <w:t>6.69</w:t>
      </w:r>
      <w:r>
        <w:rPr>
          <w:rFonts w:hint="default" w:ascii="Times New Roman" w:hAnsi="Times New Roman" w:eastAsia="仿宋_GB2312" w:cs="Times New Roman"/>
          <w:sz w:val="32"/>
          <w:szCs w:val="32"/>
          <w:highlight w:val="none"/>
        </w:rPr>
        <w:t>万元。公务用车运行维护费开支内容</w:t>
      </w:r>
      <w:r>
        <w:rPr>
          <w:rFonts w:hint="default" w:ascii="Times New Roman" w:hAnsi="Times New Roman" w:eastAsia="仿宋_GB2312" w:cs="Times New Roman"/>
          <w:kern w:val="0"/>
          <w:sz w:val="32"/>
          <w:szCs w:val="24"/>
          <w:highlight w:val="none"/>
          <w:lang w:val="en-US"/>
        </w:rPr>
        <w:t>包括公务用车燃油费</w:t>
      </w:r>
      <w:r>
        <w:rPr>
          <w:rFonts w:hint="default" w:ascii="Times New Roman" w:hAnsi="Times New Roman" w:eastAsia="仿宋_GB2312" w:cs="Times New Roman"/>
          <w:sz w:val="32"/>
          <w:szCs w:val="32"/>
          <w:highlight w:val="none"/>
        </w:rPr>
        <w:t>。公务用车购置数</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辆，公务用车保有量</w:t>
      </w:r>
      <w:r>
        <w:rPr>
          <w:rFonts w:hint="default" w:ascii="Times New Roman" w:hAnsi="Times New Roman" w:eastAsia="仿宋_GB2312" w:cs="Times New Roman"/>
          <w:sz w:val="32"/>
          <w:szCs w:val="32"/>
          <w:highlight w:val="none"/>
          <w:lang w:val="en-US" w:eastAsia="zh-CN"/>
        </w:rPr>
        <w:t>40</w:t>
      </w:r>
      <w:r>
        <w:rPr>
          <w:rFonts w:hint="default" w:ascii="Times New Roman" w:hAnsi="Times New Roman" w:eastAsia="仿宋_GB2312" w:cs="Times New Roman"/>
          <w:sz w:val="32"/>
          <w:szCs w:val="32"/>
          <w:highlight w:val="none"/>
        </w:rPr>
        <w:t>辆。</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公务接待费</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万元，本年单位无因公出国（境）费。单位全年安排的国内公务接待</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批次，</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与</w:t>
      </w:r>
      <w:r>
        <w:rPr>
          <w:rFonts w:hint="default" w:ascii="Times New Roman" w:hAnsi="Times New Roman" w:eastAsia="仿宋_GB2312" w:cs="Times New Roman"/>
          <w:sz w:val="32"/>
          <w:szCs w:val="32"/>
          <w:highlight w:val="none"/>
          <w:lang w:val="en-US" w:eastAsia="zh-CN"/>
        </w:rPr>
        <w:t>全年</w:t>
      </w:r>
      <w:r>
        <w:rPr>
          <w:rFonts w:hint="default" w:ascii="Times New Roman" w:hAnsi="Times New Roman" w:eastAsia="仿宋_GB2312" w:cs="Times New Roman"/>
          <w:sz w:val="32"/>
          <w:szCs w:val="32"/>
          <w:highlight w:val="none"/>
          <w:lang w:eastAsia="zh-CN"/>
        </w:rPr>
        <w:t>预算数</w:t>
      </w:r>
      <w:r>
        <w:rPr>
          <w:rFonts w:hint="default" w:ascii="Times New Roman" w:hAnsi="Times New Roman" w:eastAsia="仿宋_GB2312" w:cs="Times New Roman"/>
          <w:sz w:val="32"/>
          <w:szCs w:val="32"/>
          <w:highlight w:val="none"/>
        </w:rPr>
        <w:t>相比情况：“三公”经费支出</w:t>
      </w:r>
      <w:r>
        <w:rPr>
          <w:rFonts w:hint="default" w:ascii="Times New Roman" w:hAnsi="Times New Roman" w:eastAsia="仿宋_GB2312" w:cs="Times New Roman"/>
          <w:sz w:val="32"/>
          <w:szCs w:val="32"/>
          <w:highlight w:val="none"/>
          <w:lang w:val="en-US" w:eastAsia="zh-CN"/>
        </w:rPr>
        <w:t>全年</w:t>
      </w:r>
      <w:r>
        <w:rPr>
          <w:rFonts w:hint="default" w:ascii="Times New Roman" w:hAnsi="Times New Roman" w:eastAsia="仿宋_GB2312" w:cs="Times New Roman"/>
          <w:sz w:val="32"/>
          <w:szCs w:val="32"/>
          <w:highlight w:val="none"/>
          <w:lang w:eastAsia="zh-CN"/>
        </w:rPr>
        <w:t>预算数</w:t>
      </w:r>
      <w:r>
        <w:rPr>
          <w:rFonts w:hint="default" w:ascii="Times New Roman" w:hAnsi="Times New Roman" w:eastAsia="仿宋_GB2312" w:cs="Times New Roman"/>
          <w:sz w:val="32"/>
          <w:szCs w:val="32"/>
          <w:highlight w:val="none"/>
          <w:lang w:val="en-US" w:eastAsia="zh-CN"/>
        </w:rPr>
        <w:t>6.75</w:t>
      </w:r>
      <w:r>
        <w:rPr>
          <w:rFonts w:hint="default" w:ascii="Times New Roman" w:hAnsi="Times New Roman" w:eastAsia="仿宋_GB2312" w:cs="Times New Roman"/>
          <w:sz w:val="32"/>
          <w:szCs w:val="32"/>
          <w:highlight w:val="none"/>
        </w:rPr>
        <w:t>万元，决算数</w:t>
      </w:r>
      <w:r>
        <w:rPr>
          <w:rFonts w:hint="default" w:ascii="Times New Roman" w:hAnsi="Times New Roman" w:eastAsia="仿宋_GB2312" w:cs="Times New Roman"/>
          <w:sz w:val="32"/>
          <w:szCs w:val="32"/>
          <w:highlight w:val="none"/>
          <w:lang w:val="en-US" w:eastAsia="zh-CN"/>
        </w:rPr>
        <w:t>6.69</w:t>
      </w:r>
      <w:r>
        <w:rPr>
          <w:rFonts w:hint="default" w:ascii="Times New Roman" w:hAnsi="Times New Roman" w:eastAsia="仿宋_GB2312" w:cs="Times New Roman"/>
          <w:sz w:val="32"/>
          <w:szCs w:val="32"/>
          <w:highlight w:val="none"/>
        </w:rPr>
        <w:t>万元，预决算差异率</w:t>
      </w:r>
      <w:r>
        <w:rPr>
          <w:rFonts w:hint="default" w:ascii="Times New Roman" w:hAnsi="Times New Roman" w:eastAsia="仿宋_GB2312" w:cs="Times New Roman"/>
          <w:sz w:val="32"/>
          <w:szCs w:val="32"/>
          <w:highlight w:val="none"/>
          <w:lang w:val="en-US" w:eastAsia="zh-CN"/>
        </w:rPr>
        <w:t>-0.89</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主要原因是：</w:t>
      </w:r>
      <w:r>
        <w:rPr>
          <w:rFonts w:hint="default" w:ascii="Times New Roman" w:hAnsi="Times New Roman" w:eastAsia="仿宋_GB2312" w:cs="Times New Roman"/>
          <w:kern w:val="0"/>
          <w:sz w:val="32"/>
          <w:szCs w:val="32"/>
          <w:highlight w:val="none"/>
        </w:rPr>
        <w:t>响应各级政府号召，节约开支</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24"/>
          <w:highlight w:val="none"/>
          <w:lang w:val="en-US"/>
        </w:rPr>
        <w:t>本年单位</w:t>
      </w:r>
      <w:r>
        <w:rPr>
          <w:rFonts w:hint="default" w:ascii="Times New Roman" w:hAnsi="Times New Roman" w:eastAsia="仿宋_GB2312" w:cs="Times New Roman"/>
          <w:kern w:val="0"/>
          <w:sz w:val="32"/>
          <w:szCs w:val="24"/>
          <w:highlight w:val="none"/>
          <w:lang w:val="en-US" w:eastAsia="zh-CN"/>
        </w:rPr>
        <w:t>未发生</w:t>
      </w:r>
      <w:r>
        <w:rPr>
          <w:rFonts w:hint="default" w:ascii="Times New Roman" w:hAnsi="Times New Roman" w:eastAsia="仿宋_GB2312" w:cs="Times New Roman"/>
          <w:kern w:val="0"/>
          <w:sz w:val="32"/>
          <w:szCs w:val="24"/>
          <w:highlight w:val="none"/>
          <w:lang w:val="en-US"/>
        </w:rPr>
        <w:t>公务接待费</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kern w:val="0"/>
          <w:sz w:val="32"/>
          <w:szCs w:val="32"/>
          <w:highlight w:val="none"/>
        </w:rPr>
        <w:t>其中：因公出国（境）费</w:t>
      </w:r>
      <w:r>
        <w:rPr>
          <w:rFonts w:hint="default" w:ascii="Times New Roman" w:hAnsi="Times New Roman" w:eastAsia="仿宋_GB2312" w:cs="Times New Roman"/>
          <w:kern w:val="0"/>
          <w:sz w:val="32"/>
          <w:szCs w:val="32"/>
          <w:highlight w:val="none"/>
          <w:lang w:val="en-US" w:eastAsia="zh-CN"/>
        </w:rPr>
        <w:t>全年预算数</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万元，决算数</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万元，预决算差异率</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kern w:val="0"/>
          <w:sz w:val="32"/>
          <w:szCs w:val="32"/>
          <w:highlight w:val="none"/>
        </w:rPr>
        <w:t>公务用车购置</w:t>
      </w:r>
      <w:r>
        <w:rPr>
          <w:rFonts w:hint="default" w:ascii="Times New Roman" w:hAnsi="Times New Roman" w:eastAsia="仿宋_GB2312" w:cs="Times New Roman"/>
          <w:sz w:val="32"/>
          <w:szCs w:val="32"/>
          <w:highlight w:val="none"/>
        </w:rPr>
        <w:t>费</w:t>
      </w:r>
      <w:r>
        <w:rPr>
          <w:rFonts w:hint="default" w:ascii="Times New Roman" w:hAnsi="Times New Roman" w:eastAsia="仿宋_GB2312" w:cs="Times New Roman"/>
          <w:sz w:val="32"/>
          <w:szCs w:val="32"/>
          <w:highlight w:val="none"/>
          <w:lang w:val="en-US" w:eastAsia="zh-CN"/>
        </w:rPr>
        <w:t>全年</w:t>
      </w:r>
      <w:r>
        <w:rPr>
          <w:rFonts w:hint="default" w:ascii="Times New Roman" w:hAnsi="Times New Roman" w:eastAsia="仿宋_GB2312" w:cs="Times New Roman"/>
          <w:sz w:val="32"/>
          <w:szCs w:val="32"/>
          <w:highlight w:val="none"/>
        </w:rPr>
        <w:t>预算数</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万元，决算数</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万元，预决算差异率</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kern w:val="0"/>
          <w:sz w:val="32"/>
          <w:szCs w:val="32"/>
          <w:highlight w:val="none"/>
        </w:rPr>
        <w:t>公务用车运行费</w:t>
      </w:r>
      <w:r>
        <w:rPr>
          <w:rFonts w:hint="default" w:ascii="Times New Roman" w:hAnsi="Times New Roman" w:eastAsia="仿宋_GB2312" w:cs="Times New Roman"/>
          <w:kern w:val="0"/>
          <w:sz w:val="32"/>
          <w:szCs w:val="32"/>
          <w:highlight w:val="none"/>
          <w:lang w:val="en-US" w:eastAsia="zh-CN"/>
        </w:rPr>
        <w:t>全年</w:t>
      </w:r>
      <w:r>
        <w:rPr>
          <w:rFonts w:hint="default" w:ascii="Times New Roman" w:hAnsi="Times New Roman" w:eastAsia="仿宋_GB2312" w:cs="Times New Roman"/>
          <w:sz w:val="32"/>
          <w:szCs w:val="32"/>
          <w:highlight w:val="none"/>
        </w:rPr>
        <w:t>预算数</w:t>
      </w:r>
      <w:r>
        <w:rPr>
          <w:rFonts w:hint="default" w:ascii="Times New Roman" w:hAnsi="Times New Roman" w:eastAsia="仿宋_GB2312" w:cs="Times New Roman"/>
          <w:sz w:val="32"/>
          <w:szCs w:val="32"/>
          <w:highlight w:val="none"/>
          <w:lang w:val="en-US" w:eastAsia="zh-CN"/>
        </w:rPr>
        <w:t>6.69</w:t>
      </w:r>
      <w:r>
        <w:rPr>
          <w:rFonts w:hint="default" w:ascii="Times New Roman" w:hAnsi="Times New Roman" w:eastAsia="仿宋_GB2312" w:cs="Times New Roman"/>
          <w:sz w:val="32"/>
          <w:szCs w:val="32"/>
          <w:highlight w:val="none"/>
        </w:rPr>
        <w:t>万元，决算数</w:t>
      </w:r>
      <w:r>
        <w:rPr>
          <w:rFonts w:hint="default" w:ascii="Times New Roman" w:hAnsi="Times New Roman" w:eastAsia="仿宋_GB2312" w:cs="Times New Roman"/>
          <w:sz w:val="32"/>
          <w:szCs w:val="32"/>
          <w:highlight w:val="none"/>
          <w:lang w:val="en-US" w:eastAsia="zh-CN"/>
        </w:rPr>
        <w:t>6.69</w:t>
      </w:r>
      <w:r>
        <w:rPr>
          <w:rFonts w:hint="default" w:ascii="Times New Roman" w:hAnsi="Times New Roman" w:eastAsia="仿宋_GB2312" w:cs="Times New Roman"/>
          <w:sz w:val="32"/>
          <w:szCs w:val="32"/>
          <w:highlight w:val="none"/>
        </w:rPr>
        <w:t>万元，预决算差异率</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kern w:val="0"/>
          <w:sz w:val="32"/>
          <w:szCs w:val="32"/>
          <w:highlight w:val="none"/>
        </w:rPr>
        <w:t>公务接待费</w:t>
      </w:r>
      <w:r>
        <w:rPr>
          <w:rFonts w:hint="default" w:ascii="Times New Roman" w:hAnsi="Times New Roman" w:eastAsia="仿宋_GB2312" w:cs="Times New Roman"/>
          <w:kern w:val="0"/>
          <w:sz w:val="32"/>
          <w:szCs w:val="32"/>
          <w:highlight w:val="none"/>
          <w:lang w:val="en-US" w:eastAsia="zh-CN"/>
        </w:rPr>
        <w:t>全年</w:t>
      </w:r>
      <w:r>
        <w:rPr>
          <w:rFonts w:hint="default" w:ascii="Times New Roman" w:hAnsi="Times New Roman" w:eastAsia="仿宋_GB2312" w:cs="Times New Roman"/>
          <w:sz w:val="32"/>
          <w:szCs w:val="32"/>
          <w:highlight w:val="none"/>
        </w:rPr>
        <w:t>预算数</w:t>
      </w:r>
      <w:r>
        <w:rPr>
          <w:rFonts w:hint="default" w:ascii="Times New Roman" w:hAnsi="Times New Roman" w:eastAsia="仿宋_GB2312" w:cs="Times New Roman"/>
          <w:sz w:val="32"/>
          <w:szCs w:val="32"/>
          <w:highlight w:val="none"/>
          <w:lang w:val="en-US" w:eastAsia="zh-CN"/>
        </w:rPr>
        <w:t>0.06</w:t>
      </w:r>
      <w:r>
        <w:rPr>
          <w:rFonts w:hint="default" w:ascii="Times New Roman" w:hAnsi="Times New Roman" w:eastAsia="仿宋_GB2312" w:cs="Times New Roman"/>
          <w:sz w:val="32"/>
          <w:szCs w:val="32"/>
          <w:highlight w:val="none"/>
        </w:rPr>
        <w:t>万元，决算数</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万元，预决算差异率</w:t>
      </w:r>
      <w:r>
        <w:rPr>
          <w:rFonts w:hint="default"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主要原因是：</w:t>
      </w:r>
      <w:r>
        <w:rPr>
          <w:rFonts w:hint="default" w:ascii="Times New Roman" w:hAnsi="Times New Roman" w:eastAsia="仿宋_GB2312" w:cs="Times New Roman"/>
          <w:kern w:val="0"/>
          <w:sz w:val="32"/>
          <w:szCs w:val="24"/>
          <w:highlight w:val="none"/>
          <w:lang w:val="en-US"/>
        </w:rPr>
        <w:t>本年单位</w:t>
      </w:r>
      <w:r>
        <w:rPr>
          <w:rFonts w:hint="default" w:ascii="Times New Roman" w:hAnsi="Times New Roman" w:eastAsia="仿宋_GB2312" w:cs="Times New Roman"/>
          <w:kern w:val="0"/>
          <w:sz w:val="32"/>
          <w:szCs w:val="24"/>
          <w:highlight w:val="none"/>
          <w:lang w:val="en-US" w:eastAsia="zh-CN"/>
        </w:rPr>
        <w:t>未发生</w:t>
      </w:r>
      <w:r>
        <w:rPr>
          <w:rFonts w:hint="default" w:ascii="Times New Roman" w:hAnsi="Times New Roman" w:eastAsia="仿宋_GB2312" w:cs="Times New Roman"/>
          <w:kern w:val="0"/>
          <w:sz w:val="32"/>
          <w:szCs w:val="24"/>
          <w:highlight w:val="none"/>
          <w:lang w:val="en-US"/>
        </w:rPr>
        <w:t>公务接待费</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kern w:val="0"/>
          <w:sz w:val="32"/>
          <w:szCs w:val="32"/>
          <w:highlight w:val="none"/>
          <w:lang w:eastAsia="zh-CN"/>
        </w:rPr>
      </w:pPr>
      <w:bookmarkStart w:id="22" w:name="_Toc7927"/>
      <w:bookmarkStart w:id="23" w:name="_Toc5810"/>
      <w:r>
        <w:rPr>
          <w:rFonts w:hint="default" w:ascii="Times New Roman" w:hAnsi="Times New Roman" w:eastAsia="黑体" w:cs="Times New Roman"/>
          <w:bCs/>
          <w:kern w:val="0"/>
          <w:sz w:val="32"/>
          <w:szCs w:val="32"/>
          <w:highlight w:val="none"/>
          <w:lang w:val="en-US" w:eastAsia="zh-CN"/>
        </w:rPr>
        <w:t>八</w:t>
      </w:r>
      <w:r>
        <w:rPr>
          <w:rFonts w:hint="default" w:ascii="Times New Roman" w:hAnsi="Times New Roman" w:eastAsia="黑体" w:cs="Times New Roman"/>
          <w:bCs/>
          <w:kern w:val="0"/>
          <w:sz w:val="32"/>
          <w:szCs w:val="32"/>
          <w:highlight w:val="none"/>
          <w:lang w:eastAsia="zh-CN"/>
        </w:rPr>
        <w:t>、政府性基金预算财政拨款收入支出决算情况说明</w:t>
      </w:r>
      <w:bookmarkEnd w:id="22"/>
      <w:bookmarkEnd w:id="23"/>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pacing w:val="0"/>
          <w:sz w:val="32"/>
          <w:szCs w:val="32"/>
          <w:highlight w:val="none"/>
          <w:lang w:val="en-US" w:eastAsia="zh-CN"/>
        </w:rPr>
        <w:t>2022</w:t>
      </w:r>
      <w:r>
        <w:rPr>
          <w:rFonts w:hint="default" w:ascii="Times New Roman" w:hAnsi="Times New Roman" w:eastAsia="仿宋_GB2312" w:cs="Times New Roman"/>
          <w:spacing w:val="0"/>
          <w:sz w:val="32"/>
          <w:szCs w:val="32"/>
          <w:highlight w:val="none"/>
          <w:lang w:eastAsia="zh-CN"/>
        </w:rPr>
        <w:t>年度</w:t>
      </w:r>
      <w:r>
        <w:rPr>
          <w:rFonts w:hint="default" w:ascii="Times New Roman" w:hAnsi="Times New Roman" w:eastAsia="仿宋_GB2312" w:cs="Times New Roman"/>
          <w:sz w:val="32"/>
          <w:szCs w:val="32"/>
          <w:highlight w:val="none"/>
        </w:rPr>
        <w:t>政府性基金预算</w:t>
      </w:r>
      <w:r>
        <w:rPr>
          <w:rFonts w:hint="default" w:ascii="Times New Roman" w:hAnsi="Times New Roman" w:eastAsia="仿宋_GB2312" w:cs="Times New Roman"/>
          <w:sz w:val="32"/>
          <w:szCs w:val="32"/>
          <w:highlight w:val="none"/>
          <w:lang w:val="en-US" w:eastAsia="zh-CN"/>
        </w:rPr>
        <w:t>年初结转和结余8.43</w:t>
      </w:r>
      <w:r>
        <w:rPr>
          <w:rFonts w:hint="default" w:ascii="Times New Roman" w:hAnsi="Times New Roman" w:eastAsia="仿宋_GB2312" w:cs="Times New Roman"/>
          <w:sz w:val="32"/>
          <w:szCs w:val="32"/>
          <w:highlight w:val="none"/>
        </w:rPr>
        <w:t>万元，财政拨款收入</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万元，与上年相比，减少</w:t>
      </w:r>
      <w:r>
        <w:rPr>
          <w:rFonts w:hint="default" w:ascii="Times New Roman" w:hAnsi="Times New Roman" w:eastAsia="仿宋_GB2312" w:cs="Times New Roman"/>
          <w:sz w:val="32"/>
          <w:szCs w:val="32"/>
          <w:highlight w:val="none"/>
          <w:lang w:val="en-US" w:eastAsia="zh-CN"/>
        </w:rPr>
        <w:t>14.06</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下降</w:t>
      </w:r>
      <w:r>
        <w:rPr>
          <w:rFonts w:hint="default"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主要原因是</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kern w:val="0"/>
          <w:sz w:val="32"/>
          <w:szCs w:val="24"/>
          <w:highlight w:val="none"/>
          <w:lang w:val="en-US" w:eastAsia="zh-CN"/>
        </w:rPr>
        <w:t>上年度拨入2120803</w:t>
      </w:r>
      <w:r>
        <w:rPr>
          <w:rFonts w:hint="default" w:ascii="Times New Roman" w:hAnsi="Times New Roman" w:eastAsia="仿宋_GB2312" w:cs="Times New Roman"/>
          <w:kern w:val="0"/>
          <w:sz w:val="32"/>
          <w:szCs w:val="24"/>
          <w:highlight w:val="none"/>
          <w:lang w:val="en-US"/>
        </w:rPr>
        <w:t>城市建设支出</w:t>
      </w:r>
      <w:r>
        <w:rPr>
          <w:rFonts w:hint="default" w:ascii="Times New Roman" w:hAnsi="Times New Roman" w:eastAsia="仿宋_GB2312" w:cs="Times New Roman"/>
          <w:kern w:val="0"/>
          <w:sz w:val="32"/>
          <w:szCs w:val="24"/>
          <w:highlight w:val="none"/>
          <w:lang w:val="en-US" w:eastAsia="zh-CN"/>
        </w:rPr>
        <w:t>（项）警务站岗亭建设经费14.06万元，2022年度没有该项目经费</w:t>
      </w:r>
      <w:r>
        <w:rPr>
          <w:rFonts w:hint="default" w:ascii="Times New Roman" w:hAnsi="Times New Roman" w:eastAsia="仿宋_GB2312" w:cs="Times New Roman"/>
          <w:sz w:val="32"/>
          <w:szCs w:val="32"/>
          <w:highlight w:val="none"/>
        </w:rPr>
        <w:t>。政府性基金预算</w:t>
      </w:r>
      <w:r>
        <w:rPr>
          <w:rFonts w:hint="default" w:ascii="Times New Roman" w:hAnsi="Times New Roman" w:eastAsia="仿宋_GB2312" w:cs="Times New Roman"/>
          <w:sz w:val="32"/>
          <w:szCs w:val="32"/>
          <w:highlight w:val="none"/>
          <w:lang w:val="en-US" w:eastAsia="zh-CN"/>
        </w:rPr>
        <w:t>年末结转结余0</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财政拨款支出</w:t>
      </w:r>
      <w:r>
        <w:rPr>
          <w:rFonts w:hint="default" w:ascii="Times New Roman" w:hAnsi="Times New Roman" w:eastAsia="仿宋_GB2312" w:cs="Times New Roman"/>
          <w:sz w:val="32"/>
          <w:szCs w:val="32"/>
          <w:highlight w:val="none"/>
          <w:lang w:val="en-US" w:eastAsia="zh-CN"/>
        </w:rPr>
        <w:t>8.43</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与上年相比，减少</w:t>
      </w:r>
      <w:r>
        <w:rPr>
          <w:rFonts w:hint="default" w:ascii="Times New Roman" w:hAnsi="Times New Roman" w:eastAsia="仿宋_GB2312" w:cs="Times New Roman"/>
          <w:sz w:val="32"/>
          <w:szCs w:val="32"/>
          <w:highlight w:val="none"/>
          <w:lang w:val="en-US" w:eastAsia="zh-CN"/>
        </w:rPr>
        <w:t>118.55</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下降</w:t>
      </w:r>
      <w:r>
        <w:rPr>
          <w:rFonts w:hint="default" w:ascii="Times New Roman" w:hAnsi="Times New Roman" w:eastAsia="仿宋_GB2312" w:cs="Times New Roman"/>
          <w:sz w:val="32"/>
          <w:szCs w:val="32"/>
          <w:highlight w:val="none"/>
          <w:lang w:val="en-US" w:eastAsia="zh-CN"/>
        </w:rPr>
        <w:t>93.36</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，主要原因是</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以前年度拨入</w:t>
      </w:r>
      <w:r>
        <w:rPr>
          <w:rFonts w:hint="default" w:ascii="Times New Roman" w:hAnsi="Times New Roman" w:eastAsia="仿宋_GB2312" w:cs="Times New Roman"/>
          <w:sz w:val="32"/>
          <w:szCs w:val="32"/>
          <w:highlight w:val="none"/>
          <w:lang w:val="en-US" w:eastAsia="zh-CN"/>
        </w:rPr>
        <w:t>2120899其他国有土地使用权出让收入安排的支出（项）水磨河河道清理及周边环境卫生整治经费，2022年度支付完毕</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政府性基金预算财政拨款支出</w:t>
      </w:r>
      <w:r>
        <w:rPr>
          <w:rFonts w:hint="default" w:ascii="Times New Roman" w:hAnsi="Times New Roman" w:eastAsia="仿宋_GB2312" w:cs="Times New Roman"/>
          <w:sz w:val="32"/>
          <w:szCs w:val="32"/>
          <w:highlight w:val="none"/>
          <w:lang w:val="en-US" w:eastAsia="zh-CN"/>
        </w:rPr>
        <w:t>8.43</w:t>
      </w:r>
      <w:r>
        <w:rPr>
          <w:rFonts w:hint="default" w:ascii="Times New Roman" w:hAnsi="Times New Roman" w:eastAsia="仿宋_GB2312" w:cs="Times New Roman"/>
          <w:sz w:val="32"/>
          <w:szCs w:val="32"/>
          <w:highlight w:val="none"/>
        </w:rPr>
        <w:t>万元。按功能分类科目</w:t>
      </w:r>
      <w:r>
        <w:rPr>
          <w:rFonts w:hint="default" w:ascii="Times New Roman" w:hAnsi="Times New Roman" w:eastAsia="仿宋_GB2312" w:cs="Times New Roman"/>
          <w:sz w:val="32"/>
          <w:szCs w:val="32"/>
          <w:highlight w:val="none"/>
          <w:lang w:eastAsia="zh-CN"/>
        </w:rPr>
        <w:t>项</w:t>
      </w:r>
      <w:r>
        <w:rPr>
          <w:rFonts w:hint="default" w:ascii="Times New Roman" w:hAnsi="Times New Roman" w:eastAsia="仿宋_GB2312" w:cs="Times New Roman"/>
          <w:sz w:val="32"/>
          <w:szCs w:val="32"/>
          <w:highlight w:val="none"/>
        </w:rPr>
        <w:t>级科目公开</w:t>
      </w:r>
      <w:r>
        <w:rPr>
          <w:rFonts w:hint="default" w:ascii="Times New Roman" w:hAnsi="Times New Roman" w:eastAsia="仿宋_GB2312" w:cs="Times New Roman"/>
          <w:sz w:val="32"/>
          <w:szCs w:val="32"/>
          <w:highlight w:val="none"/>
          <w:lang w:eastAsia="zh-CN"/>
        </w:rPr>
        <w:t>，其中：</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2120899其他国有土地使用权出让收入安排的支出8.43</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kern w:val="0"/>
          <w:sz w:val="32"/>
          <w:szCs w:val="32"/>
          <w:highlight w:val="none"/>
          <w:lang w:eastAsia="zh-CN"/>
        </w:rPr>
      </w:pPr>
      <w:r>
        <w:rPr>
          <w:rFonts w:hint="default" w:ascii="Times New Roman" w:hAnsi="Times New Roman" w:eastAsia="黑体" w:cs="Times New Roman"/>
          <w:bCs/>
          <w:kern w:val="0"/>
          <w:sz w:val="32"/>
          <w:szCs w:val="32"/>
          <w:highlight w:val="none"/>
          <w:lang w:val="en-US" w:eastAsia="zh-CN"/>
        </w:rPr>
        <w:t>九</w:t>
      </w:r>
      <w:r>
        <w:rPr>
          <w:rFonts w:hint="default" w:ascii="Times New Roman" w:hAnsi="Times New Roman" w:eastAsia="黑体" w:cs="Times New Roman"/>
          <w:bCs/>
          <w:kern w:val="0"/>
          <w:sz w:val="32"/>
          <w:szCs w:val="32"/>
          <w:highlight w:val="none"/>
          <w:lang w:eastAsia="zh-CN"/>
        </w:rPr>
        <w:t>、国有资本经营预算财政拨款收入支出决算情况说明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bCs/>
          <w:kern w:val="0"/>
          <w:sz w:val="32"/>
          <w:szCs w:val="32"/>
          <w:highlight w:val="none"/>
          <w:lang w:eastAsia="zh-CN"/>
        </w:rPr>
      </w:pPr>
      <w:r>
        <w:rPr>
          <w:rFonts w:hint="default" w:ascii="Times New Roman" w:hAnsi="Times New Roman" w:eastAsia="仿宋_GB2312" w:cs="Times New Roman"/>
          <w:sz w:val="32"/>
          <w:szCs w:val="32"/>
          <w:highlight w:val="none"/>
          <w:lang w:eastAsia="zh-CN"/>
        </w:rPr>
        <w:t>我单位本年度无国有资本经营预算财政拨款收入、支出</w:t>
      </w:r>
      <w:r>
        <w:rPr>
          <w:rFonts w:hint="default" w:ascii="Times New Roman" w:hAnsi="Times New Roman" w:eastAsia="仿宋_GB2312" w:cs="Times New Roman"/>
          <w:sz w:val="32"/>
          <w:szCs w:val="32"/>
          <w:highlight w:val="none"/>
          <w:lang w:val="en-US" w:eastAsia="zh-CN"/>
        </w:rPr>
        <w:t>及结转和结余</w:t>
      </w:r>
      <w:r>
        <w:rPr>
          <w:rFonts w:hint="default" w:ascii="Times New Roman" w:hAnsi="Times New Roman" w:eastAsia="仿宋_GB2312" w:cs="Times New Roman"/>
          <w:sz w:val="32"/>
          <w:szCs w:val="32"/>
          <w:highlight w:val="none"/>
          <w:lang w:eastAsia="zh-CN"/>
        </w:rPr>
        <w:t>，国有资本经营</w:t>
      </w:r>
      <w:r>
        <w:rPr>
          <w:rFonts w:hint="default" w:ascii="Times New Roman" w:hAnsi="Times New Roman" w:eastAsia="仿宋_GB2312" w:cs="Times New Roman"/>
          <w:sz w:val="32"/>
          <w:szCs w:val="32"/>
          <w:highlight w:val="none"/>
        </w:rPr>
        <w:t>预算财政拨款收入支出决算表为空表。</w:t>
      </w:r>
      <w:bookmarkStart w:id="24" w:name="_Toc7314"/>
      <w:bookmarkStart w:id="25" w:name="_Toc123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kern w:val="0"/>
          <w:sz w:val="32"/>
          <w:szCs w:val="32"/>
          <w:highlight w:val="none"/>
          <w:lang w:eastAsia="zh-CN"/>
        </w:rPr>
      </w:pPr>
      <w:r>
        <w:rPr>
          <w:rFonts w:hint="default" w:ascii="Times New Roman" w:hAnsi="Times New Roman" w:eastAsia="黑体" w:cs="Times New Roman"/>
          <w:bCs/>
          <w:kern w:val="0"/>
          <w:sz w:val="32"/>
          <w:szCs w:val="32"/>
          <w:highlight w:val="none"/>
          <w:lang w:eastAsia="zh-CN"/>
        </w:rPr>
        <w:t>十</w:t>
      </w:r>
      <w:r>
        <w:rPr>
          <w:rFonts w:hint="default" w:ascii="Times New Roman" w:hAnsi="Times New Roman" w:eastAsia="黑体" w:cs="Times New Roman"/>
          <w:bCs/>
          <w:kern w:val="0"/>
          <w:sz w:val="32"/>
          <w:szCs w:val="32"/>
          <w:highlight w:val="none"/>
        </w:rPr>
        <w:t>、其他重要事项的情况</w:t>
      </w:r>
      <w:r>
        <w:rPr>
          <w:rFonts w:hint="default" w:ascii="Times New Roman" w:hAnsi="Times New Roman" w:eastAsia="黑体" w:cs="Times New Roman"/>
          <w:bCs/>
          <w:kern w:val="0"/>
          <w:sz w:val="32"/>
          <w:szCs w:val="32"/>
          <w:highlight w:val="none"/>
          <w:lang w:eastAsia="zh-CN"/>
        </w:rPr>
        <w:t>说明</w:t>
      </w:r>
      <w:bookmarkEnd w:id="24"/>
      <w:bookmarkEnd w:id="2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default" w:ascii="Times New Roman" w:hAnsi="Times New Roman" w:eastAsia="黑体" w:cs="Times New Roman"/>
          <w:sz w:val="32"/>
          <w:szCs w:val="32"/>
          <w:highlight w:val="none"/>
        </w:rPr>
      </w:pPr>
      <w:bookmarkStart w:id="26" w:name="_Toc14519"/>
      <w:bookmarkStart w:id="27" w:name="_Toc13105"/>
      <w:r>
        <w:rPr>
          <w:rFonts w:hint="default" w:ascii="Times New Roman" w:hAnsi="Times New Roman" w:eastAsia="黑体" w:cs="Times New Roman"/>
          <w:sz w:val="32"/>
          <w:szCs w:val="32"/>
          <w:highlight w:val="none"/>
          <w:lang w:eastAsia="zh-CN"/>
        </w:rPr>
        <w:t>（一）</w:t>
      </w:r>
      <w:r>
        <w:rPr>
          <w:rFonts w:hint="default" w:ascii="Times New Roman" w:hAnsi="Times New Roman" w:eastAsia="黑体" w:cs="Times New Roman"/>
          <w:sz w:val="32"/>
          <w:szCs w:val="32"/>
          <w:highlight w:val="none"/>
        </w:rPr>
        <w:t>机关运行经费支出情况</w:t>
      </w:r>
      <w:bookmarkEnd w:id="26"/>
      <w:bookmarkEnd w:id="27"/>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pacing w:val="0"/>
          <w:sz w:val="32"/>
          <w:szCs w:val="32"/>
          <w:highlight w:val="none"/>
          <w:lang w:val="en-US" w:eastAsia="zh-CN"/>
        </w:rPr>
        <w:t>2022</w:t>
      </w:r>
      <w:r>
        <w:rPr>
          <w:rFonts w:hint="default" w:ascii="Times New Roman" w:hAnsi="Times New Roman" w:eastAsia="仿宋_GB2312" w:cs="Times New Roman"/>
          <w:spacing w:val="0"/>
          <w:sz w:val="32"/>
          <w:szCs w:val="32"/>
          <w:highlight w:val="none"/>
          <w:lang w:eastAsia="zh-CN"/>
        </w:rPr>
        <w:t>年度</w:t>
      </w:r>
      <w:r>
        <w:rPr>
          <w:rFonts w:hint="default" w:ascii="Times New Roman" w:hAnsi="Times New Roman" w:eastAsia="仿宋_GB2312" w:cs="Times New Roman"/>
          <w:color w:val="auto"/>
          <w:kern w:val="0"/>
          <w:sz w:val="32"/>
          <w:szCs w:val="24"/>
          <w:highlight w:val="none"/>
          <w:lang w:val="en-US"/>
        </w:rPr>
        <w:t>乌鲁木齐市水磨沟区七纺片区管理委员会</w:t>
      </w:r>
      <w:r>
        <w:rPr>
          <w:rFonts w:hint="default" w:ascii="Times New Roman" w:hAnsi="Times New Roman" w:eastAsia="仿宋_GB2312" w:cs="Times New Roman"/>
          <w:sz w:val="32"/>
          <w:szCs w:val="32"/>
          <w:highlight w:val="none"/>
        </w:rPr>
        <w:t>单位（行政单位和参照公务员法管理事业单位）机关运行经费支出</w:t>
      </w:r>
      <w:r>
        <w:rPr>
          <w:rFonts w:hint="default" w:ascii="Times New Roman" w:hAnsi="Times New Roman" w:eastAsia="仿宋_GB2312" w:cs="Times New Roman"/>
          <w:sz w:val="32"/>
          <w:szCs w:val="32"/>
          <w:highlight w:val="none"/>
          <w:lang w:val="en-US" w:eastAsia="zh-CN"/>
        </w:rPr>
        <w:t>88.02</w:t>
      </w:r>
      <w:r>
        <w:rPr>
          <w:rFonts w:hint="default" w:ascii="Times New Roman" w:hAnsi="Times New Roman" w:eastAsia="仿宋_GB2312" w:cs="Times New Roman"/>
          <w:sz w:val="32"/>
          <w:szCs w:val="32"/>
          <w:highlight w:val="none"/>
        </w:rPr>
        <w:t>万元，比上年增加</w:t>
      </w:r>
      <w:r>
        <w:rPr>
          <w:rFonts w:hint="default" w:ascii="Times New Roman" w:hAnsi="Times New Roman" w:eastAsia="仿宋_GB2312" w:cs="Times New Roman"/>
          <w:sz w:val="32"/>
          <w:szCs w:val="32"/>
          <w:highlight w:val="none"/>
          <w:lang w:val="en-US" w:eastAsia="zh-CN"/>
        </w:rPr>
        <w:t>57.65</w:t>
      </w:r>
      <w:r>
        <w:rPr>
          <w:rFonts w:hint="default" w:ascii="Times New Roman" w:hAnsi="Times New Roman" w:eastAsia="仿宋_GB2312" w:cs="Times New Roman"/>
          <w:sz w:val="32"/>
          <w:szCs w:val="32"/>
          <w:highlight w:val="none"/>
        </w:rPr>
        <w:t>万元，增长</w:t>
      </w:r>
      <w:r>
        <w:rPr>
          <w:rFonts w:hint="default" w:ascii="Times New Roman" w:hAnsi="Times New Roman" w:eastAsia="仿宋_GB2312" w:cs="Times New Roman"/>
          <w:sz w:val="32"/>
          <w:szCs w:val="32"/>
          <w:highlight w:val="none"/>
          <w:lang w:val="en-US" w:eastAsia="zh-CN"/>
        </w:rPr>
        <w:t>189.8</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%，主要原因是</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2022年防控工作期间备勤，</w:t>
      </w:r>
      <w:r>
        <w:rPr>
          <w:rFonts w:hint="default" w:ascii="Times New Roman" w:hAnsi="Times New Roman" w:eastAsia="仿宋_GB2312" w:cs="Times New Roman"/>
          <w:sz w:val="32"/>
          <w:szCs w:val="32"/>
          <w:highlight w:val="none"/>
        </w:rPr>
        <w:t>机关运行经费支出</w:t>
      </w:r>
      <w:r>
        <w:rPr>
          <w:rFonts w:hint="default" w:ascii="Times New Roman" w:hAnsi="Times New Roman" w:eastAsia="仿宋_GB2312" w:cs="Times New Roman"/>
          <w:sz w:val="32"/>
          <w:szCs w:val="32"/>
          <w:highlight w:val="none"/>
          <w:lang w:eastAsia="zh-CN"/>
        </w:rPr>
        <w:t>增加</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default" w:ascii="Times New Roman" w:hAnsi="Times New Roman" w:eastAsia="黑体" w:cs="Times New Roman"/>
          <w:sz w:val="32"/>
          <w:szCs w:val="32"/>
          <w:highlight w:val="none"/>
          <w:lang w:eastAsia="zh-CN"/>
        </w:rPr>
      </w:pPr>
      <w:bookmarkStart w:id="28" w:name="_Toc227"/>
      <w:bookmarkStart w:id="29" w:name="_Toc26704"/>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（二）政府采购情况</w:t>
      </w:r>
      <w:bookmarkEnd w:id="28"/>
      <w:bookmarkEnd w:id="29"/>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pacing w:val="0"/>
          <w:sz w:val="32"/>
          <w:szCs w:val="32"/>
          <w:highlight w:val="none"/>
          <w:lang w:val="en-US" w:eastAsia="zh-CN"/>
        </w:rPr>
        <w:t>2022</w:t>
      </w:r>
      <w:r>
        <w:rPr>
          <w:rFonts w:hint="default" w:ascii="Times New Roman" w:hAnsi="Times New Roman" w:eastAsia="仿宋_GB2312" w:cs="Times New Roman"/>
          <w:spacing w:val="0"/>
          <w:sz w:val="32"/>
          <w:szCs w:val="32"/>
          <w:highlight w:val="none"/>
          <w:lang w:eastAsia="zh-CN"/>
        </w:rPr>
        <w:t>年度</w:t>
      </w:r>
      <w:r>
        <w:rPr>
          <w:rFonts w:hint="default" w:ascii="Times New Roman" w:hAnsi="Times New Roman" w:eastAsia="仿宋_GB2312" w:cs="Times New Roman"/>
          <w:sz w:val="32"/>
          <w:szCs w:val="32"/>
          <w:highlight w:val="none"/>
        </w:rPr>
        <w:t>政府采购支出总额</w:t>
      </w:r>
      <w:r>
        <w:rPr>
          <w:rFonts w:hint="default" w:ascii="Times New Roman" w:hAnsi="Times New Roman" w:eastAsia="仿宋_GB2312" w:cs="Times New Roman"/>
          <w:sz w:val="32"/>
          <w:szCs w:val="32"/>
          <w:highlight w:val="none"/>
          <w:lang w:val="en-US" w:eastAsia="zh-CN"/>
        </w:rPr>
        <w:t>661.88</w:t>
      </w:r>
      <w:r>
        <w:rPr>
          <w:rFonts w:hint="default" w:ascii="Times New Roman" w:hAnsi="Times New Roman" w:eastAsia="仿宋_GB2312" w:cs="Times New Roman"/>
          <w:sz w:val="32"/>
          <w:szCs w:val="32"/>
          <w:highlight w:val="none"/>
        </w:rPr>
        <w:t>万元，其中：政府采购货物支出</w:t>
      </w:r>
      <w:r>
        <w:rPr>
          <w:rFonts w:hint="default" w:ascii="Times New Roman" w:hAnsi="Times New Roman" w:eastAsia="仿宋_GB2312" w:cs="Times New Roman"/>
          <w:sz w:val="32"/>
          <w:szCs w:val="32"/>
          <w:highlight w:val="none"/>
          <w:lang w:val="en-US" w:eastAsia="zh-CN"/>
        </w:rPr>
        <w:t>71.8</w:t>
      </w:r>
      <w:r>
        <w:rPr>
          <w:rFonts w:hint="default" w:ascii="Times New Roman" w:hAnsi="Times New Roman" w:eastAsia="仿宋_GB2312" w:cs="Times New Roman"/>
          <w:sz w:val="32"/>
          <w:szCs w:val="32"/>
          <w:highlight w:val="none"/>
        </w:rPr>
        <w:t>万元、政府采购工程支出</w:t>
      </w:r>
      <w:r>
        <w:rPr>
          <w:rFonts w:hint="default" w:ascii="Times New Roman" w:hAnsi="Times New Roman" w:eastAsia="仿宋_GB2312" w:cs="Times New Roman"/>
          <w:sz w:val="32"/>
          <w:szCs w:val="32"/>
          <w:highlight w:val="none"/>
          <w:lang w:val="en-US" w:eastAsia="zh-CN"/>
        </w:rPr>
        <w:t>7.2</w:t>
      </w:r>
      <w:r>
        <w:rPr>
          <w:rFonts w:hint="default" w:ascii="Times New Roman" w:hAnsi="Times New Roman" w:eastAsia="仿宋_GB2312" w:cs="Times New Roman"/>
          <w:sz w:val="32"/>
          <w:szCs w:val="32"/>
          <w:highlight w:val="none"/>
        </w:rPr>
        <w:t>万元、政府采购服务支出</w:t>
      </w:r>
      <w:r>
        <w:rPr>
          <w:rFonts w:hint="default" w:ascii="Times New Roman" w:hAnsi="Times New Roman" w:eastAsia="仿宋_GB2312" w:cs="Times New Roman"/>
          <w:sz w:val="32"/>
          <w:szCs w:val="32"/>
          <w:highlight w:val="none"/>
          <w:lang w:val="en-US" w:eastAsia="zh-CN"/>
        </w:rPr>
        <w:t>582.88</w:t>
      </w:r>
      <w:r>
        <w:rPr>
          <w:rFonts w:hint="default" w:ascii="Times New Roman" w:hAnsi="Times New Roman" w:eastAsia="仿宋_GB2312" w:cs="Times New Roman"/>
          <w:sz w:val="32"/>
          <w:szCs w:val="32"/>
          <w:highlight w:val="none"/>
        </w:rPr>
        <w:t>万元。</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授予中小企业合同金额</w:t>
      </w:r>
      <w:r>
        <w:rPr>
          <w:rFonts w:hint="default" w:ascii="Times New Roman" w:hAnsi="Times New Roman" w:eastAsia="仿宋_GB2312" w:cs="Times New Roman"/>
          <w:sz w:val="32"/>
          <w:szCs w:val="32"/>
          <w:highlight w:val="none"/>
          <w:lang w:val="en-US" w:eastAsia="zh-CN"/>
        </w:rPr>
        <w:t>661.88</w:t>
      </w:r>
      <w:r>
        <w:rPr>
          <w:rFonts w:hint="default" w:ascii="Times New Roman" w:hAnsi="Times New Roman" w:eastAsia="仿宋_GB2312" w:cs="Times New Roman"/>
          <w:sz w:val="32"/>
          <w:szCs w:val="32"/>
          <w:highlight w:val="none"/>
        </w:rPr>
        <w:t>万元，占政府采购支出总额的</w:t>
      </w:r>
      <w:r>
        <w:rPr>
          <w:rFonts w:hint="default"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，其中：授予小微企业合同金额</w:t>
      </w:r>
      <w:r>
        <w:rPr>
          <w:rFonts w:hint="default" w:ascii="Times New Roman" w:hAnsi="Times New Roman" w:eastAsia="仿宋_GB2312" w:cs="Times New Roman"/>
          <w:sz w:val="32"/>
          <w:szCs w:val="32"/>
          <w:highlight w:val="none"/>
          <w:lang w:val="en-US" w:eastAsia="zh-CN"/>
        </w:rPr>
        <w:t>661.88</w:t>
      </w:r>
      <w:r>
        <w:rPr>
          <w:rFonts w:hint="default" w:ascii="Times New Roman" w:hAnsi="Times New Roman" w:eastAsia="仿宋_GB2312" w:cs="Times New Roman"/>
          <w:sz w:val="32"/>
          <w:szCs w:val="32"/>
          <w:highlight w:val="none"/>
        </w:rPr>
        <w:t>万元，占政府采购支出总额的</w:t>
      </w:r>
      <w:r>
        <w:rPr>
          <w:rFonts w:hint="default" w:ascii="Times New Roman" w:hAnsi="Times New Roman" w:eastAsia="仿宋_GB2312" w:cs="Times New Roman"/>
          <w:sz w:val="32"/>
          <w:szCs w:val="32"/>
          <w:highlight w:val="none"/>
          <w:lang w:val="en-US" w:eastAsia="zh-CN"/>
        </w:rPr>
        <w:t>100%。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default" w:ascii="Times New Roman" w:hAnsi="Times New Roman" w:eastAsia="黑体" w:cs="Times New Roman"/>
          <w:sz w:val="32"/>
          <w:szCs w:val="32"/>
          <w:highlight w:val="none"/>
          <w:lang w:eastAsia="zh-CN"/>
        </w:rPr>
      </w:pPr>
      <w:bookmarkStart w:id="30" w:name="_Toc4591"/>
      <w:bookmarkStart w:id="31" w:name="_Toc8391"/>
      <w:r>
        <w:rPr>
          <w:rFonts w:hint="default" w:ascii="Times New Roman" w:hAnsi="Times New Roman" w:eastAsia="黑体" w:cs="Times New Roman"/>
          <w:sz w:val="32"/>
          <w:szCs w:val="32"/>
          <w:highlight w:val="none"/>
          <w:lang w:eastAsia="zh-CN"/>
        </w:rPr>
        <w:t>（三）国有资产占用情况说明</w:t>
      </w:r>
      <w:bookmarkEnd w:id="30"/>
      <w:bookmarkEnd w:id="31"/>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default" w:ascii="Times New Roman" w:hAnsi="Times New Roman" w:eastAsia="黑体" w:cs="Times New Roman"/>
          <w:bCs/>
          <w:kern w:val="0"/>
          <w:sz w:val="32"/>
          <w:szCs w:val="32"/>
          <w:highlight w:val="none"/>
          <w:lang w:eastAsia="zh-CN"/>
        </w:rPr>
      </w:pPr>
      <w:r>
        <w:rPr>
          <w:rFonts w:hint="default" w:ascii="Times New Roman" w:hAnsi="Times New Roman" w:eastAsia="仿宋_GB2312" w:cs="Times New Roman"/>
          <w:sz w:val="32"/>
          <w:szCs w:val="32"/>
          <w:highlight w:val="none"/>
          <w:lang w:eastAsia="zh-CN"/>
        </w:rPr>
        <w:t>截止</w:t>
      </w:r>
      <w:r>
        <w:rPr>
          <w:rFonts w:hint="default" w:ascii="Times New Roman" w:hAnsi="Times New Roman" w:eastAsia="仿宋_GB2312" w:cs="Times New Roman"/>
          <w:spacing w:val="0"/>
          <w:sz w:val="32"/>
          <w:szCs w:val="32"/>
          <w:highlight w:val="none"/>
          <w:lang w:val="en-US" w:eastAsia="zh-CN"/>
        </w:rPr>
        <w:t>2023</w:t>
      </w:r>
      <w:r>
        <w:rPr>
          <w:rFonts w:hint="default" w:ascii="Times New Roman" w:hAnsi="Times New Roman" w:eastAsia="仿宋_GB2312" w:cs="Times New Roman"/>
          <w:spacing w:val="0"/>
          <w:sz w:val="32"/>
          <w:szCs w:val="32"/>
          <w:highlight w:val="none"/>
          <w:lang w:eastAsia="zh-CN"/>
        </w:rPr>
        <w:t>年</w:t>
      </w:r>
      <w:r>
        <w:rPr>
          <w:rFonts w:hint="default" w:ascii="Times New Roman" w:hAnsi="Times New Roman" w:eastAsia="仿宋_GB2312" w:cs="Times New Roman"/>
          <w:spacing w:val="0"/>
          <w:sz w:val="32"/>
          <w:szCs w:val="32"/>
          <w:highlight w:val="none"/>
          <w:lang w:val="en-US" w:eastAsia="zh-CN"/>
        </w:rPr>
        <w:t>12月31日</w:t>
      </w:r>
      <w:r>
        <w:rPr>
          <w:rFonts w:hint="default" w:ascii="Times New Roman" w:hAnsi="Times New Roman" w:eastAsia="仿宋_GB2312" w:cs="Times New Roman"/>
          <w:spacing w:val="0"/>
          <w:sz w:val="32"/>
          <w:szCs w:val="32"/>
          <w:highlight w:val="none"/>
          <w:lang w:eastAsia="zh-CN"/>
        </w:rPr>
        <w:t>，</w:t>
      </w:r>
      <w:r>
        <w:rPr>
          <w:rFonts w:hint="default" w:ascii="Times New Roman" w:hAnsi="Times New Roman" w:eastAsia="仿宋_GB2312" w:cs="Times New Roman"/>
          <w:spacing w:val="0"/>
          <w:sz w:val="32"/>
          <w:szCs w:val="32"/>
          <w:highlight w:val="none"/>
          <w:lang w:val="en-US" w:eastAsia="zh-CN"/>
        </w:rPr>
        <w:t>固定资产原值</w:t>
      </w:r>
      <w:r>
        <w:rPr>
          <w:rFonts w:hint="default" w:ascii="Times New Roman" w:hAnsi="Times New Roman" w:eastAsia="仿宋_GB2312" w:cs="Times New Roman"/>
          <w:sz w:val="32"/>
          <w:szCs w:val="32"/>
          <w:highlight w:val="none"/>
          <w:lang w:val="en-US" w:eastAsia="zh-CN"/>
        </w:rPr>
        <w:t>1638.76万元，房</w:t>
      </w:r>
      <w:r>
        <w:rPr>
          <w:rFonts w:hint="default" w:ascii="Times New Roman" w:hAnsi="Times New Roman" w:eastAsia="仿宋_GB2312" w:cs="Times New Roman"/>
          <w:sz w:val="32"/>
          <w:szCs w:val="32"/>
          <w:highlight w:val="none"/>
        </w:rPr>
        <w:t>屋</w:t>
      </w:r>
      <w:r>
        <w:rPr>
          <w:rFonts w:hint="default" w:ascii="Times New Roman" w:hAnsi="Times New Roman" w:eastAsia="仿宋_GB2312" w:cs="Times New Roman"/>
          <w:sz w:val="32"/>
          <w:szCs w:val="32"/>
          <w:highlight w:val="none"/>
          <w:lang w:val="en-US" w:eastAsia="zh-CN"/>
        </w:rPr>
        <w:t>4500</w:t>
      </w:r>
      <w:r>
        <w:rPr>
          <w:rFonts w:hint="default" w:ascii="Times New Roman" w:hAnsi="Times New Roman" w:eastAsia="仿宋_GB2312" w:cs="Times New Roman"/>
          <w:sz w:val="32"/>
          <w:szCs w:val="32"/>
          <w:highlight w:val="none"/>
        </w:rPr>
        <w:t>平方米</w:t>
      </w:r>
      <w:r>
        <w:rPr>
          <w:rFonts w:hint="default" w:ascii="Times New Roman" w:hAnsi="Times New Roman" w:eastAsia="仿宋_GB2312" w:cs="Times New Roman"/>
          <w:sz w:val="32"/>
          <w:szCs w:val="32"/>
          <w:highlight w:val="none"/>
          <w:lang w:eastAsia="zh-CN"/>
        </w:rPr>
        <w:t>，价值</w:t>
      </w:r>
      <w:r>
        <w:rPr>
          <w:rFonts w:hint="default" w:ascii="Times New Roman" w:hAnsi="Times New Roman" w:eastAsia="仿宋_GB2312" w:cs="Times New Roman"/>
          <w:sz w:val="32"/>
          <w:szCs w:val="32"/>
          <w:highlight w:val="none"/>
          <w:lang w:val="en-US" w:eastAsia="zh-CN"/>
        </w:rPr>
        <w:t>482.33</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车辆</w:t>
      </w:r>
      <w:r>
        <w:rPr>
          <w:rFonts w:hint="default" w:ascii="Times New Roman" w:hAnsi="Times New Roman" w:eastAsia="仿宋_GB2312" w:cs="Times New Roman"/>
          <w:sz w:val="32"/>
          <w:szCs w:val="32"/>
          <w:highlight w:val="none"/>
          <w:lang w:val="en-US" w:eastAsia="zh-CN"/>
        </w:rPr>
        <w:t>40</w:t>
      </w:r>
      <w:r>
        <w:rPr>
          <w:rFonts w:hint="default" w:ascii="Times New Roman" w:hAnsi="Times New Roman" w:eastAsia="仿宋_GB2312" w:cs="Times New Roman"/>
          <w:sz w:val="32"/>
          <w:szCs w:val="32"/>
          <w:highlight w:val="none"/>
        </w:rPr>
        <w:t>辆，价值</w:t>
      </w:r>
      <w:r>
        <w:rPr>
          <w:rFonts w:hint="default" w:ascii="Times New Roman" w:hAnsi="Times New Roman" w:eastAsia="仿宋_GB2312" w:cs="Times New Roman"/>
          <w:sz w:val="32"/>
          <w:szCs w:val="32"/>
          <w:highlight w:val="none"/>
          <w:lang w:val="en-US" w:eastAsia="zh-CN"/>
        </w:rPr>
        <w:t>273.53</w:t>
      </w:r>
      <w:r>
        <w:rPr>
          <w:rFonts w:hint="default" w:ascii="Times New Roman" w:hAnsi="Times New Roman" w:eastAsia="仿宋_GB2312" w:cs="Times New Roman"/>
          <w:sz w:val="32"/>
          <w:szCs w:val="32"/>
          <w:highlight w:val="none"/>
        </w:rPr>
        <w:t>万元，其中：副部（省）级及以上领导用车</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辆、主要领导干部用车</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辆、机要通信用车</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辆、应急保障用车</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辆、执法执勤用车</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辆、特种专业技术用车</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辆、离退休干部用车</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辆、其他用车</w:t>
      </w:r>
      <w:r>
        <w:rPr>
          <w:rFonts w:hint="default" w:ascii="Times New Roman" w:hAnsi="Times New Roman" w:eastAsia="仿宋_GB2312" w:cs="Times New Roman"/>
          <w:sz w:val="32"/>
          <w:szCs w:val="32"/>
          <w:highlight w:val="none"/>
          <w:lang w:val="en-US" w:eastAsia="zh-CN"/>
        </w:rPr>
        <w:t>40</w:t>
      </w:r>
      <w:r>
        <w:rPr>
          <w:rFonts w:hint="default" w:ascii="Times New Roman" w:hAnsi="Times New Roman" w:eastAsia="仿宋_GB2312" w:cs="Times New Roman"/>
          <w:sz w:val="32"/>
          <w:szCs w:val="32"/>
          <w:highlight w:val="none"/>
        </w:rPr>
        <w:t>辆，其他用车主要是：</w:t>
      </w:r>
      <w:r>
        <w:rPr>
          <w:rFonts w:hint="default" w:ascii="Times New Roman" w:hAnsi="Times New Roman" w:eastAsia="仿宋_GB2312" w:cs="Times New Roman"/>
          <w:sz w:val="32"/>
          <w:szCs w:val="32"/>
          <w:highlight w:val="none"/>
          <w:lang w:eastAsia="zh-CN"/>
        </w:rPr>
        <w:t>社区、便民服务站服务车</w:t>
      </w:r>
      <w:r>
        <w:rPr>
          <w:rFonts w:hint="default" w:ascii="Times New Roman" w:hAnsi="Times New Roman" w:eastAsia="仿宋_GB2312" w:cs="Times New Roman"/>
          <w:sz w:val="32"/>
          <w:szCs w:val="32"/>
          <w:highlight w:val="none"/>
        </w:rPr>
        <w:t>；单价100万元（含）以上设备（不含车辆）</w:t>
      </w:r>
      <w:r>
        <w:rPr>
          <w:rFonts w:hint="default" w:ascii="Times New Roman" w:hAnsi="Times New Roman" w:eastAsia="仿宋_GB2312" w:cs="Times New Roman"/>
          <w:sz w:val="32"/>
          <w:szCs w:val="32"/>
          <w:highlight w:val="none"/>
          <w:lang w:val="en-US" w:eastAsia="zh-CN"/>
        </w:rPr>
        <w:t>0台（</w:t>
      </w:r>
      <w:r>
        <w:rPr>
          <w:rFonts w:hint="default" w:ascii="Times New Roman" w:hAnsi="Times New Roman" w:eastAsia="仿宋_GB2312" w:cs="Times New Roman"/>
          <w:sz w:val="32"/>
          <w:szCs w:val="32"/>
          <w:highlight w:val="none"/>
        </w:rPr>
        <w:t>套）。</w:t>
      </w:r>
      <w:bookmarkStart w:id="32" w:name="_Toc11283"/>
      <w:bookmarkStart w:id="33" w:name="_Toc43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kern w:val="0"/>
          <w:sz w:val="32"/>
          <w:szCs w:val="32"/>
          <w:highlight w:val="none"/>
          <w:lang w:eastAsia="zh-CN"/>
        </w:rPr>
      </w:pPr>
      <w:r>
        <w:rPr>
          <w:rFonts w:hint="default" w:ascii="Times New Roman" w:hAnsi="Times New Roman" w:eastAsia="黑体" w:cs="Times New Roman"/>
          <w:bCs/>
          <w:kern w:val="0"/>
          <w:sz w:val="32"/>
          <w:szCs w:val="32"/>
          <w:highlight w:val="none"/>
          <w:lang w:eastAsia="zh-CN"/>
        </w:rPr>
        <w:t>十</w:t>
      </w:r>
      <w:r>
        <w:rPr>
          <w:rFonts w:hint="default" w:ascii="Times New Roman" w:hAnsi="Times New Roman" w:eastAsia="黑体" w:cs="Times New Roman"/>
          <w:bCs/>
          <w:kern w:val="0"/>
          <w:sz w:val="32"/>
          <w:szCs w:val="32"/>
          <w:highlight w:val="none"/>
          <w:lang w:val="en-US" w:eastAsia="zh-CN"/>
        </w:rPr>
        <w:t>一</w:t>
      </w:r>
      <w:r>
        <w:rPr>
          <w:rFonts w:hint="default" w:ascii="Times New Roman" w:hAnsi="Times New Roman" w:eastAsia="黑体" w:cs="Times New Roman"/>
          <w:bCs/>
          <w:kern w:val="0"/>
          <w:sz w:val="32"/>
          <w:szCs w:val="32"/>
          <w:highlight w:val="none"/>
          <w:lang w:eastAsia="zh-CN"/>
        </w:rPr>
        <w:t>、预算绩效的情况说明</w:t>
      </w:r>
      <w:bookmarkEnd w:id="32"/>
      <w:bookmarkEnd w:id="33"/>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根据预算绩效管理要求，我单位</w:t>
      </w:r>
      <w:r>
        <w:rPr>
          <w:rFonts w:hint="default" w:ascii="Times New Roman" w:hAnsi="Times New Roman" w:eastAsia="仿宋_GB2312" w:cs="Times New Roman"/>
          <w:sz w:val="32"/>
          <w:szCs w:val="32"/>
          <w:highlight w:val="none"/>
          <w:lang w:val="en-US" w:eastAsia="zh-CN"/>
        </w:rPr>
        <w:t>2023</w:t>
      </w:r>
      <w:r>
        <w:rPr>
          <w:rFonts w:hint="default" w:ascii="Times New Roman" w:hAnsi="Times New Roman" w:eastAsia="仿宋_GB2312" w:cs="Times New Roman"/>
          <w:sz w:val="32"/>
          <w:szCs w:val="32"/>
          <w:highlight w:val="none"/>
          <w:lang w:eastAsia="zh-CN"/>
        </w:rPr>
        <w:t>年度开展预算绩效评价项目</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个，</w:t>
      </w:r>
      <w:r>
        <w:rPr>
          <w:rFonts w:hint="default" w:ascii="Times New Roman" w:hAnsi="Times New Roman" w:eastAsia="仿宋_GB2312" w:cs="Times New Roman"/>
          <w:sz w:val="32"/>
          <w:szCs w:val="32"/>
          <w:highlight w:val="none"/>
          <w:lang w:val="en-US" w:eastAsia="zh-CN"/>
        </w:rPr>
        <w:t>全年预算数507.08</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全年执行数507.08</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。预算绩效管理取得的成效：</w:t>
      </w:r>
      <w:r>
        <w:rPr>
          <w:rFonts w:hint="default" w:ascii="Times New Roman" w:hAnsi="Times New Roman" w:eastAsia="仿宋_GB2312" w:cs="Times New Roman"/>
          <w:color w:val="auto"/>
          <w:kern w:val="0"/>
          <w:sz w:val="32"/>
          <w:szCs w:val="24"/>
          <w:highlight w:val="none"/>
          <w:lang w:val="en-US"/>
        </w:rPr>
        <w:t>一是</w:t>
      </w:r>
      <w:r>
        <w:rPr>
          <w:rFonts w:hint="default" w:ascii="Times New Roman" w:hAnsi="Times New Roman" w:eastAsia="仿宋_GB2312" w:cs="Times New Roman"/>
          <w:kern w:val="0"/>
          <w:sz w:val="32"/>
          <w:szCs w:val="32"/>
          <w:highlight w:val="none"/>
        </w:rPr>
        <w:t>强化管理，完成了年度工作目标，确保了单位的正常运转，促进各项工作任务顺利完成</w:t>
      </w:r>
      <w:r>
        <w:rPr>
          <w:rFonts w:hint="default" w:ascii="Times New Roman" w:hAnsi="Times New Roman" w:eastAsia="仿宋_GB2312" w:cs="Times New Roman"/>
          <w:color w:val="auto"/>
          <w:kern w:val="0"/>
          <w:sz w:val="32"/>
          <w:szCs w:val="24"/>
          <w:highlight w:val="none"/>
          <w:lang w:val="en-US"/>
        </w:rPr>
        <w:t>；二是</w:t>
      </w:r>
      <w:r>
        <w:rPr>
          <w:rFonts w:hint="default" w:ascii="Times New Roman" w:hAnsi="Times New Roman" w:eastAsia="仿宋_GB2312" w:cs="Times New Roman"/>
          <w:kern w:val="0"/>
          <w:sz w:val="32"/>
          <w:szCs w:val="32"/>
          <w:highlight w:val="none"/>
        </w:rPr>
        <w:t>202</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年我单位资金运行维护决策正确，资金管理规范，项目管理到位，政策执行有力一是预算执行率有待提高。预算执行效率有待提高，预算执行力度还要进一步加强</w:t>
      </w:r>
      <w:r>
        <w:rPr>
          <w:rFonts w:hint="default" w:ascii="Times New Roman" w:hAnsi="Times New Roman" w:eastAsia="仿宋_GB2312" w:cs="Times New Roman"/>
          <w:color w:val="auto"/>
          <w:kern w:val="0"/>
          <w:sz w:val="32"/>
          <w:szCs w:val="24"/>
          <w:highlight w:val="none"/>
          <w:lang w:val="en-US"/>
        </w:rPr>
        <w:t>；二是</w:t>
      </w:r>
      <w:r>
        <w:rPr>
          <w:rFonts w:hint="default" w:ascii="Times New Roman" w:hAnsi="Times New Roman" w:eastAsia="仿宋_GB2312" w:cs="Times New Roman"/>
          <w:kern w:val="0"/>
          <w:sz w:val="32"/>
          <w:szCs w:val="32"/>
          <w:highlight w:val="none"/>
        </w:rPr>
        <w:t>财务管理有待创新。财务管理水平和逐年上升的财务要求不匹配，今后需加强培训，提高业务水平。三是资产管理有待加强。对国有资产管理需更加规范，落实管理责任，使用科学管理方法</w:t>
      </w:r>
      <w:r>
        <w:rPr>
          <w:rFonts w:hint="default" w:ascii="Times New Roman" w:hAnsi="Times New Roman" w:eastAsia="仿宋_GB2312" w:cs="Times New Roman"/>
          <w:color w:val="auto"/>
          <w:kern w:val="0"/>
          <w:sz w:val="32"/>
          <w:szCs w:val="24"/>
          <w:highlight w:val="none"/>
          <w:lang w:val="en-US"/>
        </w:rPr>
        <w:t>。下一步改进措施：</w:t>
      </w:r>
      <w:r>
        <w:rPr>
          <w:rFonts w:hint="default" w:ascii="Times New Roman" w:hAnsi="Times New Roman" w:eastAsia="仿宋_GB2312" w:cs="Times New Roman"/>
          <w:kern w:val="0"/>
          <w:sz w:val="32"/>
          <w:szCs w:val="32"/>
          <w:highlight w:val="none"/>
        </w:rPr>
        <w:t>一是细化预算编制工作，认真做好预算的编制，进一步加强单位内部机构各科室的预算管理意识，严格按照预算编制的相关制度和要求进行预算编制，尽量压缩变动性的、有控制空间的费用项目，进一步提高预算编制的科学性、严谨性和可控性；二是加强财务管理，严格财务审核。加强单位财务管理，在费用报账支付时，按照预算规定的费用项目和用途进行资金使用审核、列报支付、财务核算，杜绝超支现象的发生。三是完善资产管理，抓好“三公”经费控制。严格编制政府采购年初预算和计划，规范各类资产的购置审批、采购、使用管理、处置和报废、管理岗位职责等制度，加强单位内部的资产管理工作。严格控制“三公”经费的规模和比例，把关“三公”经费支出的审核、审批，杜绝挪用和挤占其他预算资金行为</w:t>
      </w:r>
      <w:r>
        <w:rPr>
          <w:rFonts w:hint="default" w:ascii="Times New Roman" w:hAnsi="Times New Roman" w:eastAsia="仿宋_GB2312" w:cs="Times New Roman"/>
          <w:color w:val="auto"/>
          <w:kern w:val="0"/>
          <w:sz w:val="32"/>
          <w:szCs w:val="24"/>
          <w:highlight w:val="none"/>
          <w:lang w:val="en-US"/>
        </w:rPr>
        <w:t>。</w:t>
      </w:r>
      <w:r>
        <w:rPr>
          <w:rFonts w:hint="default" w:ascii="Times New Roman" w:hAnsi="Times New Roman" w:eastAsia="仿宋_GB2312" w:cs="Times New Roman"/>
          <w:sz w:val="32"/>
          <w:szCs w:val="32"/>
          <w:highlight w:val="none"/>
          <w:lang w:eastAsia="zh-CN"/>
        </w:rPr>
        <w:t>具体</w:t>
      </w:r>
      <w:r>
        <w:rPr>
          <w:rFonts w:hint="default" w:ascii="Times New Roman" w:hAnsi="Times New Roman" w:eastAsia="仿宋_GB2312" w:cs="Times New Roman"/>
          <w:sz w:val="32"/>
          <w:szCs w:val="32"/>
          <w:highlight w:val="none"/>
        </w:rPr>
        <w:t>项目自评情况附项目支出绩效自评表。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default" w:ascii="Times New Roman" w:hAnsi="Times New Roman" w:eastAsia="黑体" w:cs="Times New Roman"/>
          <w:sz w:val="32"/>
          <w:szCs w:val="32"/>
          <w:highlight w:val="none"/>
        </w:rPr>
      </w:pPr>
      <w:bookmarkStart w:id="34" w:name="_Toc3250"/>
      <w:bookmarkStart w:id="35" w:name="_Toc24143"/>
      <w:r>
        <w:rPr>
          <w:rFonts w:hint="default" w:ascii="Times New Roman" w:hAnsi="Times New Roman" w:eastAsia="黑体" w:cs="Times New Roman"/>
          <w:sz w:val="32"/>
          <w:szCs w:val="32"/>
          <w:highlight w:val="none"/>
        </w:rPr>
        <w:br w:type="page"/>
      </w:r>
      <w:bookmarkEnd w:id="34"/>
      <w:bookmarkEnd w:id="35"/>
      <w:bookmarkStart w:id="36" w:name="_Toc28903"/>
      <w:bookmarkStart w:id="37" w:name="_Toc22784"/>
    </w:p>
    <w:tbl>
      <w:tblPr>
        <w:tblStyle w:val="8"/>
        <w:tblW w:w="500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9"/>
        <w:gridCol w:w="690"/>
        <w:gridCol w:w="1245"/>
        <w:gridCol w:w="230"/>
        <w:gridCol w:w="6"/>
        <w:gridCol w:w="1412"/>
        <w:gridCol w:w="6"/>
        <w:gridCol w:w="812"/>
        <w:gridCol w:w="6"/>
        <w:gridCol w:w="645"/>
        <w:gridCol w:w="6"/>
        <w:gridCol w:w="647"/>
        <w:gridCol w:w="6"/>
        <w:gridCol w:w="255"/>
        <w:gridCol w:w="6"/>
        <w:gridCol w:w="268"/>
        <w:gridCol w:w="6"/>
        <w:gridCol w:w="362"/>
        <w:gridCol w:w="6"/>
        <w:gridCol w:w="456"/>
        <w:gridCol w:w="6"/>
        <w:gridCol w:w="413"/>
        <w:gridCol w:w="6"/>
        <w:gridCol w:w="638"/>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405" w:hRule="atLeast"/>
        </w:trPr>
        <w:tc>
          <w:tcPr>
            <w:tcW w:w="4996" w:type="pct"/>
            <w:gridSpan w:val="2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2"/>
                <w:szCs w:val="32"/>
                <w:highlight w:val="none"/>
                <w:u w:val="none"/>
              </w:rPr>
            </w:pPr>
            <w:r>
              <w:rPr>
                <w:rFonts w:hint="default" w:ascii="Times New Roman" w:hAnsi="Times New Roman" w:eastAsia="宋体" w:cs="Times New Roman"/>
                <w:b/>
                <w:bCs/>
                <w:i w:val="0"/>
                <w:iCs w:val="0"/>
                <w:color w:val="000000"/>
                <w:kern w:val="0"/>
                <w:sz w:val="32"/>
                <w:szCs w:val="32"/>
                <w:highlight w:val="none"/>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270" w:hRule="atLeast"/>
        </w:trPr>
        <w:tc>
          <w:tcPr>
            <w:tcW w:w="4996" w:type="pct"/>
            <w:gridSpan w:val="2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396" w:hRule="atLeast"/>
        </w:trPr>
        <w:tc>
          <w:tcPr>
            <w:tcW w:w="6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项目名称</w:t>
            </w:r>
          </w:p>
        </w:tc>
        <w:tc>
          <w:tcPr>
            <w:tcW w:w="4363" w:type="pct"/>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社区经费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396" w:hRule="atLeast"/>
        </w:trPr>
        <w:tc>
          <w:tcPr>
            <w:tcW w:w="6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主管部门</w:t>
            </w:r>
          </w:p>
        </w:tc>
        <w:tc>
          <w:tcPr>
            <w:tcW w:w="2557"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乌鲁木齐市水磨沟区七纺片区管理委员会</w:t>
            </w:r>
          </w:p>
        </w:tc>
        <w:tc>
          <w:tcPr>
            <w:tcW w:w="53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实施单位</w:t>
            </w:r>
          </w:p>
        </w:tc>
        <w:tc>
          <w:tcPr>
            <w:tcW w:w="127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乌鲁木齐市水磨沟区七纺片区管理委员会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396" w:hRule="atLeast"/>
        </w:trPr>
        <w:tc>
          <w:tcPr>
            <w:tcW w:w="63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项目资金</w:t>
            </w:r>
            <w:r>
              <w:rPr>
                <w:rFonts w:hint="default" w:ascii="Times New Roman" w:hAnsi="Times New Roman" w:eastAsia="宋体" w:cs="Times New Roman"/>
                <w:i w:val="0"/>
                <w:iCs w:val="0"/>
                <w:color w:val="000000"/>
                <w:kern w:val="0"/>
                <w:sz w:val="24"/>
                <w:szCs w:val="24"/>
                <w:highlight w:val="none"/>
                <w:u w:val="none"/>
                <w:lang w:val="en-US" w:eastAsia="zh-CN" w:bidi="ar"/>
              </w:rPr>
              <w:br w:type="textWrapping"/>
            </w:r>
            <w:r>
              <w:rPr>
                <w:rFonts w:hint="default" w:ascii="Times New Roman" w:hAnsi="Times New Roman" w:eastAsia="宋体" w:cs="Times New Roman"/>
                <w:i w:val="0"/>
                <w:iCs w:val="0"/>
                <w:color w:val="000000"/>
                <w:kern w:val="0"/>
                <w:sz w:val="24"/>
                <w:szCs w:val="24"/>
                <w:highlight w:val="none"/>
                <w:u w:val="none"/>
                <w:lang w:val="en-US" w:eastAsia="zh-CN" w:bidi="ar"/>
              </w:rPr>
              <w:t>（万元）</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年初预算数</w:t>
            </w:r>
          </w:p>
        </w:tc>
        <w:tc>
          <w:tcPr>
            <w:tcW w:w="86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全年预算数</w:t>
            </w:r>
          </w:p>
        </w:tc>
        <w:tc>
          <w:tcPr>
            <w:tcW w:w="53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全年执行数</w:t>
            </w:r>
          </w:p>
        </w:tc>
        <w:tc>
          <w:tcPr>
            <w:tcW w:w="37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分值</w:t>
            </w:r>
          </w:p>
        </w:tc>
        <w:tc>
          <w:tcPr>
            <w:tcW w:w="51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执行率</w:t>
            </w: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396" w:hRule="atLeast"/>
        </w:trPr>
        <w:tc>
          <w:tcPr>
            <w:tcW w:w="6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年度资金总额</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441.00</w:t>
            </w:r>
          </w:p>
        </w:tc>
        <w:tc>
          <w:tcPr>
            <w:tcW w:w="86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407.69</w:t>
            </w:r>
          </w:p>
        </w:tc>
        <w:tc>
          <w:tcPr>
            <w:tcW w:w="53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407.69</w:t>
            </w:r>
          </w:p>
        </w:tc>
        <w:tc>
          <w:tcPr>
            <w:tcW w:w="37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51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100.00%</w:t>
            </w: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396" w:hRule="atLeast"/>
        </w:trPr>
        <w:tc>
          <w:tcPr>
            <w:tcW w:w="6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其中：当年财政拨款</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441</w:t>
            </w:r>
          </w:p>
        </w:tc>
        <w:tc>
          <w:tcPr>
            <w:tcW w:w="86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407.69</w:t>
            </w:r>
          </w:p>
        </w:tc>
        <w:tc>
          <w:tcPr>
            <w:tcW w:w="53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407.69</w:t>
            </w:r>
          </w:p>
        </w:tc>
        <w:tc>
          <w:tcPr>
            <w:tcW w:w="37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51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396" w:hRule="atLeast"/>
        </w:trPr>
        <w:tc>
          <w:tcPr>
            <w:tcW w:w="6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上年结转资金</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86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53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37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51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396" w:hRule="atLeast"/>
        </w:trPr>
        <w:tc>
          <w:tcPr>
            <w:tcW w:w="63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其他资金</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86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53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37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51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396"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年度总体目标</w:t>
            </w:r>
          </w:p>
        </w:tc>
        <w:tc>
          <w:tcPr>
            <w:tcW w:w="296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预期目标</w:t>
            </w:r>
          </w:p>
        </w:tc>
        <w:tc>
          <w:tcPr>
            <w:tcW w:w="1806"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396"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962"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1.项目主要用于七纺片区社区正常支出。</w:t>
            </w:r>
            <w:r>
              <w:rPr>
                <w:rFonts w:hint="default" w:ascii="Times New Roman" w:hAnsi="Times New Roman" w:eastAsia="宋体" w:cs="Times New Roman"/>
                <w:i w:val="0"/>
                <w:iCs w:val="0"/>
                <w:color w:val="000000"/>
                <w:kern w:val="0"/>
                <w:sz w:val="24"/>
                <w:szCs w:val="24"/>
                <w:highlight w:val="none"/>
                <w:u w:val="none"/>
                <w:lang w:val="en-US" w:eastAsia="zh-CN" w:bidi="ar"/>
              </w:rPr>
              <w:br w:type="textWrapping"/>
            </w:r>
            <w:r>
              <w:rPr>
                <w:rFonts w:hint="default" w:ascii="Times New Roman" w:hAnsi="Times New Roman" w:eastAsia="宋体" w:cs="Times New Roman"/>
                <w:i w:val="0"/>
                <w:iCs w:val="0"/>
                <w:color w:val="000000"/>
                <w:kern w:val="0"/>
                <w:sz w:val="24"/>
                <w:szCs w:val="24"/>
                <w:highlight w:val="none"/>
                <w:u w:val="none"/>
                <w:lang w:val="en-US" w:eastAsia="zh-CN" w:bidi="ar"/>
              </w:rPr>
              <w:t>2.严格把控项目资金使用，使得资金落实到位。足额及时拨付资金,及时上报资金的使用情况，保障项目资金441万元按计划执行;</w:t>
            </w:r>
            <w:r>
              <w:rPr>
                <w:rFonts w:hint="default" w:ascii="Times New Roman" w:hAnsi="Times New Roman" w:eastAsia="宋体" w:cs="Times New Roman"/>
                <w:i w:val="0"/>
                <w:iCs w:val="0"/>
                <w:color w:val="000000"/>
                <w:kern w:val="0"/>
                <w:sz w:val="24"/>
                <w:szCs w:val="24"/>
                <w:highlight w:val="none"/>
                <w:u w:val="none"/>
                <w:lang w:val="en-US" w:eastAsia="zh-CN" w:bidi="ar"/>
              </w:rPr>
              <w:br w:type="textWrapping"/>
            </w:r>
            <w:r>
              <w:rPr>
                <w:rFonts w:hint="default" w:ascii="Times New Roman" w:hAnsi="Times New Roman" w:eastAsia="宋体" w:cs="Times New Roman"/>
                <w:i w:val="0"/>
                <w:iCs w:val="0"/>
                <w:color w:val="000000"/>
                <w:kern w:val="0"/>
                <w:sz w:val="24"/>
                <w:szCs w:val="24"/>
                <w:highlight w:val="none"/>
                <w:u w:val="none"/>
                <w:lang w:val="en-US" w:eastAsia="zh-CN" w:bidi="ar"/>
              </w:rPr>
              <w:t>3.通过项目的实施，有效促进七纺片区社区服务群，基层党建工作正常开展。</w:t>
            </w:r>
          </w:p>
        </w:tc>
        <w:tc>
          <w:tcPr>
            <w:tcW w:w="1806"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项目主要用于七纺片区社区正常支出，保障了我辖区3个市级重点社区和9个一般社区的正常运转，如办公费、水费、电费、取暖费及车辆维修费等，有效促进了辖区社区服务群，基层党建工作正常开展，提高了社区工作者为居民服务的积极性和社区综合治理质量，保障社区居民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04" w:type="pct"/>
            <w:tcBorders>
              <w:top w:val="single" w:color="000000" w:sz="4" w:space="0"/>
              <w:left w:val="single" w:color="000000" w:sz="4" w:space="0"/>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729" w:type="pct"/>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138" w:type="pct"/>
            <w:gridSpan w:val="2"/>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831" w:type="pct"/>
            <w:gridSpan w:val="2"/>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479" w:type="pct"/>
            <w:gridSpan w:val="2"/>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381" w:type="pct"/>
            <w:gridSpan w:val="2"/>
            <w:tcBorders>
              <w:top w:val="single" w:color="000000" w:sz="4" w:space="0"/>
              <w:left w:val="nil"/>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382" w:type="pct"/>
            <w:gridSpan w:val="2"/>
            <w:tcBorders>
              <w:top w:val="single" w:color="000000" w:sz="4" w:space="0"/>
              <w:left w:val="single" w:color="000000" w:sz="4" w:space="0"/>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153" w:type="pct"/>
            <w:gridSpan w:val="2"/>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160" w:type="pct"/>
            <w:gridSpan w:val="2"/>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215" w:type="pct"/>
            <w:gridSpan w:val="2"/>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270" w:type="pct"/>
            <w:gridSpan w:val="2"/>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245" w:type="pct"/>
            <w:gridSpan w:val="2"/>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377" w:type="pct"/>
            <w:gridSpan w:val="2"/>
            <w:tcBorders>
              <w:top w:val="single" w:color="000000" w:sz="4" w:space="0"/>
              <w:left w:val="nil"/>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396"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一级指标</w:t>
            </w:r>
          </w:p>
        </w:tc>
        <w:tc>
          <w:tcPr>
            <w:tcW w:w="7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二级指标</w:t>
            </w:r>
          </w:p>
        </w:tc>
        <w:tc>
          <w:tcPr>
            <w:tcW w:w="1445"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三级指标</w:t>
            </w:r>
          </w:p>
        </w:tc>
        <w:tc>
          <w:tcPr>
            <w:tcW w:w="38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年度指标值</w:t>
            </w:r>
          </w:p>
        </w:tc>
        <w:tc>
          <w:tcPr>
            <w:tcW w:w="3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实际完成值</w:t>
            </w:r>
          </w:p>
        </w:tc>
        <w:tc>
          <w:tcPr>
            <w:tcW w:w="313"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分值</w:t>
            </w:r>
          </w:p>
        </w:tc>
        <w:tc>
          <w:tcPr>
            <w:tcW w:w="486"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得分</w:t>
            </w:r>
          </w:p>
        </w:tc>
        <w:tc>
          <w:tcPr>
            <w:tcW w:w="623"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396"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7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445"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3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31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8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62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396" w:hRule="atLeast"/>
        </w:trPr>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年度绩效指标完成情况</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产出指标</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数量指标</w:t>
            </w:r>
          </w:p>
        </w:tc>
        <w:tc>
          <w:tcPr>
            <w:tcW w:w="144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一般社区个数</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=9个</w:t>
            </w:r>
          </w:p>
        </w:tc>
        <w:tc>
          <w:tcPr>
            <w:tcW w:w="3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9个</w:t>
            </w:r>
          </w:p>
        </w:tc>
        <w:tc>
          <w:tcPr>
            <w:tcW w:w="3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4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62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396"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数量指标</w:t>
            </w:r>
          </w:p>
        </w:tc>
        <w:tc>
          <w:tcPr>
            <w:tcW w:w="144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市重点社区个数</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=3个</w:t>
            </w:r>
          </w:p>
        </w:tc>
        <w:tc>
          <w:tcPr>
            <w:tcW w:w="3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3个</w:t>
            </w:r>
          </w:p>
        </w:tc>
        <w:tc>
          <w:tcPr>
            <w:tcW w:w="3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4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62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396"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质量指标</w:t>
            </w:r>
          </w:p>
        </w:tc>
        <w:tc>
          <w:tcPr>
            <w:tcW w:w="144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社区费用支付准确率</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3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3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4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62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396"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质量指标</w:t>
            </w:r>
          </w:p>
        </w:tc>
        <w:tc>
          <w:tcPr>
            <w:tcW w:w="144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社区正常运转率</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&gt;=90%</w:t>
            </w:r>
          </w:p>
        </w:tc>
        <w:tc>
          <w:tcPr>
            <w:tcW w:w="3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3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4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62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396"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时效指标</w:t>
            </w:r>
          </w:p>
        </w:tc>
        <w:tc>
          <w:tcPr>
            <w:tcW w:w="144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社区费用支付及时率</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3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3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4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62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396"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成本指标</w:t>
            </w:r>
          </w:p>
        </w:tc>
        <w:tc>
          <w:tcPr>
            <w:tcW w:w="144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一般社区经费标准</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=35万元/个</w:t>
            </w:r>
          </w:p>
        </w:tc>
        <w:tc>
          <w:tcPr>
            <w:tcW w:w="3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32.35万元/个</w:t>
            </w:r>
          </w:p>
        </w:tc>
        <w:tc>
          <w:tcPr>
            <w:tcW w:w="3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4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62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396"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成本指标</w:t>
            </w:r>
          </w:p>
        </w:tc>
        <w:tc>
          <w:tcPr>
            <w:tcW w:w="144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市重点社区经费标准</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=42万元/个</w:t>
            </w:r>
          </w:p>
        </w:tc>
        <w:tc>
          <w:tcPr>
            <w:tcW w:w="3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38.84万元/个</w:t>
            </w:r>
          </w:p>
        </w:tc>
        <w:tc>
          <w:tcPr>
            <w:tcW w:w="3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4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62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396"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效益指标</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经济效益指标</w:t>
            </w:r>
          </w:p>
        </w:tc>
        <w:tc>
          <w:tcPr>
            <w:tcW w:w="144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4"/>
                <w:szCs w:val="24"/>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3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3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62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396"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社会效益指标</w:t>
            </w:r>
          </w:p>
        </w:tc>
        <w:tc>
          <w:tcPr>
            <w:tcW w:w="144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提高社区综合治理质量，保障社区居民需求</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有效提高和保障</w:t>
            </w:r>
          </w:p>
        </w:tc>
        <w:tc>
          <w:tcPr>
            <w:tcW w:w="3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完全达到预期效果</w:t>
            </w:r>
          </w:p>
        </w:tc>
        <w:tc>
          <w:tcPr>
            <w:tcW w:w="3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4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62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396"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生态效益指标</w:t>
            </w:r>
          </w:p>
        </w:tc>
        <w:tc>
          <w:tcPr>
            <w:tcW w:w="144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4"/>
                <w:szCs w:val="24"/>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3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3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62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396"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可持续影响指标</w:t>
            </w:r>
          </w:p>
        </w:tc>
        <w:tc>
          <w:tcPr>
            <w:tcW w:w="144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4"/>
                <w:szCs w:val="24"/>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3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3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62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 w:type="pct"/>
          <w:trHeight w:val="396" w:hRule="atLeast"/>
        </w:trPr>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满意度指标</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满意度指标</w:t>
            </w:r>
          </w:p>
        </w:tc>
        <w:tc>
          <w:tcPr>
            <w:tcW w:w="144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居民满意度</w:t>
            </w: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3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3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4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62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38" w:type="pct"/>
            <w:gridSpan w:val="2"/>
            <w:tcBorders>
              <w:top w:val="single" w:color="000000" w:sz="4" w:space="0"/>
              <w:left w:val="single" w:color="000000" w:sz="4" w:space="0"/>
              <w:bottom w:val="single" w:color="000000" w:sz="4" w:space="0"/>
              <w:right w:val="nil"/>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c>
          <w:tcPr>
            <w:tcW w:w="831" w:type="pct"/>
            <w:gridSpan w:val="2"/>
            <w:tcBorders>
              <w:top w:val="single" w:color="000000" w:sz="4" w:space="0"/>
              <w:left w:val="nil"/>
              <w:bottom w:val="single" w:color="000000" w:sz="4" w:space="0"/>
              <w:right w:val="nil"/>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c>
          <w:tcPr>
            <w:tcW w:w="479" w:type="pct"/>
            <w:gridSpan w:val="2"/>
            <w:tcBorders>
              <w:top w:val="single" w:color="000000" w:sz="4" w:space="0"/>
              <w:left w:val="nil"/>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c>
          <w:tcPr>
            <w:tcW w:w="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3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53" w:type="pct"/>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60" w:type="pct"/>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15" w:type="pct"/>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70" w:type="pct"/>
            <w:gridSpan w:val="2"/>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pct"/>
          <w:trHeight w:val="396" w:hRule="atLeast"/>
        </w:trPr>
        <w:tc>
          <w:tcPr>
            <w:tcW w:w="3572"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总分</w:t>
            </w:r>
          </w:p>
        </w:tc>
        <w:tc>
          <w:tcPr>
            <w:tcW w:w="3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4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100.00分</w:t>
            </w:r>
          </w:p>
        </w:tc>
        <w:tc>
          <w:tcPr>
            <w:tcW w:w="62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r>
    </w:tbl>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ascii="Times New Roman" w:hAnsi="Times New Roman" w:eastAsia="黑体" w:cs="Times New Roman"/>
          <w:sz w:val="32"/>
          <w:szCs w:val="32"/>
          <w:highlight w:val="none"/>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2"/>
        <w:gridCol w:w="353"/>
        <w:gridCol w:w="729"/>
        <w:gridCol w:w="960"/>
        <w:gridCol w:w="1590"/>
        <w:gridCol w:w="849"/>
        <w:gridCol w:w="840"/>
        <w:gridCol w:w="704"/>
        <w:gridCol w:w="256"/>
        <w:gridCol w:w="257"/>
        <w:gridCol w:w="280"/>
        <w:gridCol w:w="441"/>
        <w:gridCol w:w="355"/>
        <w:gridCol w:w="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2"/>
                <w:szCs w:val="32"/>
                <w:highlight w:val="none"/>
                <w:u w:val="none"/>
              </w:rPr>
            </w:pPr>
            <w:r>
              <w:rPr>
                <w:rFonts w:hint="default" w:ascii="Times New Roman" w:hAnsi="Times New Roman" w:eastAsia="宋体" w:cs="Times New Roman"/>
                <w:b/>
                <w:bCs/>
                <w:i w:val="0"/>
                <w:iCs w:val="0"/>
                <w:color w:val="000000"/>
                <w:kern w:val="0"/>
                <w:sz w:val="32"/>
                <w:szCs w:val="32"/>
                <w:highlight w:val="none"/>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项目名称</w:t>
            </w:r>
          </w:p>
        </w:tc>
        <w:tc>
          <w:tcPr>
            <w:tcW w:w="4586"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便民服务站运行经费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主管部门</w:t>
            </w:r>
          </w:p>
        </w:tc>
        <w:tc>
          <w:tcPr>
            <w:tcW w:w="291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乌鲁木齐市水磨沟区七纺片区管理委员会</w:t>
            </w:r>
          </w:p>
        </w:tc>
        <w:tc>
          <w:tcPr>
            <w:tcW w:w="5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实施单位</w:t>
            </w:r>
          </w:p>
        </w:tc>
        <w:tc>
          <w:tcPr>
            <w:tcW w:w="110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乌鲁木齐市水磨沟区七纺片区管理委员会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1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项目资金</w:t>
            </w:r>
            <w:r>
              <w:rPr>
                <w:rFonts w:hint="default" w:ascii="Times New Roman" w:hAnsi="Times New Roman" w:eastAsia="宋体" w:cs="Times New Roman"/>
                <w:i w:val="0"/>
                <w:iCs w:val="0"/>
                <w:color w:val="000000"/>
                <w:kern w:val="0"/>
                <w:sz w:val="24"/>
                <w:szCs w:val="24"/>
                <w:highlight w:val="none"/>
                <w:u w:val="none"/>
                <w:lang w:val="en-US" w:eastAsia="zh-CN" w:bidi="ar"/>
              </w:rPr>
              <w:br w:type="textWrapping"/>
            </w:r>
            <w:r>
              <w:rPr>
                <w:rFonts w:hint="default" w:ascii="Times New Roman" w:hAnsi="Times New Roman" w:eastAsia="宋体" w:cs="Times New Roman"/>
                <w:i w:val="0"/>
                <w:iCs w:val="0"/>
                <w:color w:val="000000"/>
                <w:kern w:val="0"/>
                <w:sz w:val="24"/>
                <w:szCs w:val="24"/>
                <w:highlight w:val="none"/>
                <w:u w:val="none"/>
                <w:lang w:val="en-US" w:eastAsia="zh-CN" w:bidi="ar"/>
              </w:rPr>
              <w:t>（万元）</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年初预算数</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全年预算数</w:t>
            </w:r>
          </w:p>
        </w:tc>
        <w:tc>
          <w:tcPr>
            <w:tcW w:w="5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全年执行数</w:t>
            </w:r>
          </w:p>
        </w:tc>
        <w:tc>
          <w:tcPr>
            <w:tcW w:w="3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分值</w:t>
            </w:r>
          </w:p>
        </w:tc>
        <w:tc>
          <w:tcPr>
            <w:tcW w:w="4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执行率</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1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年度资金总额</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16.50</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16.50</w:t>
            </w:r>
          </w:p>
        </w:tc>
        <w:tc>
          <w:tcPr>
            <w:tcW w:w="5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16.50</w:t>
            </w:r>
          </w:p>
        </w:tc>
        <w:tc>
          <w:tcPr>
            <w:tcW w:w="3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4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100.00%</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1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其中：当年财政拨款</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16.5</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16.5</w:t>
            </w:r>
          </w:p>
        </w:tc>
        <w:tc>
          <w:tcPr>
            <w:tcW w:w="5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16.5</w:t>
            </w:r>
          </w:p>
        </w:tc>
        <w:tc>
          <w:tcPr>
            <w:tcW w:w="3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4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41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上年结转资金</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5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3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4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41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其他资金</w:t>
            </w:r>
          </w:p>
        </w:tc>
        <w:tc>
          <w:tcPr>
            <w:tcW w:w="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9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5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3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4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年度总体目标</w:t>
            </w:r>
          </w:p>
        </w:tc>
        <w:tc>
          <w:tcPr>
            <w:tcW w:w="312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预期目标</w:t>
            </w:r>
          </w:p>
        </w:tc>
        <w:tc>
          <w:tcPr>
            <w:tcW w:w="1671"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312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便民警务站运行经费项目，紧紧围绕社会稳定和长治久安总目标，强化基层</w:t>
            </w:r>
            <w:r>
              <w:rPr>
                <w:rFonts w:hint="default" w:ascii="Times New Roman" w:hAnsi="Times New Roman" w:cs="Times New Roman"/>
                <w:i w:val="0"/>
                <w:iCs w:val="0"/>
                <w:color w:val="000000"/>
                <w:kern w:val="0"/>
                <w:sz w:val="24"/>
                <w:szCs w:val="24"/>
                <w:highlight w:val="none"/>
                <w:u w:val="none"/>
                <w:lang w:val="en-US" w:eastAsia="zh-CN" w:bidi="ar"/>
              </w:rPr>
              <w:t>稳定、</w:t>
            </w:r>
            <w:r>
              <w:rPr>
                <w:rFonts w:hint="default" w:ascii="Times New Roman" w:hAnsi="Times New Roman" w:eastAsia="宋体" w:cs="Times New Roman"/>
                <w:i w:val="0"/>
                <w:iCs w:val="0"/>
                <w:color w:val="000000"/>
                <w:kern w:val="0"/>
                <w:sz w:val="24"/>
                <w:szCs w:val="24"/>
                <w:highlight w:val="none"/>
                <w:u w:val="none"/>
                <w:lang w:val="en-US" w:eastAsia="zh-CN" w:bidi="ar"/>
              </w:rPr>
              <w:t>阵地建设，保障辖区18个便民警务站正常工作运转，如办公、水、电、暖、车辆运转、民生支出等开支，提高便民服务站整体水平,促进便民服务站规范有序发展，加强社会面防控，保障辖区社会面稳定，提高居民满意度。</w:t>
            </w:r>
          </w:p>
        </w:tc>
        <w:tc>
          <w:tcPr>
            <w:tcW w:w="1671"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项目保障了18个便民服务站正常工作运转，如办公、水、电、暖、车辆运转、民生支出等工作的正常开展，确保服务站正常有效运转。提高了服务群众的能力和水平，充分发挥基层人员的战斗堡垒作用，提高便民服务站工作人员落实党的各项政策，密切党同人民群众之间的联系。项目预算资金16.5万元，执行数16.5万元，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07" w:type="pct"/>
            <w:tcBorders>
              <w:top w:val="single" w:color="000000" w:sz="4" w:space="0"/>
              <w:left w:val="single" w:color="000000" w:sz="4" w:space="0"/>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427" w:type="pct"/>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563" w:type="pct"/>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932" w:type="pct"/>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498" w:type="pct"/>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492" w:type="pct"/>
            <w:tcBorders>
              <w:top w:val="single" w:color="000000" w:sz="4" w:space="0"/>
              <w:left w:val="nil"/>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413" w:type="pct"/>
            <w:tcBorders>
              <w:top w:val="single" w:color="000000" w:sz="4" w:space="0"/>
              <w:left w:val="single" w:color="000000" w:sz="4" w:space="0"/>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150" w:type="pct"/>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150" w:type="pct"/>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164" w:type="pct"/>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258" w:type="pct"/>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208" w:type="pct"/>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326" w:type="pct"/>
            <w:tcBorders>
              <w:top w:val="single" w:color="000000" w:sz="4" w:space="0"/>
              <w:left w:val="nil"/>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一级指标</w:t>
            </w:r>
          </w:p>
        </w:tc>
        <w:tc>
          <w:tcPr>
            <w:tcW w:w="4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二级指标</w:t>
            </w:r>
          </w:p>
        </w:tc>
        <w:tc>
          <w:tcPr>
            <w:tcW w:w="199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三级指标</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年度指标值</w:t>
            </w:r>
          </w:p>
        </w:tc>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实际完成值</w:t>
            </w:r>
          </w:p>
        </w:tc>
        <w:tc>
          <w:tcPr>
            <w:tcW w:w="30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分值</w:t>
            </w:r>
          </w:p>
        </w:tc>
        <w:tc>
          <w:tcPr>
            <w:tcW w:w="42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得分</w:t>
            </w:r>
          </w:p>
        </w:tc>
        <w:tc>
          <w:tcPr>
            <w:tcW w:w="53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99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30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2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5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年度绩效指标完成情况</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产出指标</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数量指标</w:t>
            </w:r>
          </w:p>
        </w:tc>
        <w:tc>
          <w:tcPr>
            <w:tcW w:w="199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便民服务站数量</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=18个</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18个</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质量指标</w:t>
            </w:r>
          </w:p>
        </w:tc>
        <w:tc>
          <w:tcPr>
            <w:tcW w:w="199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服务站经费支付准准确率</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&gt;=90%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时效指标</w:t>
            </w:r>
          </w:p>
        </w:tc>
        <w:tc>
          <w:tcPr>
            <w:tcW w:w="199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服务站经费支付及时率</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&gt;=90%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成本指标</w:t>
            </w:r>
          </w:p>
        </w:tc>
        <w:tc>
          <w:tcPr>
            <w:tcW w:w="199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平均每站运行成本</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&lt;=9166.66元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9166.66元</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效益指标</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经济效益指标</w:t>
            </w:r>
          </w:p>
        </w:tc>
        <w:tc>
          <w:tcPr>
            <w:tcW w:w="199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4"/>
                <w:szCs w:val="24"/>
                <w:highlight w:val="none"/>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社会效益指标</w:t>
            </w:r>
          </w:p>
        </w:tc>
        <w:tc>
          <w:tcPr>
            <w:tcW w:w="199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提高便民服务站整体水平,促进便民服务站规范有序发展</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有效提高</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完全达到预期效果</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生态效益指标</w:t>
            </w:r>
          </w:p>
        </w:tc>
        <w:tc>
          <w:tcPr>
            <w:tcW w:w="199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4"/>
                <w:szCs w:val="24"/>
                <w:highlight w:val="none"/>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可持续影响指标</w:t>
            </w:r>
          </w:p>
        </w:tc>
        <w:tc>
          <w:tcPr>
            <w:tcW w:w="199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加强社会面防控，保障辖区社会面稳定</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有效加强</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完全达到预期效果</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满意度指标</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满意度指标</w:t>
            </w:r>
          </w:p>
        </w:tc>
        <w:tc>
          <w:tcPr>
            <w:tcW w:w="199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居民满意度</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&gt;=90%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563" w:type="pct"/>
            <w:tcBorders>
              <w:top w:val="single" w:color="000000" w:sz="4" w:space="0"/>
              <w:left w:val="single" w:color="000000" w:sz="4" w:space="0"/>
              <w:bottom w:val="single" w:color="000000" w:sz="4" w:space="0"/>
              <w:right w:val="nil"/>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c>
          <w:tcPr>
            <w:tcW w:w="932" w:type="pct"/>
            <w:tcBorders>
              <w:top w:val="single" w:color="000000" w:sz="4" w:space="0"/>
              <w:left w:val="nil"/>
              <w:bottom w:val="single" w:color="000000" w:sz="4" w:space="0"/>
              <w:right w:val="nil"/>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c>
          <w:tcPr>
            <w:tcW w:w="498" w:type="pct"/>
            <w:tcBorders>
              <w:top w:val="single" w:color="000000" w:sz="4" w:space="0"/>
              <w:left w:val="nil"/>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50"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50" w:type="pct"/>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64"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58" w:type="pct"/>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74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总分</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100.00分</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0"/>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0"/>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0"/>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0"/>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0"/>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0"/>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0"/>
        <w:rPr>
          <w:rFonts w:hint="default" w:ascii="Times New Roman" w:hAnsi="Times New Roman" w:eastAsia="黑体" w:cs="Times New Roman"/>
          <w:sz w:val="32"/>
          <w:szCs w:val="32"/>
          <w:highlight w:val="none"/>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4"/>
        <w:gridCol w:w="428"/>
        <w:gridCol w:w="807"/>
        <w:gridCol w:w="794"/>
        <w:gridCol w:w="1130"/>
        <w:gridCol w:w="701"/>
        <w:gridCol w:w="850"/>
        <w:gridCol w:w="641"/>
        <w:gridCol w:w="262"/>
        <w:gridCol w:w="295"/>
        <w:gridCol w:w="470"/>
        <w:gridCol w:w="482"/>
        <w:gridCol w:w="498"/>
        <w:gridCol w:w="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000" w:type="pct"/>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2"/>
                <w:szCs w:val="32"/>
                <w:highlight w:val="none"/>
                <w:u w:val="none"/>
              </w:rPr>
            </w:pPr>
            <w:r>
              <w:rPr>
                <w:rFonts w:hint="default" w:ascii="Times New Roman" w:hAnsi="Times New Roman" w:eastAsia="宋体" w:cs="Times New Roman"/>
                <w:b/>
                <w:bCs/>
                <w:i w:val="0"/>
                <w:iCs w:val="0"/>
                <w:color w:val="000000"/>
                <w:kern w:val="0"/>
                <w:sz w:val="32"/>
                <w:szCs w:val="32"/>
                <w:highlight w:val="none"/>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项目名称</w:t>
            </w:r>
          </w:p>
        </w:tc>
        <w:tc>
          <w:tcPr>
            <w:tcW w:w="45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乌财社【2022】167号关于向各相关区下达防控补助资金的通知（转移支付）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主管部门</w:t>
            </w:r>
          </w:p>
        </w:tc>
        <w:tc>
          <w:tcPr>
            <w:tcW w:w="25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乌鲁木齐市水磨沟区七纺片区管理委员会</w:t>
            </w:r>
          </w:p>
        </w:tc>
        <w:tc>
          <w:tcPr>
            <w:tcW w:w="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实施单位</w:t>
            </w:r>
          </w:p>
        </w:tc>
        <w:tc>
          <w:tcPr>
            <w:tcW w:w="145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乌鲁木齐市水磨沟区七纺片区管理委员会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49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项目资金</w:t>
            </w:r>
            <w:r>
              <w:rPr>
                <w:rFonts w:hint="default" w:ascii="Times New Roman" w:hAnsi="Times New Roman" w:eastAsia="宋体" w:cs="Times New Roman"/>
                <w:i w:val="0"/>
                <w:iCs w:val="0"/>
                <w:color w:val="000000"/>
                <w:kern w:val="0"/>
                <w:sz w:val="24"/>
                <w:szCs w:val="24"/>
                <w:highlight w:val="none"/>
                <w:u w:val="none"/>
                <w:lang w:val="en-US" w:eastAsia="zh-CN" w:bidi="ar"/>
              </w:rPr>
              <w:br w:type="textWrapping"/>
            </w:r>
            <w:r>
              <w:rPr>
                <w:rFonts w:hint="default" w:ascii="Times New Roman" w:hAnsi="Times New Roman" w:eastAsia="宋体" w:cs="Times New Roman"/>
                <w:i w:val="0"/>
                <w:iCs w:val="0"/>
                <w:color w:val="000000"/>
                <w:kern w:val="0"/>
                <w:sz w:val="24"/>
                <w:szCs w:val="24"/>
                <w:highlight w:val="none"/>
                <w:u w:val="none"/>
                <w:lang w:val="en-US" w:eastAsia="zh-CN" w:bidi="ar"/>
              </w:rPr>
              <w:t>（万元）</w:t>
            </w:r>
          </w:p>
        </w:tc>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年初预算数</w:t>
            </w:r>
          </w:p>
        </w:tc>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全年预算数</w:t>
            </w:r>
          </w:p>
        </w:tc>
        <w:tc>
          <w:tcPr>
            <w:tcW w:w="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全年执行数</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分值</w:t>
            </w: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执行率</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49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年度资金总额</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0.00</w:t>
            </w:r>
          </w:p>
        </w:tc>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63.06</w:t>
            </w:r>
          </w:p>
        </w:tc>
        <w:tc>
          <w:tcPr>
            <w:tcW w:w="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63.06</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100.00%</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9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其中：当年财政拨款</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63.06</w:t>
            </w:r>
          </w:p>
        </w:tc>
        <w:tc>
          <w:tcPr>
            <w:tcW w:w="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63.06</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49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上年结转资金</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49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其他资金</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年度总体目标</w:t>
            </w:r>
          </w:p>
        </w:tc>
        <w:tc>
          <w:tcPr>
            <w:tcW w:w="27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预期目标</w:t>
            </w:r>
          </w:p>
        </w:tc>
        <w:tc>
          <w:tcPr>
            <w:tcW w:w="198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7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该项目用于保障</w:t>
            </w:r>
            <w:r>
              <w:rPr>
                <w:rFonts w:hint="default" w:ascii="Times New Roman" w:hAnsi="Times New Roman" w:cs="Times New Roman"/>
                <w:i w:val="0"/>
                <w:iCs w:val="0"/>
                <w:color w:val="000000"/>
                <w:kern w:val="0"/>
                <w:sz w:val="24"/>
                <w:szCs w:val="24"/>
                <w:highlight w:val="none"/>
                <w:u w:val="none"/>
                <w:lang w:val="en-US" w:eastAsia="zh-CN" w:bidi="ar"/>
              </w:rPr>
              <w:t>防控</w:t>
            </w:r>
            <w:r>
              <w:rPr>
                <w:rFonts w:hint="default" w:ascii="Times New Roman" w:hAnsi="Times New Roman" w:eastAsia="宋体" w:cs="Times New Roman"/>
                <w:i w:val="0"/>
                <w:iCs w:val="0"/>
                <w:color w:val="000000"/>
                <w:kern w:val="0"/>
                <w:sz w:val="24"/>
                <w:szCs w:val="24"/>
                <w:highlight w:val="none"/>
                <w:u w:val="none"/>
                <w:lang w:val="en-US" w:eastAsia="zh-CN" w:bidi="ar"/>
              </w:rPr>
              <w:t>期间管委会及各社区食堂增加伙食补助，提高伙食保障标准，每日标准提升为60元/人，共计拨款63.06万元，为1051名防疫一线工作人员提供有效、安全的后勤保障，为工作人员提供健康的食品，保障防疫工作人员能全心投入工作，更好地为辖区各族群众开展服务，落实好当的政策，密切党和人民群众的联系，有利于提高工作人员积极性，提高居民幸福感、满意度。</w:t>
            </w:r>
          </w:p>
        </w:tc>
        <w:tc>
          <w:tcPr>
            <w:tcW w:w="1987"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该项目保障了</w:t>
            </w:r>
            <w:r>
              <w:rPr>
                <w:rFonts w:hint="default" w:ascii="Times New Roman" w:hAnsi="Times New Roman" w:cs="Times New Roman"/>
                <w:i w:val="0"/>
                <w:iCs w:val="0"/>
                <w:color w:val="000000"/>
                <w:kern w:val="0"/>
                <w:sz w:val="24"/>
                <w:szCs w:val="24"/>
                <w:highlight w:val="none"/>
                <w:u w:val="none"/>
                <w:lang w:val="en-US" w:eastAsia="zh-CN" w:bidi="ar"/>
              </w:rPr>
              <w:t>防控</w:t>
            </w:r>
            <w:r>
              <w:rPr>
                <w:rFonts w:hint="default" w:ascii="Times New Roman" w:hAnsi="Times New Roman" w:eastAsia="宋体" w:cs="Times New Roman"/>
                <w:i w:val="0"/>
                <w:iCs w:val="0"/>
                <w:color w:val="000000"/>
                <w:kern w:val="0"/>
                <w:sz w:val="24"/>
                <w:szCs w:val="24"/>
                <w:highlight w:val="none"/>
                <w:u w:val="none"/>
                <w:lang w:val="en-US" w:eastAsia="zh-CN" w:bidi="ar"/>
              </w:rPr>
              <w:t>期间管委会及各社区食堂增加伙食补助，为1051名防疫一线工作人员提供了健康的食品，每日标准提升为60元/人，平均补助10天，保障防疫工作人员能全心投入工作，更好地为辖区各族群众开展服务。本年财政资金拨款63.06万元，实际支付63.06万元，全年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51" w:type="pct"/>
            <w:tcBorders>
              <w:top w:val="single" w:color="000000" w:sz="4" w:space="0"/>
              <w:left w:val="single" w:color="000000" w:sz="4" w:space="0"/>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473" w:type="pct"/>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465" w:type="pct"/>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662" w:type="pct"/>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411" w:type="pct"/>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498" w:type="pct"/>
            <w:tcBorders>
              <w:top w:val="single" w:color="000000" w:sz="4" w:space="0"/>
              <w:left w:val="nil"/>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376" w:type="pct"/>
            <w:tcBorders>
              <w:top w:val="single" w:color="000000" w:sz="4" w:space="0"/>
              <w:left w:val="single" w:color="000000" w:sz="4" w:space="0"/>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153" w:type="pct"/>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173" w:type="pct"/>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275" w:type="pct"/>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282" w:type="pct"/>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292" w:type="pct"/>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434" w:type="pct"/>
            <w:tcBorders>
              <w:top w:val="single" w:color="000000" w:sz="4" w:space="0"/>
              <w:left w:val="nil"/>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一级指标</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二级指标</w:t>
            </w:r>
          </w:p>
        </w:tc>
        <w:tc>
          <w:tcPr>
            <w:tcW w:w="154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三级指标</w:t>
            </w: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年度指标值</w:t>
            </w:r>
          </w:p>
        </w:tc>
        <w:tc>
          <w:tcPr>
            <w:tcW w:w="3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实际完成值</w:t>
            </w:r>
          </w:p>
        </w:tc>
        <w:tc>
          <w:tcPr>
            <w:tcW w:w="32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分值</w:t>
            </w:r>
          </w:p>
        </w:tc>
        <w:tc>
          <w:tcPr>
            <w:tcW w:w="55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得分</w:t>
            </w:r>
          </w:p>
        </w:tc>
        <w:tc>
          <w:tcPr>
            <w:tcW w:w="72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54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32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5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72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年度绩效指标完成情况</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产出指标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数量指标</w:t>
            </w:r>
          </w:p>
        </w:tc>
        <w:tc>
          <w:tcPr>
            <w:tcW w:w="15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保障人数</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&lt;=1051人</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1051人</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数量指标</w:t>
            </w:r>
          </w:p>
        </w:tc>
        <w:tc>
          <w:tcPr>
            <w:tcW w:w="15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保障天数</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&gt;=10天</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10天</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质量指标</w:t>
            </w:r>
          </w:p>
        </w:tc>
        <w:tc>
          <w:tcPr>
            <w:tcW w:w="15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饭菜合格率</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时效指标</w:t>
            </w:r>
          </w:p>
        </w:tc>
        <w:tc>
          <w:tcPr>
            <w:tcW w:w="15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资金拨付及时性</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&gt;=90%</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成本指标</w:t>
            </w:r>
          </w:p>
        </w:tc>
        <w:tc>
          <w:tcPr>
            <w:tcW w:w="15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人均伙食标准</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=60元/人/天</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60元/人/天</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效益指标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经济效益指标</w:t>
            </w:r>
          </w:p>
        </w:tc>
        <w:tc>
          <w:tcPr>
            <w:tcW w:w="15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4"/>
                <w:szCs w:val="24"/>
                <w:highlight w:val="none"/>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社会效益指标</w:t>
            </w:r>
          </w:p>
        </w:tc>
        <w:tc>
          <w:tcPr>
            <w:tcW w:w="15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提高工作人员后勤保障</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有效提高</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完全达到预期效果</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生态效益指标</w:t>
            </w:r>
          </w:p>
        </w:tc>
        <w:tc>
          <w:tcPr>
            <w:tcW w:w="15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4"/>
                <w:szCs w:val="24"/>
                <w:highlight w:val="none"/>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可持续影响指标</w:t>
            </w:r>
          </w:p>
        </w:tc>
        <w:tc>
          <w:tcPr>
            <w:tcW w:w="15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持续提高工作人员抗疫积极性</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有效提高</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完全达到预期效果</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满意度指标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满意度指标</w:t>
            </w:r>
          </w:p>
        </w:tc>
        <w:tc>
          <w:tcPr>
            <w:tcW w:w="154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工作人员满意度</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&gt;=90%</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65" w:type="pct"/>
            <w:tcBorders>
              <w:top w:val="single" w:color="000000" w:sz="4" w:space="0"/>
              <w:left w:val="single" w:color="000000" w:sz="4" w:space="0"/>
              <w:bottom w:val="single" w:color="000000" w:sz="4" w:space="0"/>
              <w:right w:val="nil"/>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c>
          <w:tcPr>
            <w:tcW w:w="662" w:type="pct"/>
            <w:tcBorders>
              <w:top w:val="single" w:color="000000" w:sz="4" w:space="0"/>
              <w:left w:val="nil"/>
              <w:bottom w:val="single" w:color="000000" w:sz="4" w:space="0"/>
              <w:right w:val="nil"/>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c>
          <w:tcPr>
            <w:tcW w:w="411" w:type="pct"/>
            <w:tcBorders>
              <w:top w:val="single" w:color="000000" w:sz="4" w:space="0"/>
              <w:left w:val="nil"/>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53"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73" w:type="pct"/>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75"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82" w:type="pct"/>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38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总分</w:t>
            </w:r>
          </w:p>
        </w:tc>
        <w:tc>
          <w:tcPr>
            <w:tcW w:w="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100.00分</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0"/>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0"/>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0"/>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0"/>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0"/>
        <w:rPr>
          <w:rFonts w:hint="default" w:ascii="Times New Roman" w:hAnsi="Times New Roman" w:eastAsia="黑体" w:cs="Times New Roman"/>
          <w:sz w:val="32"/>
          <w:szCs w:val="32"/>
          <w:highlight w:val="none"/>
        </w:rPr>
      </w:pPr>
    </w:p>
    <w:tbl>
      <w:tblPr>
        <w:tblStyle w:val="8"/>
        <w:tblW w:w="503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8"/>
        <w:gridCol w:w="401"/>
        <w:gridCol w:w="582"/>
        <w:gridCol w:w="981"/>
        <w:gridCol w:w="1498"/>
        <w:gridCol w:w="251"/>
        <w:gridCol w:w="735"/>
        <w:gridCol w:w="1222"/>
        <w:gridCol w:w="240"/>
        <w:gridCol w:w="480"/>
        <w:gridCol w:w="184"/>
        <w:gridCol w:w="52"/>
        <w:gridCol w:w="529"/>
        <w:gridCol w:w="343"/>
        <w:gridCol w:w="52"/>
        <w:gridCol w:w="6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1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2"/>
                <w:szCs w:val="32"/>
                <w:highlight w:val="none"/>
                <w:u w:val="none"/>
              </w:rPr>
            </w:pPr>
            <w:r>
              <w:rPr>
                <w:rFonts w:hint="default" w:ascii="Times New Roman" w:hAnsi="Times New Roman" w:eastAsia="宋体" w:cs="Times New Roman"/>
                <w:b/>
                <w:bCs/>
                <w:i w:val="0"/>
                <w:iCs w:val="0"/>
                <w:color w:val="000000"/>
                <w:kern w:val="0"/>
                <w:sz w:val="32"/>
                <w:szCs w:val="32"/>
                <w:highlight w:val="none"/>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1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4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项目名称</w:t>
            </w:r>
          </w:p>
        </w:tc>
        <w:tc>
          <w:tcPr>
            <w:tcW w:w="4534"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乌财社【2022】179号、228号关于拨付2022年受</w:t>
            </w:r>
            <w:r>
              <w:rPr>
                <w:rFonts w:hint="default" w:ascii="Times New Roman" w:hAnsi="Times New Roman" w:cs="Times New Roman"/>
                <w:i w:val="0"/>
                <w:iCs w:val="0"/>
                <w:color w:val="000000"/>
                <w:kern w:val="0"/>
                <w:sz w:val="24"/>
                <w:szCs w:val="24"/>
                <w:highlight w:val="none"/>
                <w:u w:val="none"/>
                <w:lang w:val="en-US" w:eastAsia="zh-CN" w:bidi="ar"/>
              </w:rPr>
              <w:t>防控</w:t>
            </w:r>
            <w:r>
              <w:rPr>
                <w:rFonts w:hint="default" w:ascii="Times New Roman" w:hAnsi="Times New Roman" w:eastAsia="宋体" w:cs="Times New Roman"/>
                <w:i w:val="0"/>
                <w:iCs w:val="0"/>
                <w:color w:val="000000"/>
                <w:kern w:val="0"/>
                <w:sz w:val="24"/>
                <w:szCs w:val="24"/>
                <w:highlight w:val="none"/>
                <w:u w:val="none"/>
                <w:lang w:val="en-US" w:eastAsia="zh-CN" w:bidi="ar"/>
              </w:rPr>
              <w:t>影响的困难人员一次性救助资金的通知（转移支付）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主管部门</w:t>
            </w:r>
          </w:p>
        </w:tc>
        <w:tc>
          <w:tcPr>
            <w:tcW w:w="236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乌鲁木齐市水磨沟区七纺片区管理委员会</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实施单位</w:t>
            </w:r>
          </w:p>
        </w:tc>
        <w:tc>
          <w:tcPr>
            <w:tcW w:w="1321"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乌鲁木齐市水磨沟区七纺片区管理委员会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6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项目资金</w:t>
            </w:r>
            <w:r>
              <w:rPr>
                <w:rFonts w:hint="default" w:ascii="Times New Roman" w:hAnsi="Times New Roman" w:eastAsia="宋体" w:cs="Times New Roman"/>
                <w:i w:val="0"/>
                <w:iCs w:val="0"/>
                <w:color w:val="000000"/>
                <w:kern w:val="0"/>
                <w:sz w:val="24"/>
                <w:szCs w:val="24"/>
                <w:highlight w:val="none"/>
                <w:u w:val="none"/>
                <w:lang w:val="en-US" w:eastAsia="zh-CN" w:bidi="ar"/>
              </w:rPr>
              <w:br w:type="textWrapping"/>
            </w:r>
            <w:r>
              <w:rPr>
                <w:rFonts w:hint="default" w:ascii="Times New Roman" w:hAnsi="Times New Roman" w:eastAsia="宋体" w:cs="Times New Roman"/>
                <w:i w:val="0"/>
                <w:iCs w:val="0"/>
                <w:color w:val="000000"/>
                <w:kern w:val="0"/>
                <w:sz w:val="24"/>
                <w:szCs w:val="24"/>
                <w:highlight w:val="none"/>
                <w:u w:val="none"/>
                <w:lang w:val="en-US" w:eastAsia="zh-CN" w:bidi="ar"/>
              </w:rPr>
              <w:t>（万元）</w:t>
            </w: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年初预算数</w:t>
            </w: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全年预算数</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全年执行数</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分值</w:t>
            </w:r>
          </w:p>
        </w:tc>
        <w:tc>
          <w:tcPr>
            <w:tcW w:w="5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执行率</w:t>
            </w:r>
          </w:p>
        </w:tc>
        <w:tc>
          <w:tcPr>
            <w:tcW w:w="3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年度资金总额</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0.00</w:t>
            </w: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10.95</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10.95</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5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100.00%</w:t>
            </w:r>
          </w:p>
        </w:tc>
        <w:tc>
          <w:tcPr>
            <w:tcW w:w="3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其中：当年财政拨款</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10.95</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10.95</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5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3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4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上年结转资金</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5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3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4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其他资金</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3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5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3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年度总体目标</w:t>
            </w:r>
          </w:p>
        </w:tc>
        <w:tc>
          <w:tcPr>
            <w:tcW w:w="259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预期目标</w:t>
            </w:r>
          </w:p>
        </w:tc>
        <w:tc>
          <w:tcPr>
            <w:tcW w:w="217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59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该项目用于救助2022年8月10日以来管控期间生活困难家庭，未参加失业保险灵活就业困难人员，乌鲁木齐市拨付资金对该类困难群众进行补助，每户发放300元，共计发放265人，保证资金发放及时，准确，以缓解生活困难，提高困难群众生活水平，提高防控工作效率。确保困难群众满意度大于等于90%。</w:t>
            </w:r>
          </w:p>
        </w:tc>
        <w:tc>
          <w:tcPr>
            <w:tcW w:w="2174"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该项目用于救助2022年8月10日管控期间生活困难家庭，以缓解生活困难，提高困难群众生活水平，提高防控工作效率，累计发放救助的受</w:t>
            </w:r>
            <w:r>
              <w:rPr>
                <w:rFonts w:hint="default" w:ascii="Times New Roman" w:hAnsi="Times New Roman" w:cs="Times New Roman"/>
                <w:i w:val="0"/>
                <w:iCs w:val="0"/>
                <w:color w:val="000000"/>
                <w:kern w:val="0"/>
                <w:sz w:val="24"/>
                <w:szCs w:val="24"/>
                <w:highlight w:val="none"/>
                <w:u w:val="none"/>
                <w:lang w:val="en-US" w:eastAsia="zh-CN" w:bidi="ar"/>
              </w:rPr>
              <w:t>防控</w:t>
            </w:r>
            <w:r>
              <w:rPr>
                <w:rFonts w:hint="default" w:ascii="Times New Roman" w:hAnsi="Times New Roman" w:eastAsia="宋体" w:cs="Times New Roman"/>
                <w:i w:val="0"/>
                <w:iCs w:val="0"/>
                <w:color w:val="000000"/>
                <w:kern w:val="0"/>
                <w:sz w:val="24"/>
                <w:szCs w:val="24"/>
                <w:highlight w:val="none"/>
                <w:u w:val="none"/>
                <w:lang w:val="en-US" w:eastAsia="zh-CN" w:bidi="ar"/>
              </w:rPr>
              <w:t>影响的困难人员265户，未参加失业保险灵活就业困难人员救助100户，发放标准均为每户300元。该项目为市级转移支付资金，财政拨款10.95万元，共计发放补助10.95万元，执行率100%。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33" w:type="pct"/>
            <w:tcBorders>
              <w:top w:val="single" w:color="000000" w:sz="4" w:space="0"/>
              <w:left w:val="single" w:color="000000" w:sz="4" w:space="0"/>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339" w:type="pct"/>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572" w:type="pct"/>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873" w:type="pct"/>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146" w:type="pct"/>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428" w:type="pct"/>
            <w:tcBorders>
              <w:top w:val="single" w:color="000000" w:sz="4" w:space="0"/>
              <w:left w:val="nil"/>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712" w:type="pct"/>
            <w:tcBorders>
              <w:top w:val="single" w:color="000000" w:sz="4" w:space="0"/>
              <w:left w:val="single" w:color="000000" w:sz="4" w:space="0"/>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139" w:type="pct"/>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279" w:type="pct"/>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137" w:type="pct"/>
            <w:gridSpan w:val="2"/>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308" w:type="pct"/>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230" w:type="pct"/>
            <w:gridSpan w:val="2"/>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365" w:type="pct"/>
            <w:tcBorders>
              <w:top w:val="single" w:color="000000" w:sz="4" w:space="0"/>
              <w:left w:val="nil"/>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一级指标</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二级指标</w:t>
            </w:r>
          </w:p>
        </w:tc>
        <w:tc>
          <w:tcPr>
            <w:tcW w:w="159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三级指标</w:t>
            </w:r>
          </w:p>
        </w:tc>
        <w:tc>
          <w:tcPr>
            <w:tcW w:w="4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年度指标值</w:t>
            </w:r>
          </w:p>
        </w:tc>
        <w:tc>
          <w:tcPr>
            <w:tcW w:w="7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实际完成值</w:t>
            </w:r>
          </w:p>
        </w:tc>
        <w:tc>
          <w:tcPr>
            <w:tcW w:w="41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分值</w:t>
            </w:r>
          </w:p>
        </w:tc>
        <w:tc>
          <w:tcPr>
            <w:tcW w:w="44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得分</w:t>
            </w:r>
          </w:p>
        </w:tc>
        <w:tc>
          <w:tcPr>
            <w:tcW w:w="59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5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7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1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59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年度绩效指标完成情况</w:t>
            </w: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产出指标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数量指标</w:t>
            </w:r>
          </w:p>
        </w:tc>
        <w:tc>
          <w:tcPr>
            <w:tcW w:w="15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发放救助的受</w:t>
            </w:r>
            <w:r>
              <w:rPr>
                <w:rFonts w:hint="default" w:ascii="Times New Roman" w:hAnsi="Times New Roman" w:cs="Times New Roman"/>
                <w:i w:val="0"/>
                <w:iCs w:val="0"/>
                <w:color w:val="000000"/>
                <w:kern w:val="0"/>
                <w:sz w:val="24"/>
                <w:szCs w:val="24"/>
                <w:highlight w:val="none"/>
                <w:u w:val="none"/>
                <w:lang w:val="en-US" w:eastAsia="zh-CN" w:bidi="ar"/>
              </w:rPr>
              <w:t>防控</w:t>
            </w:r>
            <w:r>
              <w:rPr>
                <w:rFonts w:hint="default" w:ascii="Times New Roman" w:hAnsi="Times New Roman" w:eastAsia="宋体" w:cs="Times New Roman"/>
                <w:i w:val="0"/>
                <w:iCs w:val="0"/>
                <w:color w:val="000000"/>
                <w:kern w:val="0"/>
                <w:sz w:val="24"/>
                <w:szCs w:val="24"/>
                <w:highlight w:val="none"/>
                <w:u w:val="none"/>
                <w:lang w:val="en-US" w:eastAsia="zh-CN" w:bidi="ar"/>
              </w:rPr>
              <w:t>影响的困难人员人数</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=265人</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265人</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4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数量指标</w:t>
            </w:r>
          </w:p>
        </w:tc>
        <w:tc>
          <w:tcPr>
            <w:tcW w:w="15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发放生活困难人员救助人数</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=100人</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100人</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4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质量指标</w:t>
            </w:r>
          </w:p>
        </w:tc>
        <w:tc>
          <w:tcPr>
            <w:tcW w:w="15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补助发放准确率</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&gt;=95%</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4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时效指标</w:t>
            </w:r>
          </w:p>
        </w:tc>
        <w:tc>
          <w:tcPr>
            <w:tcW w:w="15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补助发放及时率</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&gt;=95%</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4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成本指标</w:t>
            </w:r>
          </w:p>
        </w:tc>
        <w:tc>
          <w:tcPr>
            <w:tcW w:w="15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人均发放标准</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=300元/人</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300元/人</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4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效益指标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经济效益指标</w:t>
            </w:r>
          </w:p>
        </w:tc>
        <w:tc>
          <w:tcPr>
            <w:tcW w:w="15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4"/>
                <w:szCs w:val="24"/>
                <w:highlight w:val="none"/>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社会效益指标</w:t>
            </w:r>
          </w:p>
        </w:tc>
        <w:tc>
          <w:tcPr>
            <w:tcW w:w="15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提高困难群众生活水平</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有效提高</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完全达到预期效果</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4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生态效益指标</w:t>
            </w:r>
          </w:p>
        </w:tc>
        <w:tc>
          <w:tcPr>
            <w:tcW w:w="15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4"/>
                <w:szCs w:val="24"/>
                <w:highlight w:val="none"/>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可持续影响指标</w:t>
            </w:r>
          </w:p>
        </w:tc>
        <w:tc>
          <w:tcPr>
            <w:tcW w:w="15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持续提高困难人员生活保障</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有效提高</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完全达到预期效果</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4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满意度指标</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满意度指标</w:t>
            </w:r>
          </w:p>
        </w:tc>
        <w:tc>
          <w:tcPr>
            <w:tcW w:w="15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受补助困难人员满意度</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&gt;=90%</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4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572" w:type="pct"/>
            <w:tcBorders>
              <w:top w:val="single" w:color="000000" w:sz="4" w:space="0"/>
              <w:left w:val="single" w:color="000000" w:sz="4" w:space="0"/>
              <w:bottom w:val="single" w:color="000000" w:sz="4" w:space="0"/>
              <w:right w:val="nil"/>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c>
          <w:tcPr>
            <w:tcW w:w="873" w:type="pct"/>
            <w:tcBorders>
              <w:top w:val="single" w:color="000000" w:sz="4" w:space="0"/>
              <w:left w:val="nil"/>
              <w:bottom w:val="single" w:color="000000" w:sz="4" w:space="0"/>
              <w:right w:val="nil"/>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c>
          <w:tcPr>
            <w:tcW w:w="146" w:type="pct"/>
            <w:tcBorders>
              <w:top w:val="single" w:color="000000" w:sz="4" w:space="0"/>
              <w:left w:val="nil"/>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39"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79" w:type="pct"/>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37" w:type="pct"/>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308" w:type="pct"/>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3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53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总分</w:t>
            </w:r>
          </w:p>
        </w:tc>
        <w:tc>
          <w:tcPr>
            <w:tcW w:w="4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4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100.00分</w:t>
            </w:r>
          </w:p>
        </w:tc>
        <w:tc>
          <w:tcPr>
            <w:tcW w:w="5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0"/>
        <w:rPr>
          <w:rFonts w:hint="default" w:ascii="Times New Roman" w:hAnsi="Times New Roman" w:eastAsia="黑体" w:cs="Times New Roman"/>
          <w:sz w:val="32"/>
          <w:szCs w:val="32"/>
          <w:highlight w:val="none"/>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4"/>
        <w:gridCol w:w="426"/>
        <w:gridCol w:w="424"/>
        <w:gridCol w:w="1239"/>
        <w:gridCol w:w="998"/>
        <w:gridCol w:w="240"/>
        <w:gridCol w:w="705"/>
        <w:gridCol w:w="795"/>
        <w:gridCol w:w="1059"/>
        <w:gridCol w:w="240"/>
        <w:gridCol w:w="287"/>
        <w:gridCol w:w="240"/>
        <w:gridCol w:w="756"/>
        <w:gridCol w:w="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2"/>
                <w:szCs w:val="32"/>
                <w:highlight w:val="none"/>
                <w:u w:val="none"/>
              </w:rPr>
            </w:pPr>
            <w:r>
              <w:rPr>
                <w:rFonts w:hint="default" w:ascii="Times New Roman" w:hAnsi="Times New Roman" w:eastAsia="宋体" w:cs="Times New Roman"/>
                <w:b/>
                <w:bCs/>
                <w:i w:val="0"/>
                <w:iCs w:val="0"/>
                <w:color w:val="000000"/>
                <w:kern w:val="0"/>
                <w:sz w:val="32"/>
                <w:szCs w:val="32"/>
                <w:highlight w:val="none"/>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4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项目名称</w:t>
            </w:r>
          </w:p>
        </w:tc>
        <w:tc>
          <w:tcPr>
            <w:tcW w:w="4501"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乌财社【2022】313号关于拨付2022年第七十七批防控补助资金的通知（转移支付）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主管部门</w:t>
            </w:r>
          </w:p>
        </w:tc>
        <w:tc>
          <w:tcPr>
            <w:tcW w:w="211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乌鲁木齐市水磨沟区七纺片区管理委员会</w:t>
            </w:r>
          </w:p>
        </w:tc>
        <w:tc>
          <w:tcPr>
            <w:tcW w:w="10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实施单位</w:t>
            </w:r>
          </w:p>
        </w:tc>
        <w:tc>
          <w:tcPr>
            <w:tcW w:w="129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乌鲁木齐市水磨沟区七纺片区管理委员会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49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项目资金</w:t>
            </w:r>
            <w:r>
              <w:rPr>
                <w:rFonts w:hint="default" w:ascii="Times New Roman" w:hAnsi="Times New Roman" w:eastAsia="宋体" w:cs="Times New Roman"/>
                <w:i w:val="0"/>
                <w:iCs w:val="0"/>
                <w:color w:val="000000"/>
                <w:kern w:val="0"/>
                <w:sz w:val="24"/>
                <w:szCs w:val="24"/>
                <w:highlight w:val="none"/>
                <w:u w:val="none"/>
                <w:lang w:val="en-US" w:eastAsia="zh-CN" w:bidi="ar"/>
              </w:rPr>
              <w:br w:type="textWrapping"/>
            </w:r>
            <w:r>
              <w:rPr>
                <w:rFonts w:hint="default" w:ascii="Times New Roman" w:hAnsi="Times New Roman" w:eastAsia="宋体" w:cs="Times New Roman"/>
                <w:i w:val="0"/>
                <w:iCs w:val="0"/>
                <w:color w:val="000000"/>
                <w:kern w:val="0"/>
                <w:sz w:val="24"/>
                <w:szCs w:val="24"/>
                <w:highlight w:val="none"/>
                <w:u w:val="none"/>
                <w:lang w:val="en-US" w:eastAsia="zh-CN" w:bidi="ar"/>
              </w:rPr>
              <w:t>（万元）</w:t>
            </w:r>
          </w:p>
        </w:tc>
        <w:tc>
          <w:tcPr>
            <w:tcW w:w="9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年初预算数</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全年预算数</w:t>
            </w:r>
          </w:p>
        </w:tc>
        <w:tc>
          <w:tcPr>
            <w:tcW w:w="10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全年执行数</w:t>
            </w:r>
          </w:p>
        </w:tc>
        <w:tc>
          <w:tcPr>
            <w:tcW w:w="3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分值</w:t>
            </w: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执行率</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49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9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年度资金总额</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0.00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8.88</w:t>
            </w:r>
          </w:p>
        </w:tc>
        <w:tc>
          <w:tcPr>
            <w:tcW w:w="10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8.88</w:t>
            </w:r>
          </w:p>
        </w:tc>
        <w:tc>
          <w:tcPr>
            <w:tcW w:w="3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100.00%</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9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9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其中：当年财政拨款</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8.88</w:t>
            </w:r>
          </w:p>
        </w:tc>
        <w:tc>
          <w:tcPr>
            <w:tcW w:w="10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8.88</w:t>
            </w:r>
          </w:p>
        </w:tc>
        <w:tc>
          <w:tcPr>
            <w:tcW w:w="3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9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9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上年结转资金</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10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3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49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9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  其他资金</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10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3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5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年度总体目标</w:t>
            </w:r>
          </w:p>
        </w:tc>
        <w:tc>
          <w:tcPr>
            <w:tcW w:w="236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预期目标</w:t>
            </w:r>
          </w:p>
        </w:tc>
        <w:tc>
          <w:tcPr>
            <w:tcW w:w="238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36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该项目用于保障防疫工作的顺利、有效开展，防控补助经费共计拨款50万元，保障12个社区及街道防疫工作提高防疫工作效率，有利于辖区居民更好的配合基层防疫工作，确保方舱隔离点后勤保障到位，提高居民满意度。</w:t>
            </w:r>
          </w:p>
        </w:tc>
        <w:tc>
          <w:tcPr>
            <w:tcW w:w="238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该项目该项目为市级转移支付资金，用于保障2022年8月10日以来防疫工作的顺利、有效开展，防控补助经费共计拨款50万元，保障12个社区及街道防疫工作提高防疫工作效率，有利于辖区居民更好的配合基层防疫工作，提高了工作人员为服务居民的积极性，持续提高了辖区居民生活幸福感，为打赢这场防控攻坚战奠定了坚实的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49" w:type="pct"/>
            <w:tcBorders>
              <w:top w:val="single" w:color="000000" w:sz="4" w:space="0"/>
              <w:left w:val="single" w:color="000000" w:sz="4" w:space="0"/>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248" w:type="pct"/>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726" w:type="pct"/>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585" w:type="pct"/>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140" w:type="pct"/>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413" w:type="pct"/>
            <w:tcBorders>
              <w:top w:val="single" w:color="000000" w:sz="4" w:space="0"/>
              <w:left w:val="nil"/>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466" w:type="pct"/>
            <w:tcBorders>
              <w:top w:val="single" w:color="000000" w:sz="4" w:space="0"/>
              <w:left w:val="single" w:color="000000" w:sz="4" w:space="0"/>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621" w:type="pct"/>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140" w:type="pct"/>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168" w:type="pct"/>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140" w:type="pct"/>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443" w:type="pct"/>
            <w:tcBorders>
              <w:top w:val="single" w:color="000000" w:sz="4" w:space="0"/>
              <w:left w:val="nil"/>
              <w:bottom w:val="single" w:color="000000" w:sz="4" w:space="0"/>
              <w:right w:val="nil"/>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c>
          <w:tcPr>
            <w:tcW w:w="404" w:type="pct"/>
            <w:tcBorders>
              <w:top w:val="single" w:color="000000" w:sz="4" w:space="0"/>
              <w:left w:val="nil"/>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一级指标</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二级指标</w:t>
            </w:r>
          </w:p>
        </w:tc>
        <w:tc>
          <w:tcPr>
            <w:tcW w:w="145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三级指标</w:t>
            </w:r>
          </w:p>
        </w:tc>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年度指标值</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实际完成值</w:t>
            </w:r>
          </w:p>
        </w:tc>
        <w:tc>
          <w:tcPr>
            <w:tcW w:w="76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分值</w:t>
            </w:r>
          </w:p>
        </w:tc>
        <w:tc>
          <w:tcPr>
            <w:tcW w:w="3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得分</w:t>
            </w:r>
          </w:p>
        </w:tc>
        <w:tc>
          <w:tcPr>
            <w:tcW w:w="84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45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76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3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84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年度绩效指标完成情况</w:t>
            </w:r>
          </w:p>
        </w:tc>
        <w:tc>
          <w:tcPr>
            <w:tcW w:w="2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产出指标</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数量指标</w:t>
            </w:r>
          </w:p>
        </w:tc>
        <w:tc>
          <w:tcPr>
            <w:tcW w:w="145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保障防疫工作社区数量</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=12个</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12个</w:t>
            </w: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3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质量指标</w:t>
            </w:r>
          </w:p>
        </w:tc>
        <w:tc>
          <w:tcPr>
            <w:tcW w:w="145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资金到位准确性</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&gt;=90%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3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时效指标</w:t>
            </w:r>
          </w:p>
        </w:tc>
        <w:tc>
          <w:tcPr>
            <w:tcW w:w="145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资金到位及时性</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&gt;=90%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50%</w:t>
            </w: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3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5.56</w:t>
            </w: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该项目拨款时间为2022年末，临近扎帐，未能及时支付，资金到位及时程度业绩值比预设目标指标低。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成本指标</w:t>
            </w:r>
          </w:p>
        </w:tc>
        <w:tc>
          <w:tcPr>
            <w:tcW w:w="145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平均每个社区防疫资金分配标准</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&lt;=4.16万元</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0.74万元</w:t>
            </w: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3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w:t>
            </w: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受拨款时间较晚影响，导致各社区未能按原计划完成防疫资金支付。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效益指标</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经济效益指标</w:t>
            </w:r>
          </w:p>
        </w:tc>
        <w:tc>
          <w:tcPr>
            <w:tcW w:w="145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4"/>
                <w:szCs w:val="24"/>
                <w:highlight w:val="none"/>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3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社会效益指标</w:t>
            </w:r>
          </w:p>
        </w:tc>
        <w:tc>
          <w:tcPr>
            <w:tcW w:w="145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提高居民配合防疫工作积极性</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有效提高</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基本达到预期效果</w:t>
            </w: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3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w:t>
            </w: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该项目拨款时间为2022年末，受拨款时间较晚影响，实际未能按原计划提高居民配合防疫工作积极性的预期效果，因此预设的效益指标存在较大偏差。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生态效益指标</w:t>
            </w:r>
          </w:p>
        </w:tc>
        <w:tc>
          <w:tcPr>
            <w:tcW w:w="145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4"/>
                <w:szCs w:val="24"/>
                <w:highlight w:val="none"/>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3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可持续影响指标</w:t>
            </w:r>
          </w:p>
        </w:tc>
        <w:tc>
          <w:tcPr>
            <w:tcW w:w="145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持续提高辖区居民生活幸福感</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有效提高</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基本达到预期效果</w:t>
            </w: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3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w:t>
            </w: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该项目拨款时间为2022年末，受拨款时间较晚影响，实际未能按原计划持续提高辖区居民生活幸福感，因此预设的效益指标存在较大偏差。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满意度指标</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满意度指标</w:t>
            </w:r>
          </w:p>
        </w:tc>
        <w:tc>
          <w:tcPr>
            <w:tcW w:w="145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居民满意度</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&gt;=90%</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3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726" w:type="pct"/>
            <w:tcBorders>
              <w:top w:val="single" w:color="000000" w:sz="4" w:space="0"/>
              <w:left w:val="single" w:color="000000" w:sz="4" w:space="0"/>
              <w:bottom w:val="single" w:color="000000" w:sz="4" w:space="0"/>
              <w:right w:val="nil"/>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c>
          <w:tcPr>
            <w:tcW w:w="585" w:type="pct"/>
            <w:tcBorders>
              <w:top w:val="single" w:color="000000" w:sz="4" w:space="0"/>
              <w:left w:val="nil"/>
              <w:bottom w:val="single" w:color="000000" w:sz="4" w:space="0"/>
              <w:right w:val="nil"/>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c>
          <w:tcPr>
            <w:tcW w:w="140" w:type="pct"/>
            <w:tcBorders>
              <w:top w:val="single" w:color="000000" w:sz="4" w:space="0"/>
              <w:left w:val="nil"/>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4"/>
                <w:szCs w:val="24"/>
                <w:highlight w:val="none"/>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621"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40" w:type="pct"/>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68" w:type="pc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140" w:type="pct"/>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08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总分</w:t>
            </w: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w:t>
            </w:r>
          </w:p>
        </w:tc>
        <w:tc>
          <w:tcPr>
            <w:tcW w:w="3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81.36分</w:t>
            </w: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highlight w:val="none"/>
                <w:u w:val="none"/>
              </w:rPr>
            </w:pP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0"/>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第三部分 专业名词解释</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财政拨款收入：指同级财政当年拨付的资金。</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上级补助收入：指事业单位从主管部门和上级单位取得的非财政补助收入。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事业收入：指事业单位开展专业业务活动及其辅助活动所取得的收入。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附属单位上缴收入：指事业单位附属的独立核算单位按有关规定上缴的收入。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其他收入：指除上述“财政拨款收入”、“事业收入”、“经营收入”、“附属单位上缴收入”等之外取得的收入。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年初</w:t>
      </w:r>
      <w:r>
        <w:rPr>
          <w:rFonts w:hint="default" w:ascii="Times New Roman" w:hAnsi="Times New Roman" w:eastAsia="仿宋_GB2312" w:cs="Times New Roman"/>
          <w:sz w:val="32"/>
          <w:szCs w:val="32"/>
          <w:highlight w:val="none"/>
        </w:rPr>
        <w:t>结转和结余：指以前年度支出预算因客观条件变化未执行完毕、结转到本年度按有关规定继续使用的资金，既包括财政拨款结转和结余，也包括事业收入、经营收入、其他收入的结转和结余。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对附属单位补助支出：指事业单位发生的用非财政预算资金对附属单位的补助支出。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“三公”经费：指用财政拨款安排的因公出国（境）费、公务用车购置及运行费和公务接待费。其中，因公出国（境）费反映单位公务出国（境）的</w:t>
      </w:r>
      <w:r>
        <w:rPr>
          <w:rFonts w:hint="default" w:ascii="Times New Roman" w:hAnsi="Times New Roman" w:eastAsia="仿宋_GB2312" w:cs="Times New Roman"/>
          <w:sz w:val="32"/>
          <w:szCs w:val="32"/>
          <w:highlight w:val="none"/>
          <w:lang w:eastAsia="zh-CN"/>
        </w:rPr>
        <w:t>国际旅费、国外城市间交通费、</w:t>
      </w:r>
      <w:r>
        <w:rPr>
          <w:rFonts w:hint="default" w:ascii="Times New Roman" w:hAnsi="Times New Roman" w:eastAsia="仿宋_GB2312" w:cs="Times New Roman"/>
          <w:sz w:val="32"/>
          <w:szCs w:val="32"/>
          <w:highlight w:val="none"/>
        </w:rPr>
        <w:t>住宿费、伙食费、培训费、</w:t>
      </w:r>
      <w:r>
        <w:rPr>
          <w:rFonts w:hint="default" w:ascii="Times New Roman" w:hAnsi="Times New Roman" w:eastAsia="仿宋_GB2312" w:cs="Times New Roman"/>
          <w:sz w:val="32"/>
          <w:szCs w:val="32"/>
          <w:highlight w:val="none"/>
          <w:lang w:eastAsia="zh-CN"/>
        </w:rPr>
        <w:t>公</w:t>
      </w:r>
      <w:r>
        <w:rPr>
          <w:rFonts w:hint="default" w:ascii="Times New Roman" w:hAnsi="Times New Roman" w:eastAsia="仿宋_GB2312" w:cs="Times New Roman"/>
          <w:sz w:val="32"/>
          <w:szCs w:val="32"/>
          <w:highlight w:val="none"/>
        </w:rPr>
        <w:t>杂费等支出；公务用车购置费</w:t>
      </w:r>
      <w:r>
        <w:rPr>
          <w:rFonts w:hint="default" w:ascii="Times New Roman" w:hAnsi="Times New Roman" w:eastAsia="仿宋_GB2312" w:cs="Times New Roman"/>
          <w:sz w:val="32"/>
          <w:szCs w:val="32"/>
          <w:highlight w:val="none"/>
          <w:lang w:eastAsia="zh-CN"/>
        </w:rPr>
        <w:t>反映公务用车购置支出（含车辆购置税、牌照费）；</w:t>
      </w:r>
      <w:r>
        <w:rPr>
          <w:rFonts w:hint="default" w:ascii="Times New Roman" w:hAnsi="Times New Roman" w:eastAsia="仿宋_GB2312" w:cs="Times New Roman"/>
          <w:sz w:val="32"/>
          <w:szCs w:val="32"/>
          <w:highlight w:val="none"/>
        </w:rPr>
        <w:t>公务用车运行</w:t>
      </w:r>
      <w:r>
        <w:rPr>
          <w:rFonts w:hint="default" w:ascii="Times New Roman" w:hAnsi="Times New Roman" w:eastAsia="仿宋_GB2312" w:cs="Times New Roman"/>
          <w:sz w:val="32"/>
          <w:szCs w:val="32"/>
          <w:highlight w:val="none"/>
          <w:lang w:eastAsia="zh-CN"/>
        </w:rPr>
        <w:t>维护</w:t>
      </w:r>
      <w:r>
        <w:rPr>
          <w:rFonts w:hint="default" w:ascii="Times New Roman" w:hAnsi="Times New Roman" w:eastAsia="仿宋_GB2312" w:cs="Times New Roman"/>
          <w:sz w:val="32"/>
          <w:szCs w:val="32"/>
          <w:highlight w:val="none"/>
        </w:rPr>
        <w:t>费反映</w:t>
      </w:r>
      <w:r>
        <w:rPr>
          <w:rFonts w:hint="default" w:ascii="Times New Roman" w:hAnsi="Times New Roman" w:eastAsia="仿宋_GB2312" w:cs="Times New Roman"/>
          <w:sz w:val="32"/>
          <w:szCs w:val="32"/>
          <w:highlight w:val="none"/>
          <w:lang w:eastAsia="zh-CN"/>
        </w:rPr>
        <w:t>单位按规定保留的公务用车燃料费、维修费、</w:t>
      </w:r>
      <w:r>
        <w:rPr>
          <w:rFonts w:hint="default" w:ascii="Times New Roman" w:hAnsi="Times New Roman" w:eastAsia="仿宋_GB2312" w:cs="Times New Roman"/>
          <w:sz w:val="32"/>
          <w:szCs w:val="32"/>
          <w:highlight w:val="none"/>
        </w:rPr>
        <w:t>过路过桥费、保险费、安全奖励费用等支出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公务接待费反映单位按规定开支的各类公务接待（含外宾接待）</w:t>
      </w:r>
      <w:r>
        <w:rPr>
          <w:rFonts w:hint="default" w:ascii="Times New Roman" w:hAnsi="Times New Roman" w:eastAsia="仿宋_GB2312" w:cs="Times New Roman"/>
          <w:sz w:val="32"/>
          <w:szCs w:val="32"/>
          <w:highlight w:val="none"/>
          <w:lang w:eastAsia="zh-CN"/>
        </w:rPr>
        <w:t>费用</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机关运行经费：行政单位和参照公务员法管理的事业单位财政拨款基本支出中的公用经费支出。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第四部分 部门决算报表（见附表）</w:t>
      </w:r>
      <w:bookmarkEnd w:id="36"/>
      <w:bookmarkEnd w:id="3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kern w:val="0"/>
          <w:sz w:val="32"/>
          <w:szCs w:val="32"/>
          <w:highlight w:val="none"/>
        </w:rPr>
      </w:pPr>
      <w:bookmarkStart w:id="38" w:name="_Toc2183"/>
      <w:bookmarkStart w:id="39" w:name="_Toc6062"/>
      <w:r>
        <w:rPr>
          <w:rFonts w:hint="default" w:ascii="Times New Roman" w:hAnsi="Times New Roman" w:eastAsia="黑体" w:cs="Times New Roman"/>
          <w:bCs/>
          <w:kern w:val="0"/>
          <w:sz w:val="32"/>
          <w:szCs w:val="32"/>
          <w:highlight w:val="none"/>
        </w:rPr>
        <w:t>一、《收入支出决算总表》</w:t>
      </w:r>
      <w:bookmarkEnd w:id="38"/>
      <w:bookmarkEnd w:id="3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kern w:val="0"/>
          <w:sz w:val="32"/>
          <w:szCs w:val="32"/>
          <w:highlight w:val="none"/>
        </w:rPr>
      </w:pPr>
      <w:bookmarkStart w:id="40" w:name="_Toc30364"/>
      <w:bookmarkStart w:id="41" w:name="_Toc24532"/>
      <w:r>
        <w:rPr>
          <w:rFonts w:hint="default" w:ascii="Times New Roman" w:hAnsi="Times New Roman" w:eastAsia="黑体" w:cs="Times New Roman"/>
          <w:bCs/>
          <w:kern w:val="0"/>
          <w:sz w:val="32"/>
          <w:szCs w:val="32"/>
          <w:highlight w:val="none"/>
        </w:rPr>
        <w:t>二、《收入决算表》</w:t>
      </w:r>
      <w:bookmarkEnd w:id="40"/>
      <w:bookmarkEnd w:id="4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kern w:val="0"/>
          <w:sz w:val="32"/>
          <w:szCs w:val="32"/>
          <w:highlight w:val="none"/>
        </w:rPr>
      </w:pPr>
      <w:bookmarkStart w:id="42" w:name="_Toc32434"/>
      <w:bookmarkStart w:id="43" w:name="_Toc21304"/>
      <w:r>
        <w:rPr>
          <w:rFonts w:hint="default" w:ascii="Times New Roman" w:hAnsi="Times New Roman" w:eastAsia="黑体" w:cs="Times New Roman"/>
          <w:bCs/>
          <w:kern w:val="0"/>
          <w:sz w:val="32"/>
          <w:szCs w:val="32"/>
          <w:highlight w:val="none"/>
        </w:rPr>
        <w:t>三、《支出决算表》</w:t>
      </w:r>
      <w:bookmarkEnd w:id="42"/>
      <w:bookmarkEnd w:id="4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kern w:val="0"/>
          <w:sz w:val="32"/>
          <w:szCs w:val="32"/>
          <w:highlight w:val="none"/>
        </w:rPr>
      </w:pPr>
      <w:bookmarkStart w:id="44" w:name="_Toc28786"/>
      <w:bookmarkStart w:id="45" w:name="_Toc14238"/>
      <w:r>
        <w:rPr>
          <w:rFonts w:hint="default" w:ascii="Times New Roman" w:hAnsi="Times New Roman" w:eastAsia="黑体" w:cs="Times New Roman"/>
          <w:bCs/>
          <w:kern w:val="0"/>
          <w:sz w:val="32"/>
          <w:szCs w:val="32"/>
          <w:highlight w:val="none"/>
        </w:rPr>
        <w:t>四、《财政拨款收入支出决算总表》</w:t>
      </w:r>
      <w:bookmarkEnd w:id="44"/>
      <w:bookmarkEnd w:id="4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kern w:val="0"/>
          <w:sz w:val="32"/>
          <w:szCs w:val="32"/>
          <w:highlight w:val="none"/>
        </w:rPr>
      </w:pPr>
      <w:bookmarkStart w:id="46" w:name="_Toc14869"/>
      <w:bookmarkStart w:id="47" w:name="_Toc10347"/>
      <w:r>
        <w:rPr>
          <w:rFonts w:hint="default" w:ascii="Times New Roman" w:hAnsi="Times New Roman" w:eastAsia="黑体" w:cs="Times New Roman"/>
          <w:bCs/>
          <w:kern w:val="0"/>
          <w:sz w:val="32"/>
          <w:szCs w:val="32"/>
          <w:highlight w:val="none"/>
        </w:rPr>
        <w:t>五、《一般公共预算财政拨款支出决算表》</w:t>
      </w:r>
      <w:bookmarkEnd w:id="46"/>
      <w:bookmarkEnd w:id="4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kern w:val="0"/>
          <w:sz w:val="32"/>
          <w:szCs w:val="32"/>
          <w:highlight w:val="none"/>
        </w:rPr>
      </w:pPr>
      <w:bookmarkStart w:id="48" w:name="_Toc5626"/>
      <w:bookmarkStart w:id="49" w:name="_Toc8884"/>
      <w:r>
        <w:rPr>
          <w:rFonts w:hint="default" w:ascii="Times New Roman" w:hAnsi="Times New Roman" w:eastAsia="黑体" w:cs="Times New Roman"/>
          <w:bCs/>
          <w:kern w:val="0"/>
          <w:sz w:val="32"/>
          <w:szCs w:val="32"/>
          <w:highlight w:val="none"/>
        </w:rPr>
        <w:t>六、《一般公共预算财政拨款基本支出决算表》</w:t>
      </w:r>
      <w:bookmarkEnd w:id="48"/>
      <w:bookmarkEnd w:id="4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kern w:val="0"/>
          <w:sz w:val="32"/>
          <w:szCs w:val="32"/>
          <w:highlight w:val="none"/>
        </w:rPr>
      </w:pPr>
      <w:r>
        <w:rPr>
          <w:rFonts w:hint="default" w:ascii="Times New Roman" w:hAnsi="Times New Roman" w:eastAsia="黑体" w:cs="Times New Roman"/>
          <w:bCs/>
          <w:kern w:val="0"/>
          <w:sz w:val="32"/>
          <w:szCs w:val="32"/>
          <w:highlight w:val="none"/>
        </w:rPr>
        <w:t>七、</w:t>
      </w:r>
      <w:bookmarkStart w:id="50" w:name="_Toc29106"/>
      <w:bookmarkStart w:id="51" w:name="_Toc32663"/>
      <w:r>
        <w:rPr>
          <w:rFonts w:hint="default" w:ascii="Times New Roman" w:hAnsi="Times New Roman" w:eastAsia="黑体" w:cs="Times New Roman"/>
          <w:bCs/>
          <w:kern w:val="0"/>
          <w:sz w:val="32"/>
          <w:szCs w:val="32"/>
          <w:highlight w:val="none"/>
        </w:rPr>
        <w:t>《财政拨款“三公”经费支出决算表》</w:t>
      </w:r>
      <w:bookmarkEnd w:id="50"/>
      <w:bookmarkEnd w:id="5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kern w:val="0"/>
          <w:sz w:val="32"/>
          <w:szCs w:val="32"/>
          <w:highlight w:val="none"/>
        </w:rPr>
      </w:pPr>
      <w:bookmarkStart w:id="52" w:name="_Toc5453"/>
      <w:bookmarkStart w:id="53" w:name="_Toc7643"/>
      <w:r>
        <w:rPr>
          <w:rFonts w:hint="default" w:ascii="Times New Roman" w:hAnsi="Times New Roman" w:eastAsia="黑体" w:cs="Times New Roman"/>
          <w:bCs/>
          <w:kern w:val="0"/>
          <w:sz w:val="32"/>
          <w:szCs w:val="32"/>
          <w:highlight w:val="none"/>
        </w:rPr>
        <w:t>八、《政府性基金预算财政拨款收入支出决算表》</w:t>
      </w:r>
      <w:bookmarkEnd w:id="52"/>
      <w:bookmarkEnd w:id="5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kern w:val="0"/>
          <w:sz w:val="32"/>
          <w:szCs w:val="32"/>
          <w:highlight w:val="none"/>
        </w:rPr>
      </w:pPr>
      <w:r>
        <w:rPr>
          <w:rFonts w:hint="default" w:ascii="Times New Roman" w:hAnsi="Times New Roman" w:eastAsia="黑体" w:cs="Times New Roman"/>
          <w:bCs/>
          <w:kern w:val="0"/>
          <w:sz w:val="32"/>
          <w:szCs w:val="32"/>
          <w:highlight w:val="none"/>
          <w:lang w:val="en-US" w:eastAsia="zh-CN"/>
        </w:rPr>
        <w:t>九</w:t>
      </w:r>
      <w:r>
        <w:rPr>
          <w:rFonts w:hint="default" w:ascii="Times New Roman" w:hAnsi="Times New Roman" w:eastAsia="黑体" w:cs="Times New Roman"/>
          <w:bCs/>
          <w:kern w:val="0"/>
          <w:sz w:val="32"/>
          <w:szCs w:val="32"/>
          <w:highlight w:val="none"/>
        </w:rPr>
        <w:t>、《</w:t>
      </w:r>
      <w:r>
        <w:rPr>
          <w:rFonts w:hint="default" w:ascii="Times New Roman" w:hAnsi="Times New Roman" w:eastAsia="黑体" w:cs="Times New Roman"/>
          <w:bCs/>
          <w:kern w:val="0"/>
          <w:sz w:val="32"/>
          <w:szCs w:val="32"/>
          <w:highlight w:val="none"/>
          <w:lang w:eastAsia="zh-CN"/>
        </w:rPr>
        <w:t>国有资本经营</w:t>
      </w:r>
      <w:r>
        <w:rPr>
          <w:rFonts w:hint="default" w:ascii="Times New Roman" w:hAnsi="Times New Roman" w:eastAsia="黑体" w:cs="Times New Roman"/>
          <w:bCs/>
          <w:kern w:val="0"/>
          <w:sz w:val="32"/>
          <w:szCs w:val="32"/>
          <w:highlight w:val="none"/>
        </w:rPr>
        <w:t>预算财政拨款收入支出决算表》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黑体" w:cs="Times New Roman"/>
          <w:bCs/>
          <w:kern w:val="0"/>
          <w:sz w:val="32"/>
          <w:szCs w:val="32"/>
          <w:highlight w:val="none"/>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E17B25-0FEA-41D8-AB12-6F8C052CD1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EFBB7301-7364-4F4D-A93D-0F96ABACF054}"/>
  </w:font>
  <w:font w:name="仿宋_GB2312">
    <w:panose1 w:val="02010609030101010101"/>
    <w:charset w:val="86"/>
    <w:family w:val="modern"/>
    <w:pitch w:val="default"/>
    <w:sig w:usb0="00000001" w:usb1="080E0000" w:usb2="00000000" w:usb3="00000000" w:csb0="00040000" w:csb1="00000000"/>
    <w:embedRegular r:id="rId3" w:fontKey="{581DC1BB-30E5-4B78-97B9-5CCFE6D1C670}"/>
  </w:font>
  <w:font w:name="仿宋">
    <w:panose1 w:val="02010609060101010101"/>
    <w:charset w:val="86"/>
    <w:family w:val="auto"/>
    <w:pitch w:val="default"/>
    <w:sig w:usb0="800002BF" w:usb1="38CF7CFA" w:usb2="00000016" w:usb3="00000000" w:csb0="00040001" w:csb1="00000000"/>
    <w:embedRegular r:id="rId4" w:fontKey="{1F2008FC-3274-44E4-BB0D-5105D6A7AC8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4NjEzNjE0ZTlhYzdkNWYzMTk3MGNlZGYyNjFlNjIifQ=="/>
  </w:docVars>
  <w:rsids>
    <w:rsidRoot w:val="00000000"/>
    <w:rsid w:val="02A0206A"/>
    <w:rsid w:val="02F73D26"/>
    <w:rsid w:val="034D4FEF"/>
    <w:rsid w:val="03DB6861"/>
    <w:rsid w:val="043E5B56"/>
    <w:rsid w:val="06792773"/>
    <w:rsid w:val="0A7B4867"/>
    <w:rsid w:val="0B8C3ECC"/>
    <w:rsid w:val="0BBD162A"/>
    <w:rsid w:val="0C7227A7"/>
    <w:rsid w:val="0FE73439"/>
    <w:rsid w:val="12380A2C"/>
    <w:rsid w:val="13DE79F2"/>
    <w:rsid w:val="144C1B97"/>
    <w:rsid w:val="16797F90"/>
    <w:rsid w:val="1DAF458D"/>
    <w:rsid w:val="20DD6197"/>
    <w:rsid w:val="23BC04D2"/>
    <w:rsid w:val="24E4157D"/>
    <w:rsid w:val="26515B56"/>
    <w:rsid w:val="27A92F59"/>
    <w:rsid w:val="27CF2642"/>
    <w:rsid w:val="2A053397"/>
    <w:rsid w:val="2D1136DF"/>
    <w:rsid w:val="2FD27414"/>
    <w:rsid w:val="31454CE9"/>
    <w:rsid w:val="31614D0C"/>
    <w:rsid w:val="31C63837"/>
    <w:rsid w:val="33226E62"/>
    <w:rsid w:val="3914510A"/>
    <w:rsid w:val="3D5275AC"/>
    <w:rsid w:val="40834692"/>
    <w:rsid w:val="42680186"/>
    <w:rsid w:val="453337D9"/>
    <w:rsid w:val="46901EEE"/>
    <w:rsid w:val="469C74D2"/>
    <w:rsid w:val="47F21504"/>
    <w:rsid w:val="4B4C0111"/>
    <w:rsid w:val="50BA2368"/>
    <w:rsid w:val="50DB5F45"/>
    <w:rsid w:val="51976876"/>
    <w:rsid w:val="52F92565"/>
    <w:rsid w:val="583059FA"/>
    <w:rsid w:val="5FA17648"/>
    <w:rsid w:val="61A46A97"/>
    <w:rsid w:val="62DD7D21"/>
    <w:rsid w:val="63E35319"/>
    <w:rsid w:val="64762F7A"/>
    <w:rsid w:val="65D97752"/>
    <w:rsid w:val="68DB0208"/>
    <w:rsid w:val="69AD798C"/>
    <w:rsid w:val="6B68175F"/>
    <w:rsid w:val="6E0F7A08"/>
    <w:rsid w:val="71473612"/>
    <w:rsid w:val="718F7F65"/>
    <w:rsid w:val="721A6795"/>
    <w:rsid w:val="73FB6630"/>
    <w:rsid w:val="74E76DCD"/>
    <w:rsid w:val="77ED6F44"/>
    <w:rsid w:val="787A18D2"/>
    <w:rsid w:val="7E0D2A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customStyle="1" w:styleId="10">
    <w:name w:val="WPSOffice手动目录 3"/>
    <w:qFormat/>
    <w:uiPriority w:val="0"/>
    <w:pPr>
      <w:ind w:leftChars="400"/>
    </w:pPr>
    <w:rPr>
      <w:rFonts w:ascii="Times New Roman" w:hAnsi="Times New Roman" w:eastAsia="宋体" w:cs="Times New Roman"/>
      <w:sz w:val="20"/>
      <w:szCs w:val="20"/>
    </w:rPr>
  </w:style>
  <w:style w:type="paragraph" w:customStyle="1" w:styleId="11">
    <w:name w:val="WPSOffice手动目录 2"/>
    <w:qFormat/>
    <w:uiPriority w:val="0"/>
    <w:pPr>
      <w:ind w:leftChars="200"/>
    </w:pPr>
    <w:rPr>
      <w:rFonts w:ascii="Times New Roman" w:hAnsi="Times New Roman" w:eastAsia="宋体" w:cs="Times New Roman"/>
      <w:sz w:val="20"/>
      <w:szCs w:val="20"/>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10798</Words>
  <Characters>12159</Characters>
  <Lines>0</Lines>
  <Paragraphs>0</Paragraphs>
  <TotalTime>177</TotalTime>
  <ScaleCrop>false</ScaleCrop>
  <LinksUpToDate>false</LinksUpToDate>
  <CharactersWithSpaces>12215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卡师夫</cp:lastModifiedBy>
  <dcterms:modified xsi:type="dcterms:W3CDTF">2024-02-18T10:28:48Z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A63F04B84EC549F6BD9B81EB440E2F81_13</vt:lpwstr>
  </property>
</Properties>
</file>