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240" w:lineRule="auto"/>
        <w:textAlignment w:val="auto"/>
        <w:rPr>
          <w:rFonts w:ascii="黑体" w:hAnsi="黑体" w:eastAsia="黑体"/>
          <w:sz w:val="32"/>
          <w:szCs w:val="32"/>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乌鲁木齐市水磨沟区苇湖梁片区管委会2022</w:t>
      </w:r>
      <w:r>
        <w:rPr>
          <w:rFonts w:hint="eastAsia" w:ascii="方正小标宋_GBK" w:hAnsi="宋体" w:eastAsia="方正小标宋_GBK"/>
          <w:sz w:val="44"/>
          <w:szCs w:val="44"/>
          <w:highlight w:val="none"/>
        </w:rPr>
        <w:t>年度部门决算</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_Toc32314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_Toc30567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_Toc29374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第二部分 部门决算情况说明</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_Toc25314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_Toc12142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_Toc13201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_Toc26564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_Toc20360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_Toc30870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七</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pPr>
        <w:rPr>
          <w:rFonts w:hint="eastAsia"/>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_Toc1235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_Toc14519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机关运行经费支出情况</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_Toc8391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_Toc11283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_Toc3250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第三部分 专业名词解释</w:t>
      </w:r>
      <w:r>
        <w:rPr>
          <w:rFonts w:hint="eastAsia" w:ascii="仿宋_GB2312" w:hAnsi="仿宋_GB2312" w:eastAsia="仿宋_GB2312" w:cs="仿宋_GB2312"/>
          <w:b/>
          <w:bCs/>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_Toc22784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_Toc24532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_Toc32434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_Toc28786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_Toc14869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_Toc29106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七、《财政拨款“三公”经费支出决算表》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fldChar w:fldCharType="begin"/>
      </w:r>
      <w:r>
        <w:rPr>
          <w:rFonts w:hint="eastAsia" w:ascii="仿宋_GB2312" w:hAnsi="仿宋_GB2312" w:eastAsia="仿宋_GB2312" w:cs="仿宋_GB2312"/>
          <w:bCs/>
          <w:kern w:val="0"/>
          <w:sz w:val="32"/>
          <w:szCs w:val="32"/>
          <w:highlight w:val="none"/>
        </w:rPr>
        <w:instrText xml:space="preserve"> HYPERLINK \l _Toc7643 </w:instrText>
      </w:r>
      <w:r>
        <w:rPr>
          <w:rFonts w:hint="eastAsia" w:ascii="仿宋_GB2312" w:hAnsi="仿宋_GB2312" w:eastAsia="仿宋_GB2312" w:cs="仿宋_GB2312"/>
          <w:bCs/>
          <w:kern w:val="0"/>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rPr>
        <w:t>《政府性基金预算财政拨款收入支出决算表》</w:t>
      </w:r>
      <w:r>
        <w:rPr>
          <w:rFonts w:hint="eastAsia" w:ascii="仿宋_GB2312" w:hAnsi="仿宋_GB2312" w:eastAsia="仿宋_GB2312" w:cs="仿宋_GB2312"/>
          <w:bCs/>
          <w:kern w:val="0"/>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bCs/>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jc w:val="both"/>
        <w:textAlignment w:val="auto"/>
        <w:rPr>
          <w:highlight w:val="none"/>
        </w:rPr>
      </w:pPr>
      <w:r>
        <w:rPr>
          <w:rFonts w:hint="eastAsia" w:ascii="仿宋_GB2312" w:hAnsi="仿宋_GB2312" w:eastAsia="仿宋_GB2312" w:cs="仿宋_GB2312"/>
          <w:sz w:val="32"/>
          <w:szCs w:val="32"/>
          <w:highlight w:val="none"/>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仿宋_GB2312" w:eastAsia="仿宋_GB2312"/>
          <w:sz w:val="32"/>
          <w:szCs w:val="32"/>
          <w:highlight w:val="none"/>
        </w:rPr>
        <w:br w:type="page"/>
      </w:r>
      <w:bookmarkStart w:id="0" w:name="_Toc32314"/>
      <w:bookmarkStart w:id="1" w:name="_Toc24028"/>
      <w:r>
        <w:rPr>
          <w:rFonts w:hint="eastAsia" w:ascii="黑体" w:hAnsi="黑体" w:eastAsia="黑体"/>
          <w:sz w:val="32"/>
          <w:szCs w:val="32"/>
          <w:highlight w:val="none"/>
        </w:rPr>
        <w:t>第一部分 单位概况</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ascii="黑体" w:hAnsi="黑体" w:eastAsia="黑体" w:cs="宋体"/>
          <w:bCs/>
          <w:kern w:val="0"/>
          <w:sz w:val="32"/>
          <w:szCs w:val="32"/>
          <w:highlight w:val="none"/>
        </w:rPr>
      </w:pPr>
      <w:bookmarkStart w:id="2" w:name="_Toc30738"/>
      <w:bookmarkStart w:id="3" w:name="_Toc30567"/>
      <w:r>
        <w:rPr>
          <w:rFonts w:hint="eastAsia" w:ascii="黑体" w:hAnsi="黑体" w:eastAsia="黑体" w:cs="宋体"/>
          <w:bCs/>
          <w:kern w:val="0"/>
          <w:sz w:val="32"/>
          <w:szCs w:val="32"/>
          <w:highlight w:val="none"/>
        </w:rPr>
        <w:t>一、主要职能</w:t>
      </w:r>
      <w:bookmarkEnd w:id="2"/>
      <w:bookmarkEnd w:id="3"/>
    </w:p>
    <w:p>
      <w:pPr>
        <w:keepNext w:val="0"/>
        <w:keepLines w:val="0"/>
        <w:pageBreakBefore w:val="0"/>
        <w:widowControl w:val="0"/>
        <w:numPr>
          <w:ilvl w:val="0"/>
          <w:numId w:val="0"/>
        </w:numPr>
        <w:kinsoku/>
        <w:wordWrap/>
        <w:overflowPunct/>
        <w:topLinePunct w:val="0"/>
        <w:bidi w:val="0"/>
        <w:adjustRightInd/>
        <w:snapToGrid/>
        <w:spacing w:line="240" w:lineRule="auto"/>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受区委、区人民政府委托，统一领导和管理辖区党务、行政和社会事务工作，促进片区和谐发展；拟订并组织实施片区发展规划，聚焦维护稳定和服务群众，夯实基层基础工作的建议和措施；统筹整合辖区行政、社会、公共服务资源，综合协调相关职能部门和驻区企事业单位，为辖区居民提供民生保障、社会治安、城市管理等综合服务；对相关职能部门和驻区企事业单位履行社会管理和公共服务职能情况进行监督、检查和考核。</w:t>
      </w:r>
      <w:r>
        <w:rPr>
          <w:rFonts w:hint="eastAsia" w:ascii="仿宋_GB2312" w:eastAsia="仿宋_GB2312"/>
          <w:sz w:val="32"/>
          <w:szCs w:val="32"/>
          <w:highlight w:val="none"/>
          <w:lang w:eastAsia="zh-CN"/>
        </w:rPr>
        <w:t>各部门职责如下：</w:t>
      </w:r>
    </w:p>
    <w:p>
      <w:pPr>
        <w:keepNext w:val="0"/>
        <w:keepLines w:val="0"/>
        <w:pageBreakBefore w:val="0"/>
        <w:widowControl w:val="0"/>
        <w:numPr>
          <w:ilvl w:val="0"/>
          <w:numId w:val="0"/>
        </w:numPr>
        <w:kinsoku/>
        <w:wordWrap/>
        <w:overflowPunct/>
        <w:topLinePunct w:val="0"/>
        <w:bidi w:val="0"/>
        <w:adjustRightInd/>
        <w:snapToGrid/>
        <w:spacing w:line="240" w:lineRule="auto"/>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（一）</w:t>
      </w:r>
      <w:r>
        <w:rPr>
          <w:rFonts w:hint="eastAsia" w:ascii="仿宋_GB2312" w:eastAsia="仿宋_GB2312"/>
          <w:sz w:val="32"/>
          <w:szCs w:val="32"/>
          <w:highlight w:val="none"/>
        </w:rPr>
        <w:t>党建办公室。主要负责党务、组织、宣传、人事、老干部等工作；承担人大、工青妇等群团组织的日常工作及政协委员的联络工作。</w:t>
      </w:r>
    </w:p>
    <w:p>
      <w:pPr>
        <w:keepNext w:val="0"/>
        <w:keepLines w:val="0"/>
        <w:pageBreakBefore w:val="0"/>
        <w:widowControl w:val="0"/>
        <w:numPr>
          <w:ilvl w:val="0"/>
          <w:numId w:val="0"/>
        </w:numPr>
        <w:kinsoku/>
        <w:wordWrap/>
        <w:overflowPunct/>
        <w:topLinePunct w:val="0"/>
        <w:bidi w:val="0"/>
        <w:adjustRightInd/>
        <w:snapToGrid/>
        <w:spacing w:line="240" w:lineRule="auto"/>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（二）</w:t>
      </w:r>
      <w:r>
        <w:rPr>
          <w:rFonts w:hint="eastAsia" w:ascii="仿宋_GB2312" w:eastAsia="仿宋_GB2312"/>
          <w:sz w:val="32"/>
          <w:szCs w:val="32"/>
          <w:highlight w:val="none"/>
        </w:rPr>
        <w:t>综合协调办公室(综合执法办公室)。主要负责文秘、档案、保密、翻译、综合协调、后勤保障等工作，负责行政执法工作的规划、管理、协调和监督工作。</w:t>
      </w:r>
    </w:p>
    <w:p>
      <w:pPr>
        <w:keepNext w:val="0"/>
        <w:keepLines w:val="0"/>
        <w:pageBreakBefore w:val="0"/>
        <w:widowControl w:val="0"/>
        <w:numPr>
          <w:ilvl w:val="0"/>
          <w:numId w:val="0"/>
        </w:numPr>
        <w:kinsoku/>
        <w:wordWrap/>
        <w:overflowPunct/>
        <w:topLinePunct w:val="0"/>
        <w:bidi w:val="0"/>
        <w:adjustRightInd/>
        <w:snapToGrid/>
        <w:spacing w:line="240" w:lineRule="auto"/>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（三）</w:t>
      </w:r>
      <w:r>
        <w:rPr>
          <w:rFonts w:hint="eastAsia" w:ascii="仿宋_GB2312" w:eastAsia="仿宋_GB2312"/>
          <w:sz w:val="32"/>
          <w:szCs w:val="32"/>
          <w:highlight w:val="none"/>
        </w:rPr>
        <w:t>党群服务中心。主要承担辖区居民宣传发动、“访惠聚”工作以及社团组织培育、发展和管理等服务工作。</w:t>
      </w:r>
    </w:p>
    <w:p>
      <w:pPr>
        <w:keepNext w:val="0"/>
        <w:keepLines w:val="0"/>
        <w:pageBreakBefore w:val="0"/>
        <w:widowControl w:val="0"/>
        <w:numPr>
          <w:ilvl w:val="0"/>
          <w:numId w:val="0"/>
        </w:numPr>
        <w:kinsoku/>
        <w:wordWrap/>
        <w:overflowPunct/>
        <w:topLinePunct w:val="0"/>
        <w:bidi w:val="0"/>
        <w:adjustRightInd/>
        <w:snapToGrid/>
        <w:spacing w:line="240" w:lineRule="auto"/>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（四）社</w:t>
      </w:r>
      <w:r>
        <w:rPr>
          <w:rFonts w:hint="eastAsia" w:ascii="仿宋_GB2312" w:eastAsia="仿宋_GB2312"/>
          <w:sz w:val="32"/>
          <w:szCs w:val="32"/>
          <w:highlight w:val="none"/>
        </w:rPr>
        <w:t>会事务(统计)服务中心(退役军人服务站)。主要承担辖区经济发展、民政、教育、劳动就业、社会保障、社会救助、退役军人服务管理、残疾人事业、统计、生态环保等工作。</w:t>
      </w:r>
    </w:p>
    <w:p>
      <w:pPr>
        <w:keepNext w:val="0"/>
        <w:keepLines w:val="0"/>
        <w:pageBreakBefore w:val="0"/>
        <w:widowControl w:val="0"/>
        <w:numPr>
          <w:ilvl w:val="0"/>
          <w:numId w:val="0"/>
        </w:numPr>
        <w:kinsoku/>
        <w:wordWrap/>
        <w:overflowPunct/>
        <w:topLinePunct w:val="0"/>
        <w:bidi w:val="0"/>
        <w:adjustRightInd/>
        <w:snapToGrid/>
        <w:spacing w:line="240" w:lineRule="auto"/>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（五）</w:t>
      </w:r>
      <w:r>
        <w:rPr>
          <w:rFonts w:hint="eastAsia" w:ascii="仿宋_GB2312" w:eastAsia="仿宋_GB2312"/>
          <w:sz w:val="32"/>
          <w:szCs w:val="32"/>
          <w:highlight w:val="none"/>
        </w:rPr>
        <w:t>公共卫生服务指导中心(防疫专员办公室)。主要承担辖区公共卫生、计划生育、健康教育、防疫宣传、预防接种等工作，协助专业部门开展</w:t>
      </w:r>
      <w:r>
        <w:rPr>
          <w:rFonts w:hint="eastAsia" w:ascii="仿宋_GB2312" w:eastAsia="仿宋_GB2312"/>
          <w:sz w:val="32"/>
          <w:szCs w:val="32"/>
          <w:highlight w:val="none"/>
          <w:lang w:eastAsia="zh-CN"/>
        </w:rPr>
        <w:t>防疫</w:t>
      </w:r>
      <w:r>
        <w:rPr>
          <w:rFonts w:hint="eastAsia" w:ascii="仿宋_GB2312" w:eastAsia="仿宋_GB2312"/>
          <w:sz w:val="32"/>
          <w:szCs w:val="32"/>
          <w:highlight w:val="none"/>
        </w:rPr>
        <w:t>工作。</w:t>
      </w:r>
    </w:p>
    <w:p>
      <w:pPr>
        <w:keepNext w:val="0"/>
        <w:keepLines w:val="0"/>
        <w:pageBreakBefore w:val="0"/>
        <w:widowControl w:val="0"/>
        <w:numPr>
          <w:ilvl w:val="0"/>
          <w:numId w:val="0"/>
        </w:numPr>
        <w:kinsoku/>
        <w:wordWrap/>
        <w:overflowPunct/>
        <w:topLinePunct w:val="0"/>
        <w:bidi w:val="0"/>
        <w:adjustRightInd/>
        <w:snapToGrid/>
        <w:spacing w:line="240" w:lineRule="auto"/>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（六）</w:t>
      </w:r>
      <w:r>
        <w:rPr>
          <w:rFonts w:hint="eastAsia" w:ascii="仿宋_GB2312" w:eastAsia="仿宋_GB2312"/>
          <w:sz w:val="32"/>
          <w:szCs w:val="32"/>
          <w:highlight w:val="none"/>
        </w:rPr>
        <w:t>综治中心(网格化服务中心、群众工作中心)。主要承担辖区社会治安综合治理、法治建设、平安建设、民族宗教事务、网格化管理、安全生产、应急管理、人民武装、流动人口、安置帮教、社区矫正、“扫黄打非”、普法、预防未成年人违法犯罪等服务工作，以及群众信访矛盾纠纷调解和群众各类诉求归口收集、精准分流、更进督办等群众工作</w:t>
      </w:r>
      <w:r>
        <w:rPr>
          <w:rFonts w:hint="eastAsia" w:ascii="仿宋_GB2312" w:eastAsia="仿宋_GB2312"/>
          <w:sz w:val="32"/>
          <w:szCs w:val="32"/>
          <w:highlight w:val="none"/>
          <w:lang w:eastAsia="zh-CN"/>
        </w:rPr>
        <w:t>。</w:t>
      </w:r>
    </w:p>
    <w:p>
      <w:pPr>
        <w:keepNext w:val="0"/>
        <w:keepLines w:val="0"/>
        <w:pageBreakBefore w:val="0"/>
        <w:widowControl w:val="0"/>
        <w:numPr>
          <w:ilvl w:val="0"/>
          <w:numId w:val="0"/>
        </w:numPr>
        <w:kinsoku/>
        <w:wordWrap/>
        <w:overflowPunct/>
        <w:topLinePunct w:val="0"/>
        <w:bidi w:val="0"/>
        <w:adjustRightInd/>
        <w:snapToGrid/>
        <w:spacing w:line="240" w:lineRule="auto"/>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（七）民族宗教事务中心</w:t>
      </w:r>
      <w:r>
        <w:rPr>
          <w:rFonts w:hint="eastAsia" w:ascii="仿宋_GB2312" w:eastAsia="仿宋_GB2312"/>
          <w:sz w:val="32"/>
          <w:szCs w:val="32"/>
          <w:highlight w:val="none"/>
        </w:rPr>
        <w:t>。负责</w:t>
      </w:r>
      <w:r>
        <w:rPr>
          <w:rFonts w:hint="eastAsia" w:ascii="仿宋_GB2312" w:eastAsia="仿宋_GB2312"/>
          <w:sz w:val="32"/>
          <w:szCs w:val="32"/>
          <w:highlight w:val="none"/>
          <w:lang w:eastAsia="zh-CN"/>
        </w:rPr>
        <w:t>辖区民族宗教管理相关事务性工作，了解掌握辖区少数民族及信教群众、宗教活动场所等情况；依法妥善处置涉及民族宗教方面的突发事件并及时上报；组织开展民族团结进步教育和民族团结进步创建工作；加强对辖区宗教教职人员和宗教活动场所负责人的思想教育、法制教育;组织开展民族宗教政策、法律法规的宣传教育工作；教育引导各族群众之间、信教群众与不信教群众之间相互尊重、加强团结、共建和谐社会。</w:t>
      </w:r>
    </w:p>
    <w:p>
      <w:pPr>
        <w:keepNext w:val="0"/>
        <w:keepLines w:val="0"/>
        <w:pageBreakBefore w:val="0"/>
        <w:widowControl w:val="0"/>
        <w:numPr>
          <w:ilvl w:val="0"/>
          <w:numId w:val="0"/>
        </w:numPr>
        <w:kinsoku/>
        <w:wordWrap/>
        <w:overflowPunct/>
        <w:topLinePunct w:val="0"/>
        <w:bidi w:val="0"/>
        <w:adjustRightInd/>
        <w:snapToGrid/>
        <w:spacing w:line="240" w:lineRule="auto"/>
        <w:ind w:firstLine="640" w:firstLineChars="200"/>
        <w:jc w:val="both"/>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eastAsia="zh-CN"/>
        </w:rPr>
        <w:t>（八）</w:t>
      </w:r>
      <w:r>
        <w:rPr>
          <w:rFonts w:hint="eastAsia" w:ascii="仿宋_GB2312" w:eastAsia="仿宋_GB2312"/>
          <w:sz w:val="32"/>
          <w:szCs w:val="32"/>
          <w:highlight w:val="none"/>
        </w:rPr>
        <w:t>综合行政执法队。根据授权做好辖区综合行政执法工作。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 w:name="_Toc31238"/>
      <w:bookmarkStart w:id="5" w:name="_Toc2151"/>
      <w:r>
        <w:rPr>
          <w:rFonts w:hint="eastAsia" w:ascii="黑体" w:hAnsi="黑体" w:eastAsia="黑体" w:cs="宋体"/>
          <w:bCs/>
          <w:kern w:val="0"/>
          <w:sz w:val="32"/>
          <w:szCs w:val="32"/>
          <w:highlight w:val="none"/>
        </w:rPr>
        <w:t>二、机构设置</w:t>
      </w:r>
      <w:r>
        <w:rPr>
          <w:rFonts w:hint="eastAsia" w:ascii="黑体" w:hAnsi="黑体" w:eastAsia="黑体" w:cs="宋体"/>
          <w:bCs/>
          <w:kern w:val="0"/>
          <w:sz w:val="32"/>
          <w:szCs w:val="32"/>
          <w:highlight w:val="none"/>
          <w:lang w:eastAsia="zh-CN"/>
        </w:rPr>
        <w:t>及</w:t>
      </w:r>
      <w:bookmarkEnd w:id="4"/>
      <w:r>
        <w:rPr>
          <w:rFonts w:hint="eastAsia" w:ascii="黑体" w:hAnsi="黑体" w:eastAsia="黑体" w:cs="宋体"/>
          <w:bCs/>
          <w:kern w:val="0"/>
          <w:sz w:val="32"/>
          <w:szCs w:val="32"/>
          <w:highlight w:val="none"/>
          <w:lang w:eastAsia="zh-CN"/>
        </w:rPr>
        <w:t>人员</w:t>
      </w:r>
      <w:r>
        <w:rPr>
          <w:rFonts w:hint="eastAsia" w:ascii="黑体" w:hAnsi="黑体" w:eastAsia="黑体" w:cs="宋体"/>
          <w:bCs/>
          <w:kern w:val="0"/>
          <w:sz w:val="32"/>
          <w:szCs w:val="32"/>
          <w:highlight w:val="none"/>
        </w:rPr>
        <w:t>情况</w:t>
      </w:r>
      <w:bookmarkEnd w:id="5"/>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rPr>
        <w:t>乌鲁木齐市水磨沟区苇湖梁片区管理委员会</w:t>
      </w: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实有人数</w:t>
      </w:r>
      <w:r>
        <w:rPr>
          <w:rFonts w:hint="eastAsia" w:ascii="仿宋_GB2312" w:eastAsia="仿宋_GB2312"/>
          <w:sz w:val="32"/>
          <w:szCs w:val="32"/>
          <w:highlight w:val="none"/>
          <w:lang w:val="en-US" w:eastAsia="zh-CN"/>
        </w:rPr>
        <w:t>208</w:t>
      </w:r>
      <w:r>
        <w:rPr>
          <w:rFonts w:hint="eastAsia" w:ascii="仿宋_GB2312" w:eastAsia="仿宋_GB2312"/>
          <w:sz w:val="32"/>
          <w:szCs w:val="32"/>
          <w:highlight w:val="none"/>
        </w:rPr>
        <w:t>人，其中：在职人员</w:t>
      </w:r>
      <w:r>
        <w:rPr>
          <w:rFonts w:hint="eastAsia" w:ascii="仿宋_GB2312" w:eastAsia="仿宋_GB2312"/>
          <w:sz w:val="32"/>
          <w:szCs w:val="32"/>
          <w:highlight w:val="none"/>
          <w:lang w:val="en-US" w:eastAsia="zh-CN"/>
        </w:rPr>
        <w:t>197</w:t>
      </w:r>
      <w:r>
        <w:rPr>
          <w:rFonts w:hint="eastAsia" w:ascii="仿宋_GB2312" w:eastAsia="仿宋_GB2312"/>
          <w:sz w:val="32"/>
          <w:szCs w:val="32"/>
          <w:highlight w:val="none"/>
        </w:rPr>
        <w:t>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离休人员</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人，退休人员</w:t>
      </w:r>
      <w:r>
        <w:rPr>
          <w:rFonts w:hint="eastAsia" w:ascii="仿宋_GB2312" w:eastAsia="仿宋_GB2312"/>
          <w:sz w:val="32"/>
          <w:szCs w:val="32"/>
          <w:highlight w:val="none"/>
          <w:lang w:val="en-US" w:eastAsia="zh-CN"/>
        </w:rPr>
        <w:t>11</w:t>
      </w:r>
      <w:r>
        <w:rPr>
          <w:rFonts w:hint="eastAsia" w:ascii="仿宋_GB2312" w:eastAsia="仿宋_GB2312"/>
          <w:sz w:val="32"/>
          <w:szCs w:val="32"/>
          <w:highlight w:val="none"/>
        </w:rPr>
        <w:t>人。</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hAnsi="宋体" w:eastAsia="仿宋_GB2312" w:cs="宋体"/>
          <w:kern w:val="0"/>
          <w:sz w:val="32"/>
          <w:szCs w:val="32"/>
          <w:highlight w:val="none"/>
        </w:rPr>
      </w:pPr>
      <w:r>
        <w:rPr>
          <w:rFonts w:hint="eastAsia" w:ascii="仿宋_GB2312" w:eastAsia="仿宋_GB2312"/>
          <w:sz w:val="32"/>
          <w:szCs w:val="32"/>
          <w:highlight w:val="none"/>
        </w:rPr>
        <w:t>从</w:t>
      </w:r>
      <w:r>
        <w:rPr>
          <w:rFonts w:hint="eastAsia" w:ascii="仿宋_GB2312" w:eastAsia="仿宋_GB2312"/>
          <w:sz w:val="32"/>
          <w:szCs w:val="32"/>
          <w:highlight w:val="none"/>
          <w:lang w:eastAsia="zh-CN"/>
        </w:rPr>
        <w:t>部门</w:t>
      </w:r>
      <w:r>
        <w:rPr>
          <w:rFonts w:hint="eastAsia" w:ascii="仿宋_GB2312" w:eastAsia="仿宋_GB2312"/>
          <w:sz w:val="32"/>
          <w:szCs w:val="32"/>
          <w:highlight w:val="none"/>
        </w:rPr>
        <w:t>决算单位构成看，</w:t>
      </w:r>
      <w:r>
        <w:rPr>
          <w:rFonts w:hint="eastAsia" w:ascii="仿宋_GB2312" w:hAnsi="宋体" w:eastAsia="仿宋_GB2312" w:cs="宋体"/>
          <w:kern w:val="0"/>
          <w:sz w:val="32"/>
          <w:szCs w:val="32"/>
          <w:highlight w:val="none"/>
        </w:rPr>
        <w:t>乌鲁木齐市水磨沟区苇湖梁片区管理委员会</w:t>
      </w:r>
      <w:r>
        <w:rPr>
          <w:rFonts w:hint="eastAsia" w:ascii="仿宋_GB2312" w:eastAsia="仿宋_GB2312"/>
          <w:sz w:val="32"/>
          <w:szCs w:val="32"/>
          <w:highlight w:val="none"/>
        </w:rPr>
        <w:t>部门决算包括：</w:t>
      </w:r>
      <w:r>
        <w:rPr>
          <w:rFonts w:hint="eastAsia" w:ascii="仿宋_GB2312" w:hAnsi="宋体" w:eastAsia="仿宋_GB2312" w:cs="宋体"/>
          <w:kern w:val="0"/>
          <w:sz w:val="32"/>
          <w:szCs w:val="32"/>
          <w:highlight w:val="none"/>
        </w:rPr>
        <w:t>乌鲁木齐市水磨沟区苇湖梁片区管理委员会</w:t>
      </w:r>
      <w:r>
        <w:rPr>
          <w:rFonts w:hint="eastAsia" w:ascii="仿宋_GB2312" w:eastAsia="仿宋_GB2312"/>
          <w:sz w:val="32"/>
          <w:szCs w:val="32"/>
          <w:highlight w:val="none"/>
        </w:rPr>
        <w:t>决算</w:t>
      </w:r>
      <w:r>
        <w:rPr>
          <w:rFonts w:hint="eastAsia" w:ascii="仿宋_GB2312" w:eastAsia="仿宋_GB2312"/>
          <w:sz w:val="32"/>
          <w:szCs w:val="32"/>
          <w:highlight w:val="none"/>
          <w:lang w:eastAsia="zh-CN"/>
        </w:rPr>
        <w:t>。</w:t>
      </w:r>
      <w:r>
        <w:rPr>
          <w:rFonts w:hint="eastAsia" w:ascii="仿宋_GB2312" w:hAnsi="黑体" w:eastAsia="仿宋_GB2312" w:cs="宋体"/>
          <w:bCs/>
          <w:kern w:val="0"/>
          <w:sz w:val="32"/>
          <w:szCs w:val="32"/>
          <w:highlight w:val="none"/>
        </w:rPr>
        <w:t>单位无下属预算单位，</w:t>
      </w:r>
      <w:r>
        <w:rPr>
          <w:rFonts w:hint="eastAsia" w:ascii="仿宋_GB2312" w:hAnsi="宋体" w:eastAsia="仿宋_GB2312" w:cs="宋体"/>
          <w:kern w:val="0"/>
          <w:sz w:val="32"/>
          <w:szCs w:val="32"/>
          <w:highlight w:val="none"/>
        </w:rPr>
        <w:t>下设2个处室，均为正科级，分别是：党建办公室、综合协调办公室（综合执法办公室）。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6" w:name="_Toc29374"/>
      <w:bookmarkStart w:id="7" w:name="_Toc3092"/>
      <w:r>
        <w:rPr>
          <w:rFonts w:hint="eastAsia" w:ascii="黑体" w:hAnsi="黑体" w:eastAsia="黑体"/>
          <w:sz w:val="32"/>
          <w:szCs w:val="32"/>
          <w:highlight w:val="none"/>
        </w:rPr>
        <w:t>第二部分 部门决算情况说明</w:t>
      </w:r>
      <w:bookmarkEnd w:id="6"/>
      <w:bookmarkEnd w:id="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 w:name="_Toc25314"/>
      <w:bookmarkStart w:id="9" w:name="_Toc12566"/>
      <w:r>
        <w:rPr>
          <w:rFonts w:hint="eastAsia" w:ascii="黑体" w:hAnsi="黑体" w:eastAsia="黑体" w:cs="宋体"/>
          <w:bCs/>
          <w:kern w:val="0"/>
          <w:sz w:val="32"/>
          <w:szCs w:val="32"/>
          <w:highlight w:val="none"/>
        </w:rPr>
        <w:t>一、收入支出决算总体情况说明</w:t>
      </w:r>
      <w:bookmarkEnd w:id="8"/>
      <w:bookmarkEnd w:id="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pacing w:val="0"/>
          <w:sz w:val="32"/>
          <w:szCs w:val="32"/>
          <w:highlight w:val="none"/>
          <w:lang w:val="en-US" w:eastAsia="zh-CN"/>
        </w:rPr>
        <w:t>收入总计</w:t>
      </w:r>
      <w:r>
        <w:rPr>
          <w:rFonts w:hint="eastAsia" w:ascii="仿宋_GB2312" w:eastAsia="仿宋_GB2312"/>
          <w:sz w:val="32"/>
          <w:szCs w:val="32"/>
          <w:highlight w:val="none"/>
          <w:lang w:val="en-US" w:eastAsia="zh-CN"/>
        </w:rPr>
        <w:t>3707.29</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其中：本年收入合计3041.91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，使用非财政拨款结余</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，年初结转和结余</w:t>
      </w:r>
      <w:r>
        <w:rPr>
          <w:rFonts w:hint="eastAsia" w:ascii="仿宋_GB2312" w:eastAsia="仿宋_GB2312"/>
          <w:sz w:val="32"/>
          <w:szCs w:val="32"/>
          <w:highlight w:val="none"/>
          <w:lang w:val="en-US" w:eastAsia="zh-CN"/>
        </w:rPr>
        <w:t>665.38</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pacing w:val="0"/>
          <w:sz w:val="32"/>
          <w:szCs w:val="32"/>
          <w:highlight w:val="none"/>
          <w:lang w:val="en-US" w:eastAsia="zh-CN"/>
        </w:rPr>
        <w:t>收入总计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2197.82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37.22</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本年无政府性基金预算财政拨款收入，本年单位减少社区经费、社区食堂补助经费，临聘人员经费、便民服务站人员伙食费、便民服务站运行经费、封闭化岗亭人员经费等项目资金，收入减少。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rPr>
        <w:t>本年支出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3707.29万元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其中：本年支出合计</w:t>
      </w:r>
      <w:r>
        <w:rPr>
          <w:rFonts w:hint="eastAsia" w:ascii="仿宋_GB2312" w:eastAsia="仿宋_GB2312"/>
          <w:sz w:val="32"/>
          <w:szCs w:val="32"/>
          <w:highlight w:val="none"/>
        </w:rPr>
        <w:t>3138.1万元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结余分配0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，年末结转和结余</w:t>
      </w:r>
      <w:r>
        <w:rPr>
          <w:rFonts w:hint="eastAsia" w:ascii="仿宋_GB2312" w:eastAsia="仿宋_GB2312"/>
          <w:sz w:val="32"/>
          <w:szCs w:val="32"/>
          <w:highlight w:val="none"/>
        </w:rPr>
        <w:t>569.19万元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2197.82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37.22</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本年单位减少社区经费、社区食堂补助经费，临聘人员经费、便民服务站人员伙食费、便民服务站运行经费、封闭化岗亭人员经费等项目资金，支出减少。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10" w:name="_Toc12142"/>
      <w:bookmarkStart w:id="11" w:name="_Toc1979"/>
      <w:r>
        <w:rPr>
          <w:rFonts w:hint="eastAsia" w:ascii="黑体" w:hAnsi="黑体" w:eastAsia="黑体" w:cs="宋体"/>
          <w:bCs/>
          <w:kern w:val="0"/>
          <w:sz w:val="32"/>
          <w:szCs w:val="32"/>
          <w:highlight w:val="none"/>
          <w:lang w:eastAsia="zh-CN"/>
        </w:rPr>
        <w:t>二、</w:t>
      </w:r>
      <w:r>
        <w:rPr>
          <w:rFonts w:hint="eastAsia" w:ascii="黑体" w:hAnsi="黑体" w:eastAsia="黑体" w:cs="宋体"/>
          <w:bCs/>
          <w:kern w:val="0"/>
          <w:sz w:val="32"/>
          <w:szCs w:val="32"/>
          <w:highlight w:val="none"/>
        </w:rPr>
        <w:t>收入</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情况说明</w:t>
      </w:r>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本年收入3041.91万元，其中：财政拨款收入3039.2万元，占</w:t>
      </w:r>
      <w:r>
        <w:rPr>
          <w:rFonts w:hint="eastAsia" w:ascii="仿宋_GB2312" w:eastAsia="仿宋_GB2312"/>
          <w:sz w:val="32"/>
          <w:szCs w:val="32"/>
          <w:highlight w:val="none"/>
          <w:lang w:val="en-US" w:eastAsia="zh-CN"/>
        </w:rPr>
        <w:t>99.91</w:t>
      </w:r>
      <w:r>
        <w:rPr>
          <w:rFonts w:hint="eastAsia" w:ascii="仿宋_GB2312" w:eastAsia="仿宋_GB2312"/>
          <w:sz w:val="32"/>
          <w:szCs w:val="32"/>
          <w:highlight w:val="none"/>
        </w:rPr>
        <w:t>%；上级补助收入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%；事业收入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%；经营收入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附属单位上缴收入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%；其他收入</w:t>
      </w:r>
      <w:r>
        <w:rPr>
          <w:rFonts w:hint="eastAsia" w:ascii="仿宋_GB2312" w:eastAsia="仿宋_GB2312"/>
          <w:sz w:val="32"/>
          <w:szCs w:val="32"/>
          <w:highlight w:val="none"/>
          <w:lang w:val="en-US" w:eastAsia="zh-CN"/>
        </w:rPr>
        <w:t>2.72</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0.09</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2" w:name="_Toc13201"/>
      <w:bookmarkStart w:id="13" w:name="_Toc27961"/>
      <w:r>
        <w:rPr>
          <w:rFonts w:hint="eastAsia" w:ascii="黑体" w:hAnsi="黑体" w:eastAsia="黑体" w:cs="宋体"/>
          <w:bCs/>
          <w:kern w:val="0"/>
          <w:sz w:val="32"/>
          <w:szCs w:val="32"/>
          <w:highlight w:val="none"/>
          <w:lang w:eastAsia="zh-CN"/>
        </w:rPr>
        <w:t>三、支出决算情况说明</w:t>
      </w:r>
      <w:bookmarkEnd w:id="12"/>
      <w:bookmarkEnd w:id="1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本年支出3138.1万元，其中：基本支出2871.59万元，占</w:t>
      </w:r>
      <w:r>
        <w:rPr>
          <w:rFonts w:hint="eastAsia" w:ascii="仿宋_GB2312" w:eastAsia="仿宋_GB2312"/>
          <w:sz w:val="32"/>
          <w:szCs w:val="32"/>
          <w:highlight w:val="none"/>
          <w:lang w:val="en-US" w:eastAsia="zh-CN"/>
        </w:rPr>
        <w:t>91.51</w:t>
      </w:r>
      <w:r>
        <w:rPr>
          <w:rFonts w:hint="eastAsia" w:ascii="仿宋_GB2312" w:eastAsia="仿宋_GB2312"/>
          <w:sz w:val="32"/>
          <w:szCs w:val="32"/>
          <w:highlight w:val="none"/>
        </w:rPr>
        <w:t>%；项目支出266.52万元，占</w:t>
      </w:r>
      <w:r>
        <w:rPr>
          <w:rFonts w:hint="eastAsia" w:ascii="仿宋_GB2312" w:eastAsia="仿宋_GB2312"/>
          <w:sz w:val="32"/>
          <w:szCs w:val="32"/>
          <w:highlight w:val="none"/>
          <w:lang w:val="en-US" w:eastAsia="zh-CN"/>
        </w:rPr>
        <w:t>8.49</w:t>
      </w:r>
      <w:r>
        <w:rPr>
          <w:rFonts w:hint="eastAsia" w:ascii="仿宋_GB2312" w:eastAsia="仿宋_GB2312"/>
          <w:sz w:val="32"/>
          <w:szCs w:val="32"/>
          <w:highlight w:val="none"/>
        </w:rPr>
        <w:t>%；上缴上级支出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%；经营支出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%；对附属单位补助支出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4" w:name="_Toc4393"/>
      <w:bookmarkStart w:id="15" w:name="_Toc26564"/>
      <w:r>
        <w:rPr>
          <w:rFonts w:hint="eastAsia" w:ascii="黑体" w:hAnsi="黑体" w:eastAsia="黑体" w:cs="宋体"/>
          <w:bCs/>
          <w:kern w:val="0"/>
          <w:sz w:val="32"/>
          <w:szCs w:val="32"/>
          <w:highlight w:val="none"/>
          <w:lang w:eastAsia="zh-CN"/>
        </w:rPr>
        <w:t>四、财政拨款收入支出决算总体情况说明</w:t>
      </w:r>
      <w:bookmarkEnd w:id="14"/>
      <w:bookmarkEnd w:id="1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总计3687.65</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其中：年初财政拨款结转和结余</w:t>
      </w:r>
      <w:r>
        <w:rPr>
          <w:rFonts w:hint="eastAsia" w:ascii="仿宋_GB2312" w:eastAsia="仿宋_GB2312"/>
          <w:sz w:val="32"/>
          <w:szCs w:val="32"/>
          <w:highlight w:val="none"/>
        </w:rPr>
        <w:t>648.45万元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财政拨款本年收入3039.2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与上年相比，减少</w:t>
      </w:r>
      <w:r>
        <w:rPr>
          <w:rFonts w:hint="eastAsia" w:ascii="仿宋_GB2312" w:eastAsia="仿宋_GB2312"/>
          <w:sz w:val="32"/>
          <w:szCs w:val="32"/>
          <w:highlight w:val="none"/>
          <w:lang w:val="en-US" w:eastAsia="zh-CN"/>
        </w:rPr>
        <w:t>2193.76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37.3</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本年无政府性基金预算财政拨款收入，本年单位减少社区经费、社区食堂补助经费，临聘人员经费、便民服务站人员伙食费、便民服务站运行经费、封闭化岗亭人员经费等项目资金，收入减少</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总计3687.65</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其中：年末财政拨款结转和结余552.26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财政拨款本年支出3135.38</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w:t>
      </w:r>
      <w:r>
        <w:rPr>
          <w:rFonts w:hint="eastAsia" w:ascii="仿宋_GB2312" w:eastAsia="仿宋_GB2312"/>
          <w:sz w:val="32"/>
          <w:szCs w:val="32"/>
          <w:highlight w:val="none"/>
          <w:lang w:val="en-US" w:eastAsia="zh-CN"/>
        </w:rPr>
        <w:t>支出总计</w:t>
      </w:r>
      <w:r>
        <w:rPr>
          <w:rFonts w:hint="eastAsia" w:ascii="仿宋_GB2312" w:eastAsia="仿宋_GB2312"/>
          <w:sz w:val="32"/>
          <w:szCs w:val="32"/>
          <w:highlight w:val="none"/>
        </w:rPr>
        <w:t>与上年相比，减少</w:t>
      </w:r>
      <w:r>
        <w:rPr>
          <w:rFonts w:hint="eastAsia" w:ascii="仿宋_GB2312" w:eastAsia="仿宋_GB2312"/>
          <w:sz w:val="32"/>
          <w:szCs w:val="32"/>
          <w:highlight w:val="none"/>
          <w:lang w:val="en-US" w:eastAsia="zh-CN"/>
        </w:rPr>
        <w:t>2193.76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37.3</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本年无政府性基金预算财政拨款支出，本年单位减少社区经费、社区食堂补助经费，临聘人员经费、便民服务站人员伙食费、便民服务站运行经费、封闭化岗亭人员经费等项目资金，支出减少</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与</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rPr>
        <w:t>相比情况：财政拨款收入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lang w:val="en-US" w:eastAsia="zh-CN"/>
        </w:rPr>
        <w:t>5198.47</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3687.65</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-29.06</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2022年</w:t>
      </w:r>
      <w:r>
        <w:rPr>
          <w:rFonts w:hint="eastAsia" w:ascii="仿宋_GB2312" w:eastAsia="仿宋_GB2312"/>
          <w:sz w:val="32"/>
          <w:szCs w:val="32"/>
          <w:highlight w:val="none"/>
          <w:lang w:eastAsia="zh-CN"/>
        </w:rPr>
        <w:t>社区经费、社区食堂补助经费，临聘人员经费、便民服务站人员伙食费、便民服务站运行经费、封闭化岗亭人员经费等调减预算收入，</w:t>
      </w:r>
      <w:r>
        <w:rPr>
          <w:rFonts w:ascii="仿宋_GB2312" w:hAnsi="仿宋_GB2312" w:eastAsia="仿宋_GB2312" w:cs="仿宋_GB2312"/>
          <w:b w:val="0"/>
          <w:bCs w:val="0"/>
          <w:color w:val="000000"/>
          <w:sz w:val="31"/>
          <w:szCs w:val="31"/>
          <w:highlight w:val="none"/>
        </w:rPr>
        <w:t>导致预决算差异大</w:t>
      </w: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lang w:val="en-US" w:eastAsia="zh-CN"/>
        </w:rPr>
        <w:t>5198.47</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3687.65</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-29.06</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2022年</w:t>
      </w:r>
      <w:r>
        <w:rPr>
          <w:rFonts w:hint="eastAsia" w:ascii="仿宋_GB2312" w:eastAsia="仿宋_GB2312"/>
          <w:sz w:val="32"/>
          <w:szCs w:val="32"/>
          <w:highlight w:val="none"/>
          <w:lang w:eastAsia="zh-CN"/>
        </w:rPr>
        <w:t>社区经费、社区食堂补助经费，临聘人员经费、便民服务站人员伙食费、便民服务站运行经费、封闭化岗亭人员经费等项目</w:t>
      </w:r>
      <w:r>
        <w:rPr>
          <w:rFonts w:ascii="仿宋_GB2312" w:hAnsi="仿宋_GB2312" w:eastAsia="仿宋_GB2312" w:cs="仿宋_GB2312"/>
          <w:b w:val="0"/>
          <w:bCs w:val="0"/>
          <w:color w:val="000000"/>
          <w:sz w:val="31"/>
          <w:szCs w:val="31"/>
          <w:highlight w:val="none"/>
        </w:rPr>
        <w:t>年底调减预算，因此决算支出数较少</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6" w:name="_Toc20360"/>
      <w:bookmarkStart w:id="17" w:name="_Toc13833"/>
      <w:r>
        <w:rPr>
          <w:rFonts w:hint="eastAsia" w:ascii="黑体" w:hAnsi="黑体" w:eastAsia="黑体" w:cs="宋体"/>
          <w:bCs/>
          <w:kern w:val="0"/>
          <w:sz w:val="32"/>
          <w:szCs w:val="32"/>
          <w:highlight w:val="none"/>
          <w:lang w:eastAsia="zh-CN"/>
        </w:rPr>
        <w:t>五、一般公共预算财政拨款支出决算情况说明</w:t>
      </w:r>
      <w:bookmarkEnd w:id="16"/>
      <w:bookmarkEnd w:id="1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pacing w:val="0"/>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年度一般公共预算财政拨款支出</w:t>
      </w:r>
      <w:r>
        <w:rPr>
          <w:rFonts w:hint="eastAsia" w:ascii="仿宋_GB2312" w:eastAsia="仿宋_GB2312"/>
          <w:spacing w:val="0"/>
          <w:sz w:val="32"/>
          <w:szCs w:val="32"/>
          <w:highlight w:val="none"/>
          <w:lang w:val="en-US" w:eastAsia="zh-CN"/>
        </w:rPr>
        <w:t>3135.38</w:t>
      </w:r>
      <w:r>
        <w:rPr>
          <w:rFonts w:hint="eastAsia" w:ascii="仿宋_GB2312" w:eastAsia="仿宋_GB2312"/>
          <w:spacing w:val="0"/>
          <w:sz w:val="32"/>
          <w:szCs w:val="32"/>
          <w:highlight w:val="none"/>
          <w:lang w:eastAsia="zh-CN"/>
        </w:rPr>
        <w:t>万元，占本年支出合计的</w:t>
      </w:r>
      <w:r>
        <w:rPr>
          <w:rFonts w:hint="eastAsia" w:ascii="仿宋_GB2312" w:eastAsia="仿宋_GB2312"/>
          <w:spacing w:val="0"/>
          <w:sz w:val="32"/>
          <w:szCs w:val="32"/>
          <w:highlight w:val="none"/>
          <w:lang w:val="en-US" w:eastAsia="zh-CN"/>
        </w:rPr>
        <w:t>99.91</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rPr>
        <w:t>与上年相比，减少</w:t>
      </w:r>
      <w:r>
        <w:rPr>
          <w:rFonts w:hint="eastAsia" w:ascii="仿宋_GB2312" w:eastAsia="仿宋_GB2312"/>
          <w:spacing w:val="0"/>
          <w:sz w:val="32"/>
          <w:szCs w:val="32"/>
          <w:highlight w:val="none"/>
          <w:lang w:val="en-US" w:eastAsia="zh-CN"/>
        </w:rPr>
        <w:t>2053.54</w:t>
      </w:r>
      <w:r>
        <w:rPr>
          <w:rFonts w:hint="eastAsia" w:ascii="仿宋_GB2312" w:eastAsia="仿宋_GB2312"/>
          <w:spacing w:val="0"/>
          <w:sz w:val="32"/>
          <w:szCs w:val="32"/>
          <w:highlight w:val="none"/>
        </w:rPr>
        <w:t>万元，</w:t>
      </w:r>
      <w:r>
        <w:rPr>
          <w:rFonts w:hint="eastAsia" w:ascii="仿宋_GB2312" w:eastAsia="仿宋_GB2312"/>
          <w:spacing w:val="0"/>
          <w:sz w:val="32"/>
          <w:szCs w:val="32"/>
          <w:highlight w:val="none"/>
          <w:lang w:eastAsia="zh-CN"/>
        </w:rPr>
        <w:t>下降</w:t>
      </w:r>
      <w:r>
        <w:rPr>
          <w:rFonts w:hint="eastAsia" w:ascii="仿宋_GB2312" w:eastAsia="仿宋_GB2312"/>
          <w:spacing w:val="0"/>
          <w:sz w:val="32"/>
          <w:szCs w:val="32"/>
          <w:highlight w:val="none"/>
          <w:lang w:val="en-US" w:eastAsia="zh-CN"/>
        </w:rPr>
        <w:t>39.58</w:t>
      </w:r>
      <w:r>
        <w:rPr>
          <w:rFonts w:hint="eastAsia" w:ascii="仿宋_GB2312" w:eastAsia="仿宋_GB2312"/>
          <w:spacing w:val="0"/>
          <w:sz w:val="32"/>
          <w:szCs w:val="32"/>
          <w:highlight w:val="none"/>
        </w:rPr>
        <w:t>%</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rPr>
        <w:t>主要原因是：</w:t>
      </w:r>
      <w:r>
        <w:rPr>
          <w:rFonts w:hint="eastAsia" w:ascii="仿宋_GB2312" w:eastAsia="仿宋_GB2312"/>
          <w:sz w:val="32"/>
          <w:szCs w:val="32"/>
          <w:highlight w:val="none"/>
          <w:lang w:val="en-US" w:eastAsia="zh-CN"/>
        </w:rPr>
        <w:t>2022年</w:t>
      </w:r>
      <w:r>
        <w:rPr>
          <w:rFonts w:hint="eastAsia" w:ascii="仿宋_GB2312" w:eastAsia="仿宋_GB2312"/>
          <w:sz w:val="32"/>
          <w:szCs w:val="32"/>
          <w:highlight w:val="none"/>
          <w:lang w:eastAsia="zh-CN"/>
        </w:rPr>
        <w:t>社区经费、社区食堂补助经费，临聘人员经费、便民服务站人员伙食费、便民服务站运行经费、封闭化岗亭人员经费年底调减预算，导致支出减少</w:t>
      </w:r>
      <w:r>
        <w:rPr>
          <w:rFonts w:hint="eastAsia" w:ascii="仿宋_GB2312" w:eastAsia="仿宋_GB2312"/>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（二）一般公共预算</w:t>
      </w:r>
      <w:r>
        <w:rPr>
          <w:rFonts w:hint="eastAsia" w:ascii="黑体" w:hAnsi="黑体" w:eastAsia="黑体"/>
          <w:sz w:val="32"/>
          <w:szCs w:val="32"/>
          <w:highlight w:val="none"/>
          <w:lang w:val="en-US" w:eastAsia="zh-CN"/>
        </w:rPr>
        <w:t>财政拨款支出决算</w:t>
      </w:r>
      <w:r>
        <w:rPr>
          <w:rFonts w:hint="eastAsia" w:ascii="黑体" w:hAnsi="黑体" w:eastAsia="黑体"/>
          <w:sz w:val="32"/>
          <w:szCs w:val="32"/>
          <w:highlight w:val="none"/>
          <w:lang w:eastAsia="zh-CN"/>
        </w:rPr>
        <w:t>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1.一般公共服务</w:t>
      </w:r>
      <w:r>
        <w:rPr>
          <w:rFonts w:hint="eastAsia" w:ascii="仿宋_GB2312" w:hAnsi="仿宋_GB2312" w:eastAsia="仿宋_GB2312" w:cs="仿宋_GB2312"/>
          <w:sz w:val="32"/>
          <w:szCs w:val="32"/>
          <w:highlight w:val="none"/>
          <w:lang w:val="en-US" w:eastAsia="zh-CN"/>
        </w:rPr>
        <w:t>支出</w:t>
      </w:r>
      <w:r>
        <w:rPr>
          <w:rFonts w:hint="eastAsia" w:ascii="仿宋_GB2312" w:hAnsi="仿宋_GB2312" w:eastAsia="仿宋_GB2312" w:cs="仿宋_GB2312"/>
          <w:sz w:val="32"/>
          <w:szCs w:val="32"/>
          <w:highlight w:val="none"/>
        </w:rPr>
        <w:t>（类）</w:t>
      </w:r>
      <w:r>
        <w:rPr>
          <w:rFonts w:hint="eastAsia" w:ascii="仿宋_GB2312" w:eastAsia="仿宋_GB2312"/>
          <w:spacing w:val="0"/>
          <w:sz w:val="32"/>
          <w:szCs w:val="32"/>
          <w:highlight w:val="none"/>
        </w:rPr>
        <w:t>1109.25</w:t>
      </w:r>
      <w:r>
        <w:rPr>
          <w:rFonts w:hint="eastAsia" w:ascii="仿宋_GB2312" w:hAnsi="仿宋_GB2312" w:eastAsia="仿宋_GB2312" w:cs="仿宋_GB2312"/>
          <w:kern w:val="0"/>
          <w:sz w:val="32"/>
          <w:szCs w:val="32"/>
          <w:highlight w:val="none"/>
        </w:rPr>
        <w:t>万元，占</w:t>
      </w:r>
      <w:r>
        <w:rPr>
          <w:rFonts w:hint="eastAsia" w:ascii="仿宋_GB2312" w:eastAsia="仿宋_GB2312"/>
          <w:spacing w:val="0"/>
          <w:sz w:val="32"/>
          <w:szCs w:val="32"/>
          <w:highlight w:val="none"/>
          <w:lang w:val="en-US" w:eastAsia="zh-CN"/>
        </w:rPr>
        <w:t>35.38</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2.公共安全支出</w:t>
      </w:r>
      <w:r>
        <w:rPr>
          <w:rFonts w:hint="eastAsia" w:ascii="仿宋_GB2312" w:hAnsi="仿宋_GB2312" w:eastAsia="仿宋_GB2312" w:cs="仿宋_GB2312"/>
          <w:kern w:val="0"/>
          <w:sz w:val="32"/>
          <w:szCs w:val="32"/>
          <w:highlight w:val="none"/>
          <w:lang w:eastAsia="zh-CN"/>
        </w:rPr>
        <w:t>（类）0.5万元，占比</w:t>
      </w:r>
      <w:r>
        <w:rPr>
          <w:rFonts w:hint="eastAsia" w:ascii="仿宋_GB2312" w:hAnsi="仿宋_GB2312" w:eastAsia="仿宋_GB2312" w:cs="仿宋_GB2312"/>
          <w:kern w:val="0"/>
          <w:sz w:val="32"/>
          <w:szCs w:val="32"/>
          <w:highlight w:val="none"/>
          <w:lang w:val="en-US" w:eastAsia="zh-CN"/>
        </w:rPr>
        <w:t>0.02%。</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3.社会保障和就业支出</w:t>
      </w:r>
      <w:r>
        <w:rPr>
          <w:rFonts w:hint="eastAsia" w:ascii="仿宋_GB2312" w:hAnsi="仿宋_GB2312" w:eastAsia="仿宋_GB2312" w:cs="仿宋_GB2312"/>
          <w:kern w:val="0"/>
          <w:sz w:val="32"/>
          <w:szCs w:val="32"/>
          <w:highlight w:val="none"/>
          <w:lang w:eastAsia="zh-CN"/>
        </w:rPr>
        <w:t>（类）</w:t>
      </w:r>
      <w:r>
        <w:rPr>
          <w:rFonts w:hint="eastAsia" w:ascii="仿宋_GB2312" w:hAnsi="仿宋_GB2312" w:eastAsia="仿宋_GB2312" w:cs="仿宋_GB2312"/>
          <w:kern w:val="0"/>
          <w:sz w:val="32"/>
          <w:szCs w:val="32"/>
          <w:highlight w:val="none"/>
          <w:lang w:val="en-US" w:eastAsia="zh-CN"/>
        </w:rPr>
        <w:t>1888.3万元，占比60.23%。</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4.卫生健康支出</w:t>
      </w:r>
      <w:r>
        <w:rPr>
          <w:rFonts w:hint="eastAsia" w:ascii="仿宋_GB2312" w:hAnsi="仿宋_GB2312" w:eastAsia="仿宋_GB2312" w:cs="仿宋_GB2312"/>
          <w:kern w:val="0"/>
          <w:sz w:val="32"/>
          <w:szCs w:val="32"/>
          <w:highlight w:val="none"/>
          <w:lang w:eastAsia="zh-CN"/>
        </w:rPr>
        <w:t>（类）</w:t>
      </w:r>
      <w:r>
        <w:rPr>
          <w:rFonts w:hint="eastAsia" w:ascii="仿宋_GB2312" w:hAnsi="仿宋_GB2312" w:eastAsia="仿宋_GB2312" w:cs="仿宋_GB2312"/>
          <w:kern w:val="0"/>
          <w:sz w:val="32"/>
          <w:szCs w:val="32"/>
          <w:highlight w:val="none"/>
          <w:lang w:val="en-US" w:eastAsia="zh-CN"/>
        </w:rPr>
        <w:t>53.84万元，占比1.72%。</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5.城乡社区支出</w:t>
      </w:r>
      <w:r>
        <w:rPr>
          <w:rFonts w:hint="eastAsia" w:ascii="仿宋_GB2312" w:hAnsi="仿宋_GB2312" w:eastAsia="仿宋_GB2312" w:cs="仿宋_GB2312"/>
          <w:kern w:val="0"/>
          <w:sz w:val="32"/>
          <w:szCs w:val="32"/>
          <w:highlight w:val="none"/>
          <w:lang w:eastAsia="zh-CN"/>
        </w:rPr>
        <w:t>（类）</w:t>
      </w:r>
      <w:r>
        <w:rPr>
          <w:rFonts w:hint="eastAsia" w:ascii="仿宋_GB2312" w:hAnsi="仿宋_GB2312" w:eastAsia="仿宋_GB2312" w:cs="仿宋_GB2312"/>
          <w:kern w:val="0"/>
          <w:sz w:val="32"/>
          <w:szCs w:val="32"/>
          <w:highlight w:val="none"/>
          <w:lang w:val="en-US" w:eastAsia="zh-CN"/>
        </w:rPr>
        <w:t>83.5万元，占比2.66%。</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（三）一般公共预算财政拨款支出决算具体情况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1.一般公共服务</w:t>
      </w:r>
      <w:r>
        <w:rPr>
          <w:rFonts w:hint="eastAsia" w:ascii="仿宋_GB2312" w:hAnsi="仿宋_GB2312" w:eastAsia="仿宋_GB2312" w:cs="仿宋_GB2312"/>
          <w:kern w:val="0"/>
          <w:sz w:val="32"/>
          <w:szCs w:val="32"/>
          <w:highlight w:val="none"/>
          <w:lang w:eastAsia="zh-CN"/>
        </w:rPr>
        <w:t>支出</w:t>
      </w:r>
      <w:r>
        <w:rPr>
          <w:rFonts w:hint="eastAsia" w:ascii="仿宋_GB2312" w:hAnsi="仿宋_GB2312" w:eastAsia="仿宋_GB2312" w:cs="仿宋_GB2312"/>
          <w:kern w:val="0"/>
          <w:sz w:val="32"/>
          <w:szCs w:val="32"/>
          <w:highlight w:val="none"/>
        </w:rPr>
        <w:t>（类）政府办公厅（室）及相关机构事务（款）行政运行（项）: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为368.33万元，比上年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69.28</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23.17</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本年人员社保、公积金调整基数，工资标准调增，导致人员经费增大。</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2.一般公共服务</w:t>
      </w:r>
      <w:r>
        <w:rPr>
          <w:rFonts w:hint="eastAsia" w:ascii="仿宋_GB2312" w:hAnsi="仿宋_GB2312" w:eastAsia="仿宋_GB2312" w:cs="仿宋_GB2312"/>
          <w:kern w:val="0"/>
          <w:sz w:val="32"/>
          <w:szCs w:val="32"/>
          <w:highlight w:val="none"/>
          <w:lang w:eastAsia="zh-CN"/>
        </w:rPr>
        <w:t>支出</w:t>
      </w:r>
      <w:r>
        <w:rPr>
          <w:rFonts w:hint="eastAsia" w:ascii="仿宋_GB2312" w:hAnsi="仿宋_GB2312" w:eastAsia="仿宋_GB2312" w:cs="仿宋_GB2312"/>
          <w:kern w:val="0"/>
          <w:sz w:val="32"/>
          <w:szCs w:val="32"/>
          <w:highlight w:val="none"/>
        </w:rPr>
        <w:t>（类）政府办公厅（室）及相关机构事务（款）事业运行（项）: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为740.92万元，比上年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166.3</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28.94</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本年人员社保、公积金调整基数，工资标准调增，导致人员经费增大。</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一般公共服务（类）财政事务（款）</w:t>
      </w:r>
      <w:r>
        <w:rPr>
          <w:rFonts w:hint="eastAsia" w:ascii="仿宋_GB2312" w:hAnsi="仿宋_GB2312" w:eastAsia="仿宋_GB2312" w:cs="仿宋_GB2312"/>
          <w:kern w:val="0"/>
          <w:sz w:val="32"/>
          <w:szCs w:val="32"/>
          <w:highlight w:val="none"/>
          <w:lang w:eastAsia="zh-CN"/>
        </w:rPr>
        <w:t>行政</w:t>
      </w:r>
      <w:r>
        <w:rPr>
          <w:rFonts w:hint="eastAsia" w:ascii="仿宋_GB2312" w:hAnsi="仿宋_GB2312" w:eastAsia="仿宋_GB2312" w:cs="仿宋_GB2312"/>
          <w:kern w:val="0"/>
          <w:sz w:val="32"/>
          <w:szCs w:val="32"/>
          <w:highlight w:val="none"/>
        </w:rPr>
        <w:t>运行（项）: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15.54</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此款项本年基本支出减少。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4.纪检监察事务（类）其他纪检监察事务支出</w:t>
      </w:r>
      <w:r>
        <w:rPr>
          <w:rFonts w:hint="eastAsia" w:ascii="仿宋_GB2312" w:hAnsi="仿宋_GB2312" w:eastAsia="仿宋_GB2312" w:cs="仿宋_GB2312"/>
          <w:kern w:val="0"/>
          <w:sz w:val="32"/>
          <w:szCs w:val="32"/>
          <w:highlight w:val="none"/>
        </w:rPr>
        <w:t>（款）</w:t>
      </w:r>
      <w:r>
        <w:rPr>
          <w:rFonts w:hint="eastAsia" w:ascii="仿宋_GB2312" w:hAnsi="仿宋_GB2312" w:eastAsia="仿宋_GB2312" w:cs="仿宋_GB2312"/>
          <w:kern w:val="0"/>
          <w:sz w:val="32"/>
          <w:szCs w:val="32"/>
          <w:highlight w:val="none"/>
          <w:lang w:val="en-US" w:eastAsia="zh-CN"/>
        </w:rPr>
        <w:t>其他纪检监察事务支出</w:t>
      </w:r>
      <w:r>
        <w:rPr>
          <w:rFonts w:hint="eastAsia" w:ascii="仿宋_GB2312" w:hAnsi="仿宋_GB2312" w:eastAsia="仿宋_GB2312" w:cs="仿宋_GB2312"/>
          <w:kern w:val="0"/>
          <w:sz w:val="32"/>
          <w:szCs w:val="32"/>
          <w:highlight w:val="none"/>
        </w:rPr>
        <w:t>（项）支出</w:t>
      </w:r>
      <w:r>
        <w:rPr>
          <w:rFonts w:hint="eastAsia" w:ascii="仿宋_GB2312" w:hAnsi="仿宋_GB2312" w:eastAsia="仿宋_GB2312" w:cs="仿宋_GB2312"/>
          <w:kern w:val="0"/>
          <w:sz w:val="32"/>
          <w:szCs w:val="32"/>
          <w:highlight w:val="none"/>
          <w:lang w:eastAsia="zh-CN"/>
        </w:rPr>
        <w:t>：支出</w:t>
      </w:r>
      <w:r>
        <w:rPr>
          <w:rFonts w:hint="eastAsia" w:ascii="仿宋_GB2312" w:hAnsi="仿宋_GB2312" w:eastAsia="仿宋_GB2312" w:cs="仿宋_GB2312"/>
          <w:kern w:val="0"/>
          <w:sz w:val="32"/>
          <w:szCs w:val="32"/>
          <w:highlight w:val="none"/>
          <w:lang w:val="en-US" w:eastAsia="zh-CN"/>
        </w:rPr>
        <w:t>决算数0元，</w:t>
      </w:r>
      <w:r>
        <w:rPr>
          <w:rFonts w:hint="eastAsia" w:ascii="仿宋" w:hAnsi="仿宋" w:eastAsia="仿宋" w:cs="宋体"/>
          <w:bCs/>
          <w:color w:val="333333"/>
          <w:sz w:val="32"/>
          <w:szCs w:val="32"/>
          <w:highlight w:val="none"/>
          <w:lang w:bidi="ar"/>
        </w:rPr>
        <w:t>比上年决算</w:t>
      </w:r>
      <w:r>
        <w:rPr>
          <w:rFonts w:hint="eastAsia" w:ascii="仿宋" w:hAnsi="仿宋" w:eastAsia="仿宋" w:cs="宋体"/>
          <w:bCs/>
          <w:color w:val="333333"/>
          <w:sz w:val="32"/>
          <w:szCs w:val="32"/>
          <w:highlight w:val="none"/>
          <w:lang w:val="en-US" w:eastAsia="zh-CN" w:bidi="ar"/>
        </w:rPr>
        <w:t>减少3.10</w:t>
      </w:r>
      <w:r>
        <w:rPr>
          <w:rFonts w:hint="eastAsia" w:ascii="仿宋" w:hAnsi="仿宋" w:eastAsia="仿宋" w:cs="宋体"/>
          <w:bCs/>
          <w:color w:val="333333"/>
          <w:sz w:val="32"/>
          <w:szCs w:val="32"/>
          <w:highlight w:val="none"/>
          <w:lang w:bidi="ar"/>
        </w:rPr>
        <w:t>万元，</w:t>
      </w:r>
      <w:r>
        <w:rPr>
          <w:rFonts w:hint="eastAsia" w:ascii="仿宋" w:hAnsi="仿宋" w:eastAsia="仿宋" w:cs="宋体"/>
          <w:bCs/>
          <w:color w:val="333333"/>
          <w:sz w:val="32"/>
          <w:szCs w:val="32"/>
          <w:highlight w:val="none"/>
          <w:lang w:val="en-US" w:eastAsia="zh-CN" w:bidi="ar"/>
        </w:rPr>
        <w:t>下降100</w:t>
      </w:r>
      <w:r>
        <w:rPr>
          <w:rFonts w:hint="eastAsia" w:ascii="仿宋" w:hAnsi="仿宋" w:eastAsia="仿宋" w:cs="宋体"/>
          <w:bCs/>
          <w:color w:val="333333"/>
          <w:sz w:val="32"/>
          <w:szCs w:val="32"/>
          <w:highlight w:val="none"/>
          <w:lang w:bidi="ar"/>
        </w:rPr>
        <w:t>%，主要原因是：</w:t>
      </w:r>
      <w:r>
        <w:rPr>
          <w:rFonts w:hint="eastAsia" w:ascii="仿宋_GB2312" w:hAnsi="仿宋_GB2312" w:eastAsia="仿宋_GB2312" w:cs="仿宋_GB2312"/>
          <w:kern w:val="0"/>
          <w:sz w:val="32"/>
          <w:szCs w:val="32"/>
          <w:highlight w:val="none"/>
          <w:lang w:val="en-US" w:eastAsia="zh-CN"/>
        </w:rPr>
        <w:t>2022年度全年未拨付此项经费，故经费减少</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一般公共服务支出（类）其他一般公共服务支出（款）其他一般公共服务支出（项）: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元，比上年</w:t>
      </w:r>
      <w:r>
        <w:rPr>
          <w:rFonts w:hint="eastAsia" w:ascii="仿宋_GB2312" w:hAnsi="仿宋_GB2312" w:eastAsia="仿宋_GB2312" w:cs="仿宋_GB2312"/>
          <w:kern w:val="0"/>
          <w:sz w:val="32"/>
          <w:szCs w:val="32"/>
          <w:highlight w:val="none"/>
          <w:lang w:val="en-US" w:eastAsia="zh-CN"/>
        </w:rPr>
        <w:t>决算减少28.90</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CN"/>
        </w:rPr>
        <w:t>下降</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2022年度全年未拨付此项经费，故经费减少</w:t>
      </w:r>
      <w:r>
        <w:rPr>
          <w:rFonts w:hint="eastAsia" w:ascii="仿宋_GB2312" w:hAnsi="仿宋_GB2312" w:eastAsia="仿宋_GB2312" w:cs="仿宋_GB2312"/>
          <w:kern w:val="0"/>
          <w:sz w:val="32"/>
          <w:szCs w:val="32"/>
          <w:highlight w:val="none"/>
          <w:lang w:eastAsia="zh-CN"/>
        </w:rPr>
        <w:t>。</w:t>
      </w:r>
    </w:p>
    <w:p>
      <w:pPr>
        <w:spacing w:line="600" w:lineRule="exact"/>
        <w:ind w:firstLine="640" w:firstLineChars="200"/>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6.</w:t>
      </w:r>
      <w:r>
        <w:rPr>
          <w:rFonts w:hint="eastAsia" w:ascii="仿宋" w:hAnsi="仿宋" w:eastAsia="仿宋" w:cs="宋体"/>
          <w:bCs/>
          <w:color w:val="auto"/>
          <w:sz w:val="32"/>
          <w:szCs w:val="32"/>
          <w:highlight w:val="none"/>
          <w:lang w:val="en-US" w:eastAsia="zh-CN" w:bidi="ar"/>
        </w:rPr>
        <w:t>公共安全支出</w:t>
      </w:r>
      <w:r>
        <w:rPr>
          <w:rFonts w:hint="eastAsia" w:ascii="仿宋_GB2312" w:hAnsi="仿宋_GB2312" w:eastAsia="仿宋_GB2312" w:cs="仿宋_GB2312"/>
          <w:color w:val="auto"/>
          <w:kern w:val="0"/>
          <w:sz w:val="32"/>
          <w:szCs w:val="32"/>
          <w:highlight w:val="none"/>
          <w:lang w:val="en-US" w:eastAsia="zh-CN"/>
        </w:rPr>
        <w:t>（类）公安</w:t>
      </w:r>
      <w:r>
        <w:rPr>
          <w:rFonts w:hint="eastAsia" w:ascii="仿宋_GB2312" w:hAnsi="仿宋_GB2312" w:eastAsia="仿宋_GB2312" w:cs="仿宋_GB2312"/>
          <w:color w:val="auto"/>
          <w:kern w:val="0"/>
          <w:sz w:val="32"/>
          <w:szCs w:val="32"/>
          <w:highlight w:val="none"/>
        </w:rPr>
        <w:t>（款）其他公安支出（项）支出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color w:val="auto"/>
          <w:kern w:val="0"/>
          <w:sz w:val="32"/>
          <w:szCs w:val="32"/>
          <w:highlight w:val="none"/>
          <w:lang w:val="en-US" w:eastAsia="zh-CN"/>
        </w:rPr>
        <w:t>，</w:t>
      </w:r>
      <w:r>
        <w:rPr>
          <w:rFonts w:hint="eastAsia" w:ascii="仿宋" w:hAnsi="仿宋" w:eastAsia="仿宋" w:cs="宋体"/>
          <w:bCs/>
          <w:color w:val="auto"/>
          <w:sz w:val="32"/>
          <w:szCs w:val="32"/>
          <w:highlight w:val="none"/>
          <w:lang w:bidi="ar"/>
        </w:rPr>
        <w:t>比上年决算</w:t>
      </w:r>
      <w:r>
        <w:rPr>
          <w:rFonts w:hint="eastAsia" w:ascii="仿宋" w:hAnsi="仿宋" w:eastAsia="仿宋" w:cs="宋体"/>
          <w:bCs/>
          <w:color w:val="auto"/>
          <w:sz w:val="32"/>
          <w:szCs w:val="32"/>
          <w:highlight w:val="none"/>
          <w:lang w:val="en-US" w:eastAsia="zh-CN" w:bidi="ar"/>
        </w:rPr>
        <w:t>减少190.55</w:t>
      </w:r>
      <w:r>
        <w:rPr>
          <w:rFonts w:hint="eastAsia" w:ascii="仿宋" w:hAnsi="仿宋" w:eastAsia="仿宋" w:cs="宋体"/>
          <w:bCs/>
          <w:color w:val="auto"/>
          <w:sz w:val="32"/>
          <w:szCs w:val="32"/>
          <w:highlight w:val="none"/>
          <w:lang w:bidi="ar"/>
        </w:rPr>
        <w:t>万元，</w:t>
      </w:r>
      <w:r>
        <w:rPr>
          <w:rFonts w:hint="eastAsia" w:ascii="仿宋" w:hAnsi="仿宋" w:eastAsia="仿宋" w:cs="宋体"/>
          <w:bCs/>
          <w:color w:val="auto"/>
          <w:sz w:val="32"/>
          <w:szCs w:val="32"/>
          <w:highlight w:val="none"/>
          <w:lang w:val="en-US" w:eastAsia="zh-CN" w:bidi="ar"/>
        </w:rPr>
        <w:t>下降100</w:t>
      </w:r>
      <w:r>
        <w:rPr>
          <w:rFonts w:hint="eastAsia" w:ascii="仿宋" w:hAnsi="仿宋" w:eastAsia="仿宋" w:cs="宋体"/>
          <w:bCs/>
          <w:color w:val="auto"/>
          <w:sz w:val="32"/>
          <w:szCs w:val="32"/>
          <w:highlight w:val="none"/>
          <w:lang w:bidi="ar"/>
        </w:rPr>
        <w:t>%，主要原因是：便民服务站运行经费在年末大部分调整为往来款项目，导致决算数减少。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7.</w:t>
      </w:r>
      <w:r>
        <w:rPr>
          <w:rFonts w:hint="eastAsia" w:ascii="仿宋_GB2312" w:hAnsi="仿宋_GB2312" w:eastAsia="仿宋_GB2312" w:cs="仿宋_GB2312"/>
          <w:kern w:val="0"/>
          <w:sz w:val="32"/>
          <w:szCs w:val="32"/>
          <w:highlight w:val="none"/>
        </w:rPr>
        <w:t>公共安全支出（类）其他公共安全支出（款）其他公共安全支出（项）: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0.5</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262.65</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99.81</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本年便民服务站运行经费调减预算，导致支出大幅减少。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 w:hAnsi="仿宋" w:eastAsia="仿宋" w:cs="宋体"/>
          <w:bCs/>
          <w:color w:val="auto"/>
          <w:sz w:val="32"/>
          <w:szCs w:val="32"/>
          <w:highlight w:val="none"/>
          <w:lang w:val="en-US" w:eastAsia="zh-CN" w:bidi="ar"/>
        </w:rPr>
        <w:t>8.科学技术支出</w:t>
      </w:r>
      <w:r>
        <w:rPr>
          <w:rFonts w:hint="eastAsia" w:ascii="仿宋_GB2312" w:hAnsi="仿宋_GB2312" w:eastAsia="仿宋_GB2312" w:cs="仿宋_GB2312"/>
          <w:color w:val="auto"/>
          <w:kern w:val="0"/>
          <w:sz w:val="32"/>
          <w:szCs w:val="32"/>
          <w:highlight w:val="none"/>
          <w:lang w:val="en-US" w:eastAsia="zh-CN"/>
        </w:rPr>
        <w:t>（类）其他科学技术支出</w:t>
      </w:r>
      <w:r>
        <w:rPr>
          <w:rFonts w:hint="eastAsia" w:ascii="仿宋_GB2312" w:hAnsi="仿宋_GB2312" w:eastAsia="仿宋_GB2312" w:cs="仿宋_GB2312"/>
          <w:color w:val="auto"/>
          <w:kern w:val="0"/>
          <w:sz w:val="32"/>
          <w:szCs w:val="32"/>
          <w:highlight w:val="none"/>
        </w:rPr>
        <w:t>（款）其他科学技术支出（项）支出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color w:val="auto"/>
          <w:kern w:val="0"/>
          <w:sz w:val="32"/>
          <w:szCs w:val="32"/>
          <w:highlight w:val="none"/>
          <w:lang w:val="en-US" w:eastAsia="zh-CN"/>
        </w:rPr>
        <w:t>，</w:t>
      </w:r>
      <w:r>
        <w:rPr>
          <w:rFonts w:hint="eastAsia" w:ascii="仿宋" w:hAnsi="仿宋" w:eastAsia="仿宋" w:cs="宋体"/>
          <w:bCs/>
          <w:color w:val="auto"/>
          <w:sz w:val="32"/>
          <w:szCs w:val="32"/>
          <w:highlight w:val="none"/>
          <w:lang w:bidi="ar"/>
        </w:rPr>
        <w:t>比上年决算</w:t>
      </w:r>
      <w:r>
        <w:rPr>
          <w:rFonts w:hint="eastAsia" w:ascii="仿宋" w:hAnsi="仿宋" w:eastAsia="仿宋" w:cs="宋体"/>
          <w:bCs/>
          <w:color w:val="auto"/>
          <w:sz w:val="32"/>
          <w:szCs w:val="32"/>
          <w:highlight w:val="none"/>
          <w:lang w:val="en-US" w:eastAsia="zh-CN" w:bidi="ar"/>
        </w:rPr>
        <w:t>减少9.45</w:t>
      </w:r>
      <w:r>
        <w:rPr>
          <w:rFonts w:hint="eastAsia" w:ascii="仿宋" w:hAnsi="仿宋" w:eastAsia="仿宋" w:cs="宋体"/>
          <w:bCs/>
          <w:color w:val="auto"/>
          <w:sz w:val="32"/>
          <w:szCs w:val="32"/>
          <w:highlight w:val="none"/>
          <w:lang w:bidi="ar"/>
        </w:rPr>
        <w:t>万元，</w:t>
      </w:r>
      <w:r>
        <w:rPr>
          <w:rFonts w:hint="eastAsia" w:ascii="仿宋" w:hAnsi="仿宋" w:eastAsia="仿宋" w:cs="宋体"/>
          <w:bCs/>
          <w:color w:val="auto"/>
          <w:sz w:val="32"/>
          <w:szCs w:val="32"/>
          <w:highlight w:val="none"/>
          <w:lang w:val="en-US" w:eastAsia="zh-CN" w:bidi="ar"/>
        </w:rPr>
        <w:t>下降100</w:t>
      </w:r>
      <w:r>
        <w:rPr>
          <w:rFonts w:hint="eastAsia" w:ascii="仿宋" w:hAnsi="仿宋" w:eastAsia="仿宋" w:cs="宋体"/>
          <w:bCs/>
          <w:color w:val="auto"/>
          <w:sz w:val="32"/>
          <w:szCs w:val="32"/>
          <w:highlight w:val="none"/>
          <w:lang w:bidi="ar"/>
        </w:rPr>
        <w:t>%，主要原因是：</w:t>
      </w:r>
      <w:r>
        <w:rPr>
          <w:rFonts w:hint="eastAsia" w:ascii="仿宋_GB2312" w:hAnsi="仿宋_GB2312" w:eastAsia="仿宋_GB2312" w:cs="仿宋_GB2312"/>
          <w:kern w:val="0"/>
          <w:sz w:val="32"/>
          <w:szCs w:val="32"/>
          <w:highlight w:val="none"/>
          <w:lang w:val="en-US" w:eastAsia="zh-CN"/>
        </w:rPr>
        <w:t>2022年度全年未拨付此项经费，故经费减少</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 w:hAnsi="仿宋" w:eastAsia="仿宋" w:cs="宋体"/>
          <w:bCs/>
          <w:color w:val="auto"/>
          <w:sz w:val="32"/>
          <w:szCs w:val="32"/>
          <w:highlight w:val="none"/>
          <w:lang w:val="en-US" w:eastAsia="zh-CN" w:bidi="ar"/>
        </w:rPr>
        <w:t>9.文化旅游体育与传媒支出</w:t>
      </w:r>
      <w:r>
        <w:rPr>
          <w:rFonts w:hint="eastAsia" w:ascii="仿宋_GB2312" w:hAnsi="仿宋_GB2312" w:eastAsia="仿宋_GB2312" w:cs="仿宋_GB2312"/>
          <w:color w:val="auto"/>
          <w:kern w:val="0"/>
          <w:sz w:val="32"/>
          <w:szCs w:val="32"/>
          <w:highlight w:val="none"/>
          <w:lang w:val="en-US" w:eastAsia="zh-CN"/>
        </w:rPr>
        <w:t>（类）文化和旅游</w:t>
      </w:r>
      <w:r>
        <w:rPr>
          <w:rFonts w:hint="eastAsia" w:ascii="仿宋_GB2312" w:hAnsi="仿宋_GB2312" w:eastAsia="仿宋_GB2312" w:cs="仿宋_GB2312"/>
          <w:color w:val="auto"/>
          <w:kern w:val="0"/>
          <w:sz w:val="32"/>
          <w:szCs w:val="32"/>
          <w:highlight w:val="none"/>
        </w:rPr>
        <w:t>（款）</w:t>
      </w:r>
      <w:r>
        <w:rPr>
          <w:rFonts w:hint="eastAsia" w:ascii="仿宋_GB2312" w:hAnsi="仿宋_GB2312" w:eastAsia="仿宋_GB2312" w:cs="仿宋_GB2312"/>
          <w:color w:val="auto"/>
          <w:kern w:val="0"/>
          <w:sz w:val="32"/>
          <w:szCs w:val="32"/>
          <w:highlight w:val="none"/>
          <w:lang w:eastAsia="zh-CN"/>
        </w:rPr>
        <w:t>群众文化</w:t>
      </w:r>
      <w:r>
        <w:rPr>
          <w:rFonts w:hint="eastAsia" w:ascii="仿宋_GB2312" w:hAnsi="仿宋_GB2312" w:eastAsia="仿宋_GB2312" w:cs="仿宋_GB2312"/>
          <w:color w:val="auto"/>
          <w:kern w:val="0"/>
          <w:sz w:val="32"/>
          <w:szCs w:val="32"/>
          <w:highlight w:val="none"/>
        </w:rPr>
        <w:t>（项）支出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color w:val="auto"/>
          <w:kern w:val="0"/>
          <w:sz w:val="32"/>
          <w:szCs w:val="32"/>
          <w:highlight w:val="none"/>
          <w:lang w:val="en-US" w:eastAsia="zh-CN"/>
        </w:rPr>
        <w:t>，</w:t>
      </w:r>
      <w:r>
        <w:rPr>
          <w:rFonts w:hint="eastAsia" w:ascii="仿宋" w:hAnsi="仿宋" w:eastAsia="仿宋" w:cs="宋体"/>
          <w:bCs/>
          <w:color w:val="auto"/>
          <w:sz w:val="32"/>
          <w:szCs w:val="32"/>
          <w:highlight w:val="none"/>
          <w:lang w:bidi="ar"/>
        </w:rPr>
        <w:t>比上年决算</w:t>
      </w:r>
      <w:r>
        <w:rPr>
          <w:rFonts w:hint="eastAsia" w:ascii="仿宋" w:hAnsi="仿宋" w:eastAsia="仿宋" w:cs="宋体"/>
          <w:bCs/>
          <w:color w:val="auto"/>
          <w:sz w:val="32"/>
          <w:szCs w:val="32"/>
          <w:highlight w:val="none"/>
          <w:lang w:val="en-US" w:eastAsia="zh-CN" w:bidi="ar"/>
        </w:rPr>
        <w:t>减少161.09</w:t>
      </w:r>
      <w:r>
        <w:rPr>
          <w:rFonts w:hint="eastAsia" w:ascii="仿宋" w:hAnsi="仿宋" w:eastAsia="仿宋" w:cs="宋体"/>
          <w:bCs/>
          <w:color w:val="auto"/>
          <w:sz w:val="32"/>
          <w:szCs w:val="32"/>
          <w:highlight w:val="none"/>
          <w:lang w:bidi="ar"/>
        </w:rPr>
        <w:t>万元，</w:t>
      </w:r>
      <w:r>
        <w:rPr>
          <w:rFonts w:hint="eastAsia" w:ascii="仿宋" w:hAnsi="仿宋" w:eastAsia="仿宋" w:cs="宋体"/>
          <w:bCs/>
          <w:color w:val="auto"/>
          <w:sz w:val="32"/>
          <w:szCs w:val="32"/>
          <w:highlight w:val="none"/>
          <w:lang w:val="en-US" w:eastAsia="zh-CN" w:bidi="ar"/>
        </w:rPr>
        <w:t>下降100</w:t>
      </w:r>
      <w:r>
        <w:rPr>
          <w:rFonts w:hint="eastAsia" w:ascii="仿宋" w:hAnsi="仿宋" w:eastAsia="仿宋" w:cs="宋体"/>
          <w:bCs/>
          <w:color w:val="auto"/>
          <w:sz w:val="32"/>
          <w:szCs w:val="32"/>
          <w:highlight w:val="none"/>
          <w:lang w:bidi="ar"/>
        </w:rPr>
        <w:t>%，主要原因是：</w:t>
      </w:r>
      <w:r>
        <w:rPr>
          <w:rFonts w:hint="eastAsia" w:ascii="仿宋_GB2312" w:hAnsi="仿宋_GB2312" w:eastAsia="仿宋_GB2312" w:cs="仿宋_GB2312"/>
          <w:kern w:val="0"/>
          <w:sz w:val="32"/>
          <w:szCs w:val="32"/>
          <w:highlight w:val="none"/>
          <w:lang w:val="en-US" w:eastAsia="zh-CN"/>
        </w:rPr>
        <w:t>2022年度全年未拨付此项经费，故经费减少</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10.</w:t>
      </w:r>
      <w:r>
        <w:rPr>
          <w:rFonts w:hint="eastAsia" w:ascii="仿宋_GB2312" w:hAnsi="仿宋_GB2312" w:eastAsia="仿宋_GB2312" w:cs="仿宋_GB2312"/>
          <w:kern w:val="0"/>
          <w:sz w:val="32"/>
          <w:szCs w:val="32"/>
          <w:highlight w:val="none"/>
        </w:rPr>
        <w:t>社会保障和就业支出（类）民政管理事务（款）基层政权建设和社区治理（项）: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1699.58</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1182.38</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41.03</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2022年临聘人员经费、社区经费、社区食堂补助经费减少预算，导致支出较上年大幅减少</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11.</w:t>
      </w:r>
      <w:r>
        <w:rPr>
          <w:rFonts w:hint="eastAsia" w:ascii="仿宋_GB2312" w:hAnsi="仿宋_GB2312" w:eastAsia="仿宋_GB2312" w:cs="仿宋_GB2312"/>
          <w:kern w:val="0"/>
          <w:sz w:val="32"/>
          <w:szCs w:val="32"/>
          <w:highlight w:val="none"/>
        </w:rPr>
        <w:t>社会保障和就业支出（类）行政事业单位养老支出（款）行政单位离退休（项）: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0.48</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0.48</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：本年行政退休人员暖气费在此款项反应。</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12.</w:t>
      </w:r>
      <w:r>
        <w:rPr>
          <w:rFonts w:hint="eastAsia" w:ascii="仿宋_GB2312" w:hAnsi="仿宋_GB2312" w:eastAsia="仿宋_GB2312" w:cs="仿宋_GB2312"/>
          <w:kern w:val="0"/>
          <w:sz w:val="32"/>
          <w:szCs w:val="32"/>
          <w:highlight w:val="none"/>
        </w:rPr>
        <w:t>社会保障和就业支出（类）行政事业单位养老支出（款）事业单位离退休（项）: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0.36</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0.36</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本年事业退休人员暖气费在此款项反应。</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13.</w:t>
      </w:r>
      <w:r>
        <w:rPr>
          <w:rFonts w:hint="eastAsia" w:ascii="仿宋_GB2312" w:hAnsi="仿宋_GB2312" w:eastAsia="仿宋_GB2312" w:cs="仿宋_GB2312"/>
          <w:kern w:val="0"/>
          <w:sz w:val="32"/>
          <w:szCs w:val="32"/>
          <w:highlight w:val="none"/>
        </w:rPr>
        <w:t>社会保障和就业支出（类）行政事业单位养老支出（款）机关事业单位基本养老保险缴费支出（项）: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182</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8.24</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4.74</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：本年人员社保基数调整，养老保险缴费较上年增加。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14.</w:t>
      </w:r>
      <w:r>
        <w:rPr>
          <w:rFonts w:hint="eastAsia" w:ascii="仿宋_GB2312" w:hAnsi="仿宋_GB2312" w:eastAsia="仿宋_GB2312" w:cs="仿宋_GB2312"/>
          <w:kern w:val="0"/>
          <w:sz w:val="32"/>
          <w:szCs w:val="32"/>
          <w:highlight w:val="none"/>
        </w:rPr>
        <w:t>社会保障和就业支出（类）其他生活救助（款）其他城市生活救助（项）: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5.88</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5.88</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本年新增项目乌财社（2020）203号关于拨付受防疫影响灵活就业人员困难救助金</w:t>
      </w:r>
      <w:r>
        <w:rPr>
          <w:rFonts w:hint="eastAsia" w:ascii="仿宋_GB2312" w:hAnsi="仿宋_GB2312" w:eastAsia="仿宋_GB2312" w:cs="仿宋_GB2312"/>
          <w:kern w:val="0"/>
          <w:sz w:val="32"/>
          <w:szCs w:val="32"/>
          <w:highlight w:val="none"/>
          <w:lang w:val="en-US" w:eastAsia="zh-CN"/>
        </w:rPr>
        <w:t>5.88万元</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15.</w:t>
      </w:r>
      <w:r>
        <w:rPr>
          <w:rFonts w:hint="eastAsia" w:ascii="仿宋" w:hAnsi="仿宋" w:eastAsia="仿宋" w:cs="宋体"/>
          <w:bCs/>
          <w:color w:val="auto"/>
          <w:sz w:val="32"/>
          <w:szCs w:val="32"/>
          <w:highlight w:val="none"/>
          <w:lang w:val="en-US" w:eastAsia="zh-CN" w:bidi="ar"/>
        </w:rPr>
        <w:t>卫生健康支出</w:t>
      </w:r>
      <w:r>
        <w:rPr>
          <w:rFonts w:hint="eastAsia" w:ascii="仿宋_GB2312" w:hAnsi="仿宋_GB2312" w:eastAsia="仿宋_GB2312" w:cs="仿宋_GB2312"/>
          <w:color w:val="auto"/>
          <w:kern w:val="0"/>
          <w:sz w:val="32"/>
          <w:szCs w:val="32"/>
          <w:highlight w:val="none"/>
          <w:lang w:val="en-US" w:eastAsia="zh-CN"/>
        </w:rPr>
        <w:t>（类）卫生健康管理事务</w:t>
      </w:r>
      <w:r>
        <w:rPr>
          <w:rFonts w:hint="eastAsia" w:ascii="仿宋_GB2312" w:hAnsi="仿宋_GB2312" w:eastAsia="仿宋_GB2312" w:cs="仿宋_GB2312"/>
          <w:color w:val="auto"/>
          <w:kern w:val="0"/>
          <w:sz w:val="32"/>
          <w:szCs w:val="32"/>
          <w:highlight w:val="none"/>
        </w:rPr>
        <w:t>（款）行政运行（项）支出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color w:val="auto"/>
          <w:kern w:val="0"/>
          <w:sz w:val="32"/>
          <w:szCs w:val="32"/>
          <w:highlight w:val="none"/>
          <w:lang w:val="en-US" w:eastAsia="zh-CN"/>
        </w:rPr>
        <w:t>，</w:t>
      </w:r>
      <w:r>
        <w:rPr>
          <w:rFonts w:hint="eastAsia" w:ascii="仿宋" w:hAnsi="仿宋" w:eastAsia="仿宋" w:cs="宋体"/>
          <w:bCs/>
          <w:color w:val="auto"/>
          <w:sz w:val="32"/>
          <w:szCs w:val="32"/>
          <w:highlight w:val="none"/>
          <w:lang w:bidi="ar"/>
        </w:rPr>
        <w:t>比上年决算</w:t>
      </w:r>
      <w:r>
        <w:rPr>
          <w:rFonts w:hint="eastAsia" w:ascii="仿宋" w:hAnsi="仿宋" w:eastAsia="仿宋" w:cs="宋体"/>
          <w:bCs/>
          <w:color w:val="auto"/>
          <w:sz w:val="32"/>
          <w:szCs w:val="32"/>
          <w:highlight w:val="none"/>
          <w:lang w:val="en-US" w:eastAsia="zh-CN" w:bidi="ar"/>
        </w:rPr>
        <w:t>减少16.77</w:t>
      </w:r>
      <w:r>
        <w:rPr>
          <w:rFonts w:hint="eastAsia" w:ascii="仿宋" w:hAnsi="仿宋" w:eastAsia="仿宋" w:cs="宋体"/>
          <w:bCs/>
          <w:color w:val="auto"/>
          <w:sz w:val="32"/>
          <w:szCs w:val="32"/>
          <w:highlight w:val="none"/>
          <w:lang w:bidi="ar"/>
        </w:rPr>
        <w:t>万元，</w:t>
      </w:r>
      <w:r>
        <w:rPr>
          <w:rFonts w:hint="eastAsia" w:ascii="仿宋" w:hAnsi="仿宋" w:eastAsia="仿宋" w:cs="宋体"/>
          <w:bCs/>
          <w:color w:val="auto"/>
          <w:sz w:val="32"/>
          <w:szCs w:val="32"/>
          <w:highlight w:val="none"/>
          <w:lang w:val="en-US" w:eastAsia="zh-CN" w:bidi="ar"/>
        </w:rPr>
        <w:t>下降100</w:t>
      </w:r>
      <w:r>
        <w:rPr>
          <w:rFonts w:hint="eastAsia" w:ascii="仿宋" w:hAnsi="仿宋" w:eastAsia="仿宋" w:cs="宋体"/>
          <w:bCs/>
          <w:color w:val="auto"/>
          <w:sz w:val="32"/>
          <w:szCs w:val="32"/>
          <w:highlight w:val="none"/>
          <w:lang w:bidi="ar"/>
        </w:rPr>
        <w:t>%，主要原因是：</w:t>
      </w:r>
      <w:r>
        <w:rPr>
          <w:rFonts w:hint="eastAsia" w:ascii="仿宋_GB2312" w:hAnsi="仿宋_GB2312" w:eastAsia="仿宋_GB2312" w:cs="仿宋_GB2312"/>
          <w:kern w:val="0"/>
          <w:sz w:val="32"/>
          <w:szCs w:val="32"/>
          <w:highlight w:val="none"/>
          <w:lang w:val="en-US" w:eastAsia="zh-CN"/>
        </w:rPr>
        <w:t>2022年度全年未拨付此项经费，故经费减少</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16.</w:t>
      </w:r>
      <w:r>
        <w:rPr>
          <w:rFonts w:hint="eastAsia" w:ascii="仿宋" w:hAnsi="仿宋" w:eastAsia="仿宋" w:cs="宋体"/>
          <w:bCs/>
          <w:color w:val="auto"/>
          <w:sz w:val="32"/>
          <w:szCs w:val="32"/>
          <w:highlight w:val="none"/>
          <w:lang w:val="en-US" w:eastAsia="zh-CN" w:bidi="ar"/>
        </w:rPr>
        <w:t>卫生健康支出</w:t>
      </w:r>
      <w:r>
        <w:rPr>
          <w:rFonts w:hint="eastAsia" w:ascii="仿宋_GB2312" w:hAnsi="仿宋_GB2312" w:eastAsia="仿宋_GB2312" w:cs="仿宋_GB2312"/>
          <w:color w:val="auto"/>
          <w:kern w:val="0"/>
          <w:sz w:val="32"/>
          <w:szCs w:val="32"/>
          <w:highlight w:val="none"/>
          <w:lang w:val="en-US" w:eastAsia="zh-CN"/>
        </w:rPr>
        <w:t>（类）</w:t>
      </w:r>
      <w:r>
        <w:rPr>
          <w:rFonts w:hint="eastAsia" w:ascii="仿宋" w:hAnsi="仿宋" w:eastAsia="仿宋" w:cs="宋体"/>
          <w:bCs/>
          <w:color w:val="auto"/>
          <w:sz w:val="32"/>
          <w:szCs w:val="32"/>
          <w:highlight w:val="none"/>
          <w:lang w:val="en-US" w:eastAsia="zh-CN" w:bidi="ar"/>
        </w:rPr>
        <w:t>基层医疗卫生机构</w:t>
      </w:r>
      <w:r>
        <w:rPr>
          <w:rFonts w:hint="eastAsia" w:ascii="仿宋_GB2312" w:hAnsi="仿宋_GB2312" w:eastAsia="仿宋_GB2312" w:cs="仿宋_GB2312"/>
          <w:color w:val="auto"/>
          <w:kern w:val="0"/>
          <w:sz w:val="32"/>
          <w:szCs w:val="32"/>
          <w:highlight w:val="none"/>
        </w:rPr>
        <w:t>（款）</w:t>
      </w:r>
      <w:r>
        <w:rPr>
          <w:rFonts w:hint="eastAsia" w:ascii="仿宋_GB2312" w:hAnsi="仿宋_GB2312" w:eastAsia="仿宋_GB2312" w:cs="仿宋_GB2312"/>
          <w:color w:val="auto"/>
          <w:kern w:val="0"/>
          <w:sz w:val="32"/>
          <w:szCs w:val="32"/>
          <w:highlight w:val="none"/>
          <w:lang w:val="en-US" w:eastAsia="zh-CN"/>
        </w:rPr>
        <w:t>其他基层医疗卫生机构支出</w:t>
      </w:r>
      <w:r>
        <w:rPr>
          <w:rFonts w:hint="eastAsia" w:ascii="仿宋_GB2312" w:hAnsi="仿宋_GB2312" w:eastAsia="仿宋_GB2312" w:cs="仿宋_GB2312"/>
          <w:color w:val="auto"/>
          <w:kern w:val="0"/>
          <w:sz w:val="32"/>
          <w:szCs w:val="32"/>
          <w:highlight w:val="none"/>
        </w:rPr>
        <w:t>（项）支出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color w:val="auto"/>
          <w:kern w:val="0"/>
          <w:sz w:val="32"/>
          <w:szCs w:val="32"/>
          <w:highlight w:val="none"/>
          <w:lang w:val="en-US" w:eastAsia="zh-CN"/>
        </w:rPr>
        <w:t>，</w:t>
      </w:r>
      <w:r>
        <w:rPr>
          <w:rFonts w:hint="eastAsia" w:ascii="仿宋" w:hAnsi="仿宋" w:eastAsia="仿宋" w:cs="宋体"/>
          <w:bCs/>
          <w:color w:val="auto"/>
          <w:sz w:val="32"/>
          <w:szCs w:val="32"/>
          <w:highlight w:val="none"/>
          <w:lang w:bidi="ar"/>
        </w:rPr>
        <w:t>比上年决算</w:t>
      </w:r>
      <w:r>
        <w:rPr>
          <w:rFonts w:hint="eastAsia" w:ascii="仿宋" w:hAnsi="仿宋" w:eastAsia="仿宋" w:cs="宋体"/>
          <w:bCs/>
          <w:color w:val="auto"/>
          <w:sz w:val="32"/>
          <w:szCs w:val="32"/>
          <w:highlight w:val="none"/>
          <w:lang w:val="en-US" w:eastAsia="zh-CN" w:bidi="ar"/>
        </w:rPr>
        <w:t>减少114.18</w:t>
      </w:r>
      <w:r>
        <w:rPr>
          <w:rFonts w:hint="eastAsia" w:ascii="仿宋" w:hAnsi="仿宋" w:eastAsia="仿宋" w:cs="宋体"/>
          <w:bCs/>
          <w:color w:val="auto"/>
          <w:sz w:val="32"/>
          <w:szCs w:val="32"/>
          <w:highlight w:val="none"/>
          <w:lang w:bidi="ar"/>
        </w:rPr>
        <w:t>万元，</w:t>
      </w:r>
      <w:r>
        <w:rPr>
          <w:rFonts w:hint="eastAsia" w:ascii="仿宋" w:hAnsi="仿宋" w:eastAsia="仿宋" w:cs="宋体"/>
          <w:bCs/>
          <w:color w:val="auto"/>
          <w:sz w:val="32"/>
          <w:szCs w:val="32"/>
          <w:highlight w:val="none"/>
          <w:lang w:val="en-US" w:eastAsia="zh-CN" w:bidi="ar"/>
        </w:rPr>
        <w:t>下降100</w:t>
      </w:r>
      <w:r>
        <w:rPr>
          <w:rFonts w:hint="eastAsia" w:ascii="仿宋" w:hAnsi="仿宋" w:eastAsia="仿宋" w:cs="宋体"/>
          <w:bCs/>
          <w:color w:val="auto"/>
          <w:sz w:val="32"/>
          <w:szCs w:val="32"/>
          <w:highlight w:val="none"/>
          <w:lang w:bidi="ar"/>
        </w:rPr>
        <w:t>%，主要原因是：</w:t>
      </w:r>
      <w:r>
        <w:rPr>
          <w:rFonts w:hint="eastAsia" w:ascii="仿宋_GB2312" w:hAnsi="仿宋_GB2312" w:eastAsia="仿宋_GB2312" w:cs="仿宋_GB2312"/>
          <w:kern w:val="0"/>
          <w:sz w:val="32"/>
          <w:szCs w:val="32"/>
          <w:highlight w:val="none"/>
          <w:lang w:val="en-US" w:eastAsia="zh-CN"/>
        </w:rPr>
        <w:t>2022年度全年未拨付此项经费，故经费减少</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17.</w:t>
      </w:r>
      <w:r>
        <w:rPr>
          <w:rFonts w:hint="eastAsia" w:ascii="仿宋" w:hAnsi="仿宋" w:eastAsia="仿宋" w:cs="宋体"/>
          <w:bCs/>
          <w:color w:val="auto"/>
          <w:sz w:val="32"/>
          <w:szCs w:val="32"/>
          <w:highlight w:val="none"/>
          <w:lang w:val="en-US" w:eastAsia="zh-CN" w:bidi="ar"/>
        </w:rPr>
        <w:t>卫生健康支出</w:t>
      </w:r>
      <w:r>
        <w:rPr>
          <w:rFonts w:hint="eastAsia" w:ascii="仿宋_GB2312" w:hAnsi="仿宋_GB2312" w:eastAsia="仿宋_GB2312" w:cs="仿宋_GB2312"/>
          <w:color w:val="auto"/>
          <w:kern w:val="0"/>
          <w:sz w:val="32"/>
          <w:szCs w:val="32"/>
          <w:highlight w:val="none"/>
          <w:lang w:val="en-US" w:eastAsia="zh-CN"/>
        </w:rPr>
        <w:t>（类）</w:t>
      </w:r>
      <w:r>
        <w:rPr>
          <w:rFonts w:hint="eastAsia" w:ascii="仿宋" w:hAnsi="仿宋" w:eastAsia="仿宋" w:cs="宋体"/>
          <w:bCs/>
          <w:color w:val="auto"/>
          <w:sz w:val="32"/>
          <w:szCs w:val="32"/>
          <w:highlight w:val="none"/>
          <w:lang w:val="en-US" w:eastAsia="zh-CN" w:bidi="ar"/>
        </w:rPr>
        <w:t>公共卫生</w:t>
      </w:r>
      <w:r>
        <w:rPr>
          <w:rFonts w:hint="eastAsia" w:ascii="仿宋_GB2312" w:hAnsi="仿宋_GB2312" w:eastAsia="仿宋_GB2312" w:cs="仿宋_GB2312"/>
          <w:color w:val="auto"/>
          <w:kern w:val="0"/>
          <w:sz w:val="32"/>
          <w:szCs w:val="32"/>
          <w:highlight w:val="none"/>
        </w:rPr>
        <w:t>（款）</w:t>
      </w:r>
      <w:r>
        <w:rPr>
          <w:rFonts w:hint="eastAsia" w:ascii="仿宋_GB2312" w:hAnsi="仿宋_GB2312" w:eastAsia="仿宋_GB2312" w:cs="仿宋_GB2312"/>
          <w:color w:val="auto"/>
          <w:kern w:val="0"/>
          <w:sz w:val="32"/>
          <w:szCs w:val="32"/>
          <w:highlight w:val="none"/>
          <w:lang w:val="en-US" w:eastAsia="zh-CN"/>
        </w:rPr>
        <w:t>疾病预防控制机构</w:t>
      </w:r>
      <w:r>
        <w:rPr>
          <w:rFonts w:hint="eastAsia" w:ascii="仿宋_GB2312" w:hAnsi="仿宋_GB2312" w:eastAsia="仿宋_GB2312" w:cs="仿宋_GB2312"/>
          <w:color w:val="auto"/>
          <w:kern w:val="0"/>
          <w:sz w:val="32"/>
          <w:szCs w:val="32"/>
          <w:highlight w:val="none"/>
        </w:rPr>
        <w:t>（项）支出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color w:val="auto"/>
          <w:kern w:val="0"/>
          <w:sz w:val="32"/>
          <w:szCs w:val="32"/>
          <w:highlight w:val="none"/>
          <w:lang w:val="en-US" w:eastAsia="zh-CN"/>
        </w:rPr>
        <w:t>，</w:t>
      </w:r>
      <w:r>
        <w:rPr>
          <w:rFonts w:hint="eastAsia" w:ascii="仿宋" w:hAnsi="仿宋" w:eastAsia="仿宋" w:cs="宋体"/>
          <w:bCs/>
          <w:color w:val="auto"/>
          <w:sz w:val="32"/>
          <w:szCs w:val="32"/>
          <w:highlight w:val="none"/>
          <w:lang w:bidi="ar"/>
        </w:rPr>
        <w:t>比上年决算</w:t>
      </w:r>
      <w:r>
        <w:rPr>
          <w:rFonts w:hint="eastAsia" w:ascii="仿宋" w:hAnsi="仿宋" w:eastAsia="仿宋" w:cs="宋体"/>
          <w:bCs/>
          <w:color w:val="auto"/>
          <w:sz w:val="32"/>
          <w:szCs w:val="32"/>
          <w:highlight w:val="none"/>
          <w:lang w:val="en-US" w:eastAsia="zh-CN" w:bidi="ar"/>
        </w:rPr>
        <w:t>减少74.77</w:t>
      </w:r>
      <w:r>
        <w:rPr>
          <w:rFonts w:hint="eastAsia" w:ascii="仿宋" w:hAnsi="仿宋" w:eastAsia="仿宋" w:cs="宋体"/>
          <w:bCs/>
          <w:color w:val="auto"/>
          <w:sz w:val="32"/>
          <w:szCs w:val="32"/>
          <w:highlight w:val="none"/>
          <w:lang w:bidi="ar"/>
        </w:rPr>
        <w:t>万元，</w:t>
      </w:r>
      <w:r>
        <w:rPr>
          <w:rFonts w:hint="eastAsia" w:ascii="仿宋" w:hAnsi="仿宋" w:eastAsia="仿宋" w:cs="宋体"/>
          <w:bCs/>
          <w:color w:val="auto"/>
          <w:sz w:val="32"/>
          <w:szCs w:val="32"/>
          <w:highlight w:val="none"/>
          <w:lang w:val="en-US" w:eastAsia="zh-CN" w:bidi="ar"/>
        </w:rPr>
        <w:t>下降100</w:t>
      </w:r>
      <w:r>
        <w:rPr>
          <w:rFonts w:hint="eastAsia" w:ascii="仿宋" w:hAnsi="仿宋" w:eastAsia="仿宋" w:cs="宋体"/>
          <w:bCs/>
          <w:color w:val="auto"/>
          <w:sz w:val="32"/>
          <w:szCs w:val="32"/>
          <w:highlight w:val="none"/>
          <w:lang w:bidi="ar"/>
        </w:rPr>
        <w:t>%，主要原因是：</w:t>
      </w:r>
      <w:r>
        <w:rPr>
          <w:rFonts w:hint="eastAsia" w:ascii="仿宋_GB2312" w:hAnsi="仿宋_GB2312" w:eastAsia="仿宋_GB2312" w:cs="仿宋_GB2312"/>
          <w:kern w:val="0"/>
          <w:sz w:val="32"/>
          <w:szCs w:val="32"/>
          <w:highlight w:val="none"/>
          <w:lang w:val="en-US" w:eastAsia="zh-CN"/>
        </w:rPr>
        <w:t>2022年度全年未拨付此项经费，故经费减少</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18.</w:t>
      </w:r>
      <w:r>
        <w:rPr>
          <w:rFonts w:hint="eastAsia" w:ascii="仿宋_GB2312" w:hAnsi="仿宋_GB2312" w:eastAsia="仿宋_GB2312" w:cs="仿宋_GB2312"/>
          <w:kern w:val="0"/>
          <w:sz w:val="32"/>
          <w:szCs w:val="32"/>
          <w:highlight w:val="none"/>
        </w:rPr>
        <w:t>卫生健康支出（类）公共卫生（款）突发公共卫生事件应急处理（项）: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53.84</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53.08</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6984.21</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本年新增项目</w:t>
      </w:r>
      <w:r>
        <w:rPr>
          <w:rFonts w:hint="eastAsia" w:ascii="仿宋_GB2312" w:hAnsi="仿宋_GB2312" w:eastAsia="仿宋_GB2312" w:cs="仿宋_GB2312"/>
          <w:kern w:val="0"/>
          <w:sz w:val="32"/>
          <w:szCs w:val="32"/>
          <w:highlight w:val="none"/>
        </w:rPr>
        <w:t>乌财社【2022】167号关于向各相关区下达</w:t>
      </w:r>
      <w:r>
        <w:rPr>
          <w:rFonts w:hint="eastAsia" w:ascii="仿宋_GB2312" w:hAnsi="仿宋_GB2312" w:eastAsia="仿宋_GB2312" w:cs="仿宋_GB2312"/>
          <w:kern w:val="0"/>
          <w:sz w:val="32"/>
          <w:szCs w:val="32"/>
          <w:highlight w:val="none"/>
          <w:lang w:eastAsia="zh-CN"/>
        </w:rPr>
        <w:t>防疫</w:t>
      </w:r>
      <w:r>
        <w:rPr>
          <w:rFonts w:hint="eastAsia" w:ascii="仿宋_GB2312" w:hAnsi="仿宋_GB2312" w:eastAsia="仿宋_GB2312" w:cs="仿宋_GB2312"/>
          <w:kern w:val="0"/>
          <w:sz w:val="32"/>
          <w:szCs w:val="32"/>
          <w:highlight w:val="none"/>
        </w:rPr>
        <w:t>防控补助资金的通知</w:t>
      </w:r>
      <w:r>
        <w:rPr>
          <w:rFonts w:hint="eastAsia" w:ascii="仿宋_GB2312" w:hAnsi="仿宋_GB2312" w:eastAsia="仿宋_GB2312" w:cs="仿宋_GB2312"/>
          <w:kern w:val="0"/>
          <w:sz w:val="32"/>
          <w:szCs w:val="32"/>
          <w:highlight w:val="none"/>
          <w:lang w:eastAsia="zh-CN"/>
        </w:rPr>
        <w:t>支出</w:t>
      </w:r>
      <w:r>
        <w:rPr>
          <w:rFonts w:hint="eastAsia" w:ascii="仿宋_GB2312" w:hAnsi="仿宋_GB2312" w:eastAsia="仿宋_GB2312" w:cs="仿宋_GB2312"/>
          <w:kern w:val="0"/>
          <w:sz w:val="32"/>
          <w:szCs w:val="32"/>
          <w:highlight w:val="none"/>
          <w:lang w:val="en-US" w:eastAsia="zh-CN"/>
        </w:rPr>
        <w:t>53.08万元</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19.</w:t>
      </w:r>
      <w:r>
        <w:rPr>
          <w:rFonts w:hint="eastAsia" w:ascii="仿宋_GB2312" w:hAnsi="仿宋_GB2312" w:eastAsia="仿宋_GB2312" w:cs="仿宋_GB2312"/>
          <w:kern w:val="0"/>
          <w:sz w:val="32"/>
          <w:szCs w:val="32"/>
          <w:highlight w:val="none"/>
        </w:rPr>
        <w:t>城乡社区支出（类）</w:t>
      </w:r>
      <w:r>
        <w:rPr>
          <w:rFonts w:hint="eastAsia" w:ascii="仿宋_GB2312" w:hAnsi="仿宋_GB2312" w:eastAsia="仿宋_GB2312" w:cs="仿宋_GB2312"/>
          <w:kern w:val="0"/>
          <w:sz w:val="32"/>
          <w:szCs w:val="32"/>
          <w:highlight w:val="none"/>
          <w:lang w:eastAsia="zh-CN"/>
        </w:rPr>
        <w:t>城乡社区公共设施</w:t>
      </w:r>
      <w:r>
        <w:rPr>
          <w:rFonts w:hint="eastAsia" w:ascii="仿宋_GB2312" w:hAnsi="仿宋_GB2312" w:eastAsia="仿宋_GB2312" w:cs="仿宋_GB2312"/>
          <w:kern w:val="0"/>
          <w:sz w:val="32"/>
          <w:szCs w:val="32"/>
          <w:highlight w:val="none"/>
        </w:rPr>
        <w:t>（款）</w:t>
      </w:r>
      <w:r>
        <w:rPr>
          <w:rFonts w:hint="eastAsia" w:ascii="仿宋_GB2312" w:hAnsi="仿宋_GB2312" w:eastAsia="仿宋_GB2312" w:cs="仿宋_GB2312"/>
          <w:kern w:val="0"/>
          <w:sz w:val="32"/>
          <w:szCs w:val="32"/>
          <w:highlight w:val="none"/>
          <w:lang w:eastAsia="zh-CN"/>
        </w:rPr>
        <w:t>其他城乡社区公共设施支出</w:t>
      </w:r>
      <w:r>
        <w:rPr>
          <w:rFonts w:hint="eastAsia" w:ascii="仿宋_GB2312" w:hAnsi="仿宋_GB2312" w:eastAsia="仿宋_GB2312" w:cs="仿宋_GB2312"/>
          <w:kern w:val="0"/>
          <w:sz w:val="32"/>
          <w:szCs w:val="32"/>
          <w:highlight w:val="none"/>
        </w:rPr>
        <w:t>（项）: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lang w:eastAsia="zh-CN"/>
        </w:rPr>
        <w:t>减少</w:t>
      </w:r>
      <w:r>
        <w:rPr>
          <w:rFonts w:hint="eastAsia" w:ascii="仿宋_GB2312" w:hAnsi="仿宋_GB2312" w:eastAsia="仿宋_GB2312" w:cs="仿宋_GB2312"/>
          <w:kern w:val="0"/>
          <w:sz w:val="32"/>
          <w:szCs w:val="32"/>
          <w:highlight w:val="none"/>
          <w:lang w:val="en-US" w:eastAsia="zh-CN"/>
        </w:rPr>
        <w:t>115.82</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CN"/>
        </w:rPr>
        <w:t>减少</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2022年度全年未拨付此项经费，故经费减少</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20.</w:t>
      </w:r>
      <w:r>
        <w:rPr>
          <w:rFonts w:hint="eastAsia" w:ascii="仿宋_GB2312" w:hAnsi="仿宋_GB2312" w:eastAsia="仿宋_GB2312" w:cs="仿宋_GB2312"/>
          <w:kern w:val="0"/>
          <w:sz w:val="32"/>
          <w:szCs w:val="32"/>
          <w:highlight w:val="none"/>
        </w:rPr>
        <w:t>城乡社区支出（类）</w:t>
      </w:r>
      <w:r>
        <w:rPr>
          <w:rFonts w:hint="eastAsia" w:ascii="仿宋_GB2312" w:hAnsi="仿宋_GB2312" w:eastAsia="仿宋_GB2312" w:cs="仿宋_GB2312"/>
          <w:kern w:val="0"/>
          <w:sz w:val="32"/>
          <w:szCs w:val="32"/>
          <w:highlight w:val="none"/>
          <w:lang w:eastAsia="zh-CN"/>
        </w:rPr>
        <w:t>城乡社区环境卫生</w:t>
      </w:r>
      <w:r>
        <w:rPr>
          <w:rFonts w:hint="eastAsia" w:ascii="仿宋_GB2312" w:hAnsi="仿宋_GB2312" w:eastAsia="仿宋_GB2312" w:cs="仿宋_GB2312"/>
          <w:kern w:val="0"/>
          <w:sz w:val="32"/>
          <w:szCs w:val="32"/>
          <w:highlight w:val="none"/>
        </w:rPr>
        <w:t>（款）</w:t>
      </w:r>
      <w:r>
        <w:rPr>
          <w:rFonts w:hint="eastAsia" w:ascii="仿宋_GB2312" w:hAnsi="仿宋_GB2312" w:eastAsia="仿宋_GB2312" w:cs="仿宋_GB2312"/>
          <w:kern w:val="0"/>
          <w:sz w:val="32"/>
          <w:szCs w:val="32"/>
          <w:highlight w:val="none"/>
          <w:lang w:eastAsia="zh-CN"/>
        </w:rPr>
        <w:t>城乡社区环境卫生</w:t>
      </w:r>
      <w:r>
        <w:rPr>
          <w:rFonts w:hint="eastAsia" w:ascii="仿宋_GB2312" w:hAnsi="仿宋_GB2312" w:eastAsia="仿宋_GB2312" w:cs="仿宋_GB2312"/>
          <w:kern w:val="0"/>
          <w:sz w:val="32"/>
          <w:szCs w:val="32"/>
          <w:highlight w:val="none"/>
        </w:rPr>
        <w:t>（项）: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lang w:eastAsia="zh-CN"/>
        </w:rPr>
        <w:t>减少</w:t>
      </w:r>
      <w:r>
        <w:rPr>
          <w:rFonts w:hint="eastAsia" w:ascii="仿宋_GB2312" w:hAnsi="仿宋_GB2312" w:eastAsia="仿宋_GB2312" w:cs="仿宋_GB2312"/>
          <w:kern w:val="0"/>
          <w:sz w:val="32"/>
          <w:szCs w:val="32"/>
          <w:highlight w:val="none"/>
          <w:lang w:val="en-US" w:eastAsia="zh-CN"/>
        </w:rPr>
        <w:t>252.19</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CN"/>
        </w:rPr>
        <w:t>减少</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2022年度全年未拨付此项经费，故经费减少</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21.</w:t>
      </w:r>
      <w:r>
        <w:rPr>
          <w:rFonts w:hint="eastAsia" w:ascii="仿宋_GB2312" w:hAnsi="仿宋_GB2312" w:eastAsia="仿宋_GB2312" w:cs="仿宋_GB2312"/>
          <w:kern w:val="0"/>
          <w:sz w:val="32"/>
          <w:szCs w:val="32"/>
          <w:highlight w:val="none"/>
        </w:rPr>
        <w:t>城乡社区支出（类）</w:t>
      </w:r>
      <w:r>
        <w:rPr>
          <w:rFonts w:hint="eastAsia" w:ascii="仿宋_GB2312" w:hAnsi="仿宋_GB2312" w:eastAsia="仿宋_GB2312" w:cs="仿宋_GB2312"/>
          <w:kern w:val="0"/>
          <w:sz w:val="32"/>
          <w:szCs w:val="32"/>
          <w:highlight w:val="none"/>
          <w:lang w:eastAsia="zh-CN"/>
        </w:rPr>
        <w:t>国有土地使用权出让收入安排的支出</w:t>
      </w:r>
      <w:r>
        <w:rPr>
          <w:rFonts w:hint="eastAsia" w:ascii="仿宋_GB2312" w:hAnsi="仿宋_GB2312" w:eastAsia="仿宋_GB2312" w:cs="仿宋_GB2312"/>
          <w:kern w:val="0"/>
          <w:sz w:val="32"/>
          <w:szCs w:val="32"/>
          <w:highlight w:val="none"/>
        </w:rPr>
        <w:t>（款）</w:t>
      </w:r>
      <w:r>
        <w:rPr>
          <w:rFonts w:hint="eastAsia" w:ascii="仿宋_GB2312" w:hAnsi="仿宋_GB2312" w:eastAsia="仿宋_GB2312" w:cs="仿宋_GB2312"/>
          <w:kern w:val="0"/>
          <w:sz w:val="32"/>
          <w:szCs w:val="32"/>
          <w:highlight w:val="none"/>
          <w:lang w:eastAsia="zh-CN"/>
        </w:rPr>
        <w:t>城市建设支出</w:t>
      </w:r>
      <w:r>
        <w:rPr>
          <w:rFonts w:hint="eastAsia" w:ascii="仿宋_GB2312" w:hAnsi="仿宋_GB2312" w:eastAsia="仿宋_GB2312" w:cs="仿宋_GB2312"/>
          <w:kern w:val="0"/>
          <w:sz w:val="32"/>
          <w:szCs w:val="32"/>
          <w:highlight w:val="none"/>
        </w:rPr>
        <w:t>（项）: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lang w:eastAsia="zh-CN"/>
        </w:rPr>
        <w:t>减少</w:t>
      </w:r>
      <w:r>
        <w:rPr>
          <w:rFonts w:hint="eastAsia" w:ascii="仿宋_GB2312" w:hAnsi="仿宋_GB2312" w:eastAsia="仿宋_GB2312" w:cs="仿宋_GB2312"/>
          <w:kern w:val="0"/>
          <w:sz w:val="32"/>
          <w:szCs w:val="32"/>
          <w:highlight w:val="none"/>
          <w:lang w:val="en-US" w:eastAsia="zh-CN"/>
        </w:rPr>
        <w:t>44.05</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CN"/>
        </w:rPr>
        <w:t>减少</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2022年度全年未拨付此项经费，故经费减少</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22.</w:t>
      </w:r>
      <w:r>
        <w:rPr>
          <w:rFonts w:hint="eastAsia" w:ascii="仿宋_GB2312" w:hAnsi="仿宋_GB2312" w:eastAsia="仿宋_GB2312" w:cs="仿宋_GB2312"/>
          <w:kern w:val="0"/>
          <w:sz w:val="32"/>
          <w:szCs w:val="32"/>
          <w:highlight w:val="none"/>
        </w:rPr>
        <w:t>城乡社</w:t>
      </w:r>
      <w:bookmarkStart w:id="54" w:name="_GoBack"/>
      <w:bookmarkEnd w:id="54"/>
      <w:r>
        <w:rPr>
          <w:rFonts w:hint="eastAsia" w:ascii="仿宋_GB2312" w:hAnsi="仿宋_GB2312" w:eastAsia="仿宋_GB2312" w:cs="仿宋_GB2312"/>
          <w:kern w:val="0"/>
          <w:sz w:val="32"/>
          <w:szCs w:val="32"/>
          <w:highlight w:val="none"/>
        </w:rPr>
        <w:t>区支出（类）其他城乡社区支出（款）其他城乡社区支出（项）: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83.5</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69.49</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496</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本年增加办事处业务经费支出</w:t>
      </w:r>
      <w:r>
        <w:rPr>
          <w:rFonts w:hint="eastAsia" w:ascii="仿宋_GB2312" w:hAnsi="仿宋_GB2312" w:eastAsia="仿宋_GB2312" w:cs="仿宋_GB2312"/>
          <w:kern w:val="0"/>
          <w:sz w:val="32"/>
          <w:szCs w:val="32"/>
          <w:highlight w:val="none"/>
          <w:lang w:val="en-US" w:eastAsia="zh-CN"/>
        </w:rPr>
        <w:t>69.49万元</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8" w:name="_Toc30870"/>
      <w:bookmarkStart w:id="19" w:name="_Toc11146"/>
      <w:r>
        <w:rPr>
          <w:rFonts w:hint="eastAsia" w:ascii="黑体" w:hAnsi="黑体" w:eastAsia="黑体" w:cs="宋体"/>
          <w:bCs/>
          <w:kern w:val="0"/>
          <w:sz w:val="32"/>
          <w:szCs w:val="32"/>
          <w:highlight w:val="none"/>
          <w:lang w:eastAsia="zh-CN"/>
        </w:rPr>
        <w:t>六、一般公共预算财政拨款基本支出决算情况说明</w:t>
      </w:r>
      <w:bookmarkEnd w:id="18"/>
      <w:bookmarkEnd w:id="19"/>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一般公共预算财政拨款基本支出2868.8</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万元，其中：</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人员经费2778.01万元，包括：基本工资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津贴补贴</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奖金</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绩效工资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机关事业单位基本养老保险缴费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职业年金缴费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职工基本医疗保险缴费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公务员医疗补助缴费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其他社会保障缴费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住房公积金</w:t>
      </w:r>
      <w:r>
        <w:rPr>
          <w:rFonts w:hint="eastAsia" w:ascii="仿宋_GB2312" w:eastAsia="仿宋_GB2312"/>
          <w:sz w:val="32"/>
          <w:szCs w:val="32"/>
          <w:highlight w:val="none"/>
          <w:lang w:eastAsia="zh-CN"/>
        </w:rPr>
        <w:t>、退休费、生活补助、奖励金。</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公用经费90.85万元，包括：办公费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电费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邮电费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取暖费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专用材料费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工会经费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其他交通费用</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其他商品和服务支出</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0" w:name="_Toc21518"/>
      <w:bookmarkStart w:id="21" w:name="_Toc7190"/>
      <w:r>
        <w:rPr>
          <w:rFonts w:hint="eastAsia" w:ascii="黑体" w:hAnsi="黑体" w:eastAsia="黑体" w:cs="宋体"/>
          <w:bCs/>
          <w:kern w:val="0"/>
          <w:sz w:val="32"/>
          <w:szCs w:val="32"/>
          <w:highlight w:val="none"/>
          <w:lang w:val="en-US" w:eastAsia="zh-CN"/>
        </w:rPr>
        <w:t>七、</w:t>
      </w:r>
      <w:r>
        <w:rPr>
          <w:rFonts w:hint="eastAsia" w:ascii="黑体" w:hAnsi="黑体" w:eastAsia="黑体" w:cs="宋体"/>
          <w:bCs/>
          <w:kern w:val="0"/>
          <w:sz w:val="32"/>
          <w:szCs w:val="32"/>
          <w:highlight w:val="none"/>
          <w:lang w:eastAsia="zh-CN"/>
        </w:rPr>
        <w:t>财政拨款</w:t>
      </w:r>
      <w:r>
        <w:rPr>
          <w:rFonts w:hint="eastAsia" w:ascii="黑体" w:hAnsi="黑体" w:eastAsia="黑体" w:cs="宋体"/>
          <w:bCs/>
          <w:kern w:val="0"/>
          <w:sz w:val="32"/>
          <w:szCs w:val="32"/>
          <w:highlight w:val="none"/>
        </w:rPr>
        <w:t>“三公”经费支出</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w:t>
      </w:r>
      <w:r>
        <w:rPr>
          <w:rFonts w:hint="eastAsia" w:ascii="黑体" w:hAnsi="黑体" w:eastAsia="黑体" w:cs="宋体"/>
          <w:bCs/>
          <w:kern w:val="0"/>
          <w:sz w:val="32"/>
          <w:szCs w:val="32"/>
          <w:highlight w:val="none"/>
          <w:lang w:eastAsia="zh-CN"/>
        </w:rPr>
        <w:t>说明</w:t>
      </w:r>
      <w:bookmarkEnd w:id="20"/>
      <w:bookmarkEnd w:id="21"/>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lang w:val="en-US" w:eastAsia="zh-CN"/>
        </w:rPr>
        <w:t>财政拨款</w:t>
      </w:r>
      <w:r>
        <w:rPr>
          <w:rFonts w:hint="eastAsia" w:ascii="仿宋_GB2312" w:eastAsia="仿宋_GB2312"/>
          <w:sz w:val="32"/>
          <w:szCs w:val="32"/>
          <w:highlight w:val="none"/>
        </w:rPr>
        <w:t>“三公”经费支出决算</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万元，比上年减少3</w:t>
      </w:r>
      <w:r>
        <w:rPr>
          <w:rFonts w:hint="eastAsia" w:ascii="仿宋_GB2312" w:eastAsia="仿宋_GB2312"/>
          <w:sz w:val="32"/>
          <w:szCs w:val="32"/>
          <w:highlight w:val="none"/>
          <w:lang w:val="en-US" w:eastAsia="zh-CN"/>
        </w:rPr>
        <w:t>.44</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主要原因是：本年公务用车燃油费减少支出</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上年无此支出</w:t>
      </w:r>
      <w:r>
        <w:rPr>
          <w:rFonts w:hint="eastAsia" w:ascii="仿宋_GB2312" w:eastAsia="仿宋_GB2312"/>
          <w:sz w:val="32"/>
          <w:szCs w:val="32"/>
          <w:highlight w:val="none"/>
        </w:rPr>
        <w:t>；公务用车购置及运行维护费支出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%，比上年减少</w:t>
      </w:r>
      <w:r>
        <w:rPr>
          <w:rFonts w:hint="eastAsia" w:ascii="仿宋_GB2312" w:eastAsia="仿宋_GB2312"/>
          <w:sz w:val="32"/>
          <w:szCs w:val="32"/>
          <w:highlight w:val="none"/>
          <w:lang w:val="en-US" w:eastAsia="zh-CN"/>
        </w:rPr>
        <w:t>3.44</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主要原因是：本年公务用车燃油费减少支出</w:t>
      </w:r>
      <w:r>
        <w:rPr>
          <w:rFonts w:hint="eastAsia" w:ascii="仿宋_GB2312" w:eastAsia="仿宋_GB2312"/>
          <w:sz w:val="32"/>
          <w:szCs w:val="32"/>
          <w:highlight w:val="none"/>
        </w:rPr>
        <w:t>；公务接待费支出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w:t>
      </w:r>
      <w:r>
        <w:rPr>
          <w:rFonts w:hint="eastAsia" w:ascii="仿宋_GB2312" w:eastAsia="仿宋_GB2312"/>
          <w:sz w:val="32"/>
          <w:szCs w:val="32"/>
          <w:highlight w:val="none"/>
          <w:lang w:eastAsia="zh-CN"/>
        </w:rPr>
        <w:t>上年无此支出</w:t>
      </w:r>
      <w:r>
        <w:rPr>
          <w:rFonts w:hint="eastAsia" w:ascii="仿宋_GB2312" w:eastAsia="仿宋_GB2312"/>
          <w:sz w:val="32"/>
          <w:szCs w:val="32"/>
          <w:highlight w:val="none"/>
        </w:rPr>
        <w:t>。具体情况如下：</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因公出国（境）费支出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万元。开支内容包括本年单位</w:t>
      </w:r>
    </w:p>
    <w:p>
      <w:pPr>
        <w:keepNext w:val="0"/>
        <w:keepLines w:val="0"/>
        <w:pageBreakBefore w:val="0"/>
        <w:widowControl w:val="0"/>
        <w:kinsoku/>
        <w:wordWrap/>
        <w:overflowPunct/>
        <w:topLinePunct w:val="0"/>
        <w:bidi w:val="0"/>
        <w:adjustRightInd/>
        <w:snapToGrid/>
        <w:spacing w:line="240" w:lineRule="auto"/>
        <w:textAlignment w:val="auto"/>
        <w:rPr>
          <w:rFonts w:hint="eastAsia" w:ascii="仿宋_GB2312" w:eastAsia="仿宋_GB2312"/>
          <w:sz w:val="32"/>
          <w:szCs w:val="32"/>
          <w:highlight w:val="none"/>
        </w:rPr>
      </w:pPr>
      <w:r>
        <w:rPr>
          <w:rFonts w:hint="eastAsia" w:ascii="仿宋_GB2312" w:eastAsia="仿宋_GB2312"/>
          <w:sz w:val="32"/>
          <w:szCs w:val="32"/>
          <w:highlight w:val="none"/>
        </w:rPr>
        <w:t>无因公出国（境）费支出。单位全年安排的因公出国（境）团组0个，因公出国（境）0人次。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公务用车购置及运行维护费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公务用车购置费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万元，公务用车运行维护费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万元。公务用车购置数0辆，公务用车保有量3辆</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公务接待费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万元。开支内容本年单位无此项支出。单位全年安排的国内公务接待0批次，0人次。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与</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w:t>
      </w:r>
      <w:r>
        <w:rPr>
          <w:rFonts w:hint="eastAsia" w:ascii="仿宋_GB2312" w:eastAsia="仿宋_GB2312"/>
          <w:sz w:val="32"/>
          <w:szCs w:val="32"/>
          <w:highlight w:val="none"/>
        </w:rPr>
        <w:t>相比情况：“三公”经费支出</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w:t>
      </w:r>
      <w:r>
        <w:rPr>
          <w:rFonts w:hint="eastAsia" w:ascii="仿宋_GB2312" w:eastAsia="仿宋_GB2312"/>
          <w:sz w:val="32"/>
          <w:szCs w:val="32"/>
          <w:highlight w:val="none"/>
          <w:lang w:val="en-US" w:eastAsia="zh-CN"/>
        </w:rPr>
        <w:t>9.28</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主要原因是：本年</w:t>
      </w:r>
      <w:r>
        <w:rPr>
          <w:rFonts w:hint="eastAsia" w:ascii="仿宋_GB2312" w:eastAsia="仿宋_GB2312"/>
          <w:sz w:val="32"/>
          <w:szCs w:val="32"/>
          <w:highlight w:val="none"/>
          <w:lang w:val="en-US" w:eastAsia="zh-CN"/>
        </w:rPr>
        <w:t>我单位无</w:t>
      </w:r>
      <w:r>
        <w:rPr>
          <w:rFonts w:hint="eastAsia" w:ascii="仿宋_GB2312" w:eastAsia="仿宋_GB2312"/>
          <w:sz w:val="32"/>
          <w:szCs w:val="32"/>
          <w:highlight w:val="none"/>
          <w:lang w:eastAsia="zh-CN"/>
        </w:rPr>
        <w:t>公务用车运行维护费</w:t>
      </w:r>
      <w:r>
        <w:rPr>
          <w:rFonts w:hint="eastAsia" w:ascii="仿宋_GB2312" w:eastAsia="仿宋_GB2312"/>
          <w:sz w:val="32"/>
          <w:szCs w:val="32"/>
          <w:highlight w:val="none"/>
        </w:rPr>
        <w:t>。其中：因公出国（境）费</w:t>
      </w:r>
      <w:r>
        <w:rPr>
          <w:rFonts w:hint="eastAsia" w:ascii="仿宋_GB2312" w:eastAsia="仿宋_GB2312"/>
          <w:sz w:val="32"/>
          <w:szCs w:val="32"/>
          <w:highlight w:val="none"/>
          <w:lang w:val="en-US" w:eastAsia="zh-CN"/>
        </w:rPr>
        <w:t>全年预算数0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主要原因是：本年单位无</w:t>
      </w:r>
      <w:r>
        <w:rPr>
          <w:rFonts w:hint="eastAsia" w:ascii="仿宋_GB2312" w:eastAsia="仿宋_GB2312"/>
          <w:sz w:val="32"/>
          <w:szCs w:val="32"/>
          <w:highlight w:val="none"/>
          <w:lang w:val="en-US" w:eastAsia="zh-CN"/>
        </w:rPr>
        <w:t>因</w:t>
      </w:r>
      <w:r>
        <w:rPr>
          <w:rFonts w:hint="eastAsia" w:ascii="仿宋_GB2312" w:eastAsia="仿宋_GB2312"/>
          <w:sz w:val="32"/>
          <w:szCs w:val="32"/>
          <w:highlight w:val="none"/>
        </w:rPr>
        <w:t>公出国（境）费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公务用车购置费</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%；公务用车运行费</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9.09</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主要原因是本年</w:t>
      </w:r>
      <w:r>
        <w:rPr>
          <w:rFonts w:hint="eastAsia" w:ascii="仿宋_GB2312" w:eastAsia="仿宋_GB2312"/>
          <w:sz w:val="32"/>
          <w:szCs w:val="32"/>
          <w:highlight w:val="none"/>
          <w:lang w:val="en-US" w:eastAsia="zh-CN"/>
        </w:rPr>
        <w:t>我单位无</w:t>
      </w:r>
      <w:r>
        <w:rPr>
          <w:rFonts w:hint="eastAsia" w:ascii="仿宋_GB2312" w:eastAsia="仿宋_GB2312"/>
          <w:sz w:val="32"/>
          <w:szCs w:val="32"/>
          <w:highlight w:val="none"/>
          <w:lang w:eastAsia="zh-CN"/>
        </w:rPr>
        <w:t>公务用车运行维护费</w:t>
      </w:r>
      <w:r>
        <w:rPr>
          <w:rFonts w:hint="eastAsia" w:ascii="仿宋_GB2312" w:eastAsia="仿宋_GB2312"/>
          <w:sz w:val="32"/>
          <w:szCs w:val="32"/>
          <w:highlight w:val="none"/>
        </w:rPr>
        <w:t>；公务接待费</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0.19</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主要原因是：本年单位无</w:t>
      </w:r>
      <w:r>
        <w:rPr>
          <w:rFonts w:hint="eastAsia" w:ascii="仿宋_GB2312" w:eastAsia="仿宋_GB2312"/>
          <w:sz w:val="32"/>
          <w:szCs w:val="32"/>
          <w:highlight w:val="none"/>
          <w:lang w:val="en-US" w:eastAsia="zh-CN"/>
        </w:rPr>
        <w:t>公务接待费</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2" w:name="_Toc5810"/>
      <w:bookmarkStart w:id="23" w:name="_Toc7927"/>
      <w:r>
        <w:rPr>
          <w:rFonts w:hint="eastAsia" w:ascii="黑体" w:hAnsi="黑体" w:eastAsia="黑体" w:cs="宋体"/>
          <w:bCs/>
          <w:kern w:val="0"/>
          <w:sz w:val="32"/>
          <w:szCs w:val="32"/>
          <w:highlight w:val="none"/>
          <w:lang w:val="en-US" w:eastAsia="zh-CN"/>
        </w:rPr>
        <w:t>八</w:t>
      </w:r>
      <w:r>
        <w:rPr>
          <w:rFonts w:hint="eastAsia" w:ascii="黑体" w:hAnsi="黑体" w:eastAsia="黑体" w:cs="宋体"/>
          <w:bCs/>
          <w:kern w:val="0"/>
          <w:sz w:val="32"/>
          <w:szCs w:val="32"/>
          <w:highlight w:val="none"/>
          <w:lang w:eastAsia="zh-CN"/>
        </w:rPr>
        <w:t>、政府性基金预算财政拨款收入支出决算情况说明</w:t>
      </w:r>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eastAsia="zh-CN"/>
        </w:rPr>
        <w:t>我单位本年度无政府性基金预算财政拨款收入、支出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政府性基金预算财政拨款收入支出决算表为空表。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lang w:eastAsia="zh-CN"/>
        </w:rPr>
        <w:t>、国有资本经营预算财政拨款收入支出决算情况说明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eastAsia="zh-CN"/>
        </w:rPr>
        <w:t>我单位本年度无国有资本经营预算财政拨款收入、支出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，国有资本经营</w:t>
      </w:r>
      <w:r>
        <w:rPr>
          <w:rFonts w:hint="eastAsia" w:ascii="仿宋_GB2312" w:eastAsia="仿宋_GB2312"/>
          <w:sz w:val="32"/>
          <w:szCs w:val="32"/>
          <w:highlight w:val="none"/>
        </w:rPr>
        <w:t>预算财政拨款收入支出决算表为空表。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4" w:name="_Toc7314"/>
      <w:bookmarkStart w:id="25" w:name="_Toc1235"/>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rPr>
        <w:t>、其他重要事项的情况</w:t>
      </w:r>
      <w:r>
        <w:rPr>
          <w:rFonts w:hint="eastAsia" w:ascii="黑体" w:hAnsi="黑体" w:eastAsia="黑体" w:cs="宋体"/>
          <w:bCs/>
          <w:kern w:val="0"/>
          <w:sz w:val="32"/>
          <w:szCs w:val="32"/>
          <w:highlight w:val="none"/>
          <w:lang w:eastAsia="zh-CN"/>
        </w:rPr>
        <w:t>说明</w:t>
      </w:r>
      <w:bookmarkEnd w:id="24"/>
      <w:bookmarkEnd w:id="2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rPr>
      </w:pPr>
      <w:bookmarkStart w:id="26" w:name="_Toc14519"/>
      <w:bookmarkStart w:id="27" w:name="_Toc13105"/>
      <w:r>
        <w:rPr>
          <w:rFonts w:hint="eastAsia" w:ascii="黑体" w:hAnsi="黑体" w:eastAsia="黑体"/>
          <w:sz w:val="32"/>
          <w:szCs w:val="32"/>
          <w:highlight w:val="none"/>
          <w:lang w:eastAsia="zh-CN"/>
        </w:rPr>
        <w:t>（一）</w:t>
      </w:r>
      <w:r>
        <w:rPr>
          <w:rFonts w:hint="eastAsia" w:ascii="黑体" w:hAnsi="黑体" w:eastAsia="黑体"/>
          <w:sz w:val="32"/>
          <w:szCs w:val="32"/>
          <w:highlight w:val="none"/>
        </w:rPr>
        <w:t>机关运行经费支出情况</w:t>
      </w:r>
      <w:bookmarkEnd w:id="26"/>
      <w:bookmarkEnd w:id="27"/>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乌鲁木齐市水磨沟区苇湖梁片区管理委员会（行政单位）机关运行经费支出</w:t>
      </w:r>
      <w:r>
        <w:rPr>
          <w:rFonts w:hint="eastAsia" w:ascii="仿宋_GB2312" w:eastAsia="仿宋_GB2312"/>
          <w:sz w:val="32"/>
          <w:szCs w:val="32"/>
          <w:highlight w:val="none"/>
          <w:lang w:val="en-US" w:eastAsia="zh-CN"/>
        </w:rPr>
        <w:t>90.85</w:t>
      </w:r>
      <w:r>
        <w:rPr>
          <w:rFonts w:hint="eastAsia" w:ascii="仿宋_GB2312" w:eastAsia="仿宋_GB2312"/>
          <w:sz w:val="32"/>
          <w:szCs w:val="32"/>
          <w:highlight w:val="none"/>
        </w:rPr>
        <w:t>万元，比上年增加</w:t>
      </w:r>
      <w:r>
        <w:rPr>
          <w:rFonts w:hint="eastAsia" w:ascii="仿宋_GB2312" w:eastAsia="仿宋_GB2312"/>
          <w:sz w:val="32"/>
          <w:szCs w:val="32"/>
          <w:highlight w:val="none"/>
          <w:lang w:val="en-US" w:eastAsia="zh-CN"/>
        </w:rPr>
        <w:t>31.55</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53.2</w:t>
      </w:r>
      <w:r>
        <w:rPr>
          <w:rFonts w:hint="eastAsia" w:ascii="仿宋_GB2312" w:eastAsia="仿宋_GB2312"/>
          <w:sz w:val="32"/>
          <w:szCs w:val="32"/>
          <w:highlight w:val="none"/>
        </w:rPr>
        <w:t>%，主要原因是</w:t>
      </w:r>
      <w:r>
        <w:rPr>
          <w:rFonts w:hint="eastAsia" w:ascii="仿宋_GB2312" w:eastAsia="仿宋_GB2312"/>
          <w:sz w:val="32"/>
          <w:szCs w:val="32"/>
          <w:highlight w:val="none"/>
          <w:lang w:eastAsia="zh-CN"/>
        </w:rPr>
        <w:t>：由于</w:t>
      </w:r>
      <w:r>
        <w:rPr>
          <w:rFonts w:hint="eastAsia" w:ascii="仿宋_GB2312" w:eastAsia="仿宋_GB2312"/>
          <w:sz w:val="32"/>
          <w:szCs w:val="32"/>
          <w:highlight w:val="none"/>
          <w:lang w:val="en-US" w:eastAsia="zh-CN"/>
        </w:rPr>
        <w:t>2022年工作任务量增加，</w:t>
      </w:r>
      <w:r>
        <w:rPr>
          <w:rFonts w:hint="eastAsia" w:ascii="仿宋_GB2312" w:eastAsia="仿宋_GB2312"/>
          <w:sz w:val="32"/>
          <w:szCs w:val="32"/>
          <w:highlight w:val="none"/>
          <w:lang w:eastAsia="zh-CN"/>
        </w:rPr>
        <w:t>机关增加办公费、水电费、邮电费、专用材料费、福利费的相关支出</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28" w:name="_Toc26704"/>
      <w:bookmarkStart w:id="29" w:name="_Toc227"/>
      <w:r>
        <w:rPr>
          <w:rFonts w:hint="eastAsia" w:ascii="黑体" w:hAnsi="黑体" w:eastAsia="黑体"/>
          <w:sz w:val="32"/>
          <w:szCs w:val="32"/>
          <w:highlight w:val="none"/>
          <w:lang w:eastAsia="zh-CN"/>
        </w:rPr>
        <w:t>（二）政府采购情况</w:t>
      </w:r>
      <w:bookmarkEnd w:id="28"/>
      <w:bookmarkEnd w:id="29"/>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政府采购支出总额</w:t>
      </w:r>
      <w:r>
        <w:rPr>
          <w:rFonts w:hint="eastAsia" w:ascii="仿宋_GB2312" w:eastAsia="仿宋_GB2312"/>
          <w:sz w:val="32"/>
          <w:szCs w:val="32"/>
          <w:highlight w:val="none"/>
          <w:lang w:val="en-US" w:eastAsia="zh-CN"/>
        </w:rPr>
        <w:t>12.84</w:t>
      </w:r>
      <w:r>
        <w:rPr>
          <w:rFonts w:hint="eastAsia" w:ascii="仿宋_GB2312" w:eastAsia="仿宋_GB2312"/>
          <w:sz w:val="32"/>
          <w:szCs w:val="32"/>
          <w:highlight w:val="none"/>
        </w:rPr>
        <w:t>万元，其中：政府采购货物支出</w:t>
      </w:r>
      <w:r>
        <w:rPr>
          <w:rFonts w:hint="eastAsia" w:ascii="仿宋_GB2312" w:eastAsia="仿宋_GB2312"/>
          <w:sz w:val="32"/>
          <w:szCs w:val="32"/>
          <w:highlight w:val="none"/>
          <w:lang w:val="en-US" w:eastAsia="zh-CN"/>
        </w:rPr>
        <w:t>12.84</w:t>
      </w:r>
      <w:r>
        <w:rPr>
          <w:rFonts w:hint="eastAsia" w:ascii="仿宋_GB2312" w:eastAsia="仿宋_GB2312"/>
          <w:sz w:val="32"/>
          <w:szCs w:val="32"/>
          <w:highlight w:val="none"/>
        </w:rPr>
        <w:t>万元、政府采购工程支出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万元、政府采购服务支出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rPr>
        <w:t>授予中小企业合同金额</w:t>
      </w:r>
      <w:r>
        <w:rPr>
          <w:rFonts w:hint="eastAsia" w:ascii="仿宋_GB2312" w:eastAsia="仿宋_GB2312"/>
          <w:sz w:val="32"/>
          <w:szCs w:val="32"/>
          <w:highlight w:val="none"/>
          <w:lang w:val="en-US" w:eastAsia="zh-CN"/>
        </w:rPr>
        <w:t>12.84</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，其中：授予小微企业合同金额</w:t>
      </w:r>
      <w:r>
        <w:rPr>
          <w:rFonts w:hint="eastAsia" w:ascii="仿宋_GB2312" w:eastAsia="仿宋_GB2312"/>
          <w:sz w:val="32"/>
          <w:szCs w:val="32"/>
          <w:highlight w:val="none"/>
          <w:lang w:val="en-US" w:eastAsia="zh-CN"/>
        </w:rPr>
        <w:t>12.84</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100%。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30" w:name="_Toc8391"/>
      <w:bookmarkStart w:id="31" w:name="_Toc4591"/>
      <w:r>
        <w:rPr>
          <w:rFonts w:hint="eastAsia" w:ascii="黑体" w:hAnsi="黑体" w:eastAsia="黑体"/>
          <w:sz w:val="32"/>
          <w:szCs w:val="32"/>
          <w:highlight w:val="none"/>
          <w:lang w:eastAsia="zh-CN"/>
        </w:rPr>
        <w:t>（三）国有资产占用情况说明</w:t>
      </w:r>
      <w:bookmarkEnd w:id="30"/>
      <w:bookmarkEnd w:id="31"/>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截止</w:t>
      </w: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w:t>
      </w:r>
      <w:r>
        <w:rPr>
          <w:rFonts w:hint="eastAsia" w:ascii="仿宋_GB2312" w:eastAsia="仿宋_GB2312"/>
          <w:spacing w:val="0"/>
          <w:sz w:val="32"/>
          <w:szCs w:val="32"/>
          <w:highlight w:val="none"/>
          <w:lang w:val="en-US" w:eastAsia="zh-CN"/>
        </w:rPr>
        <w:t>12月31日</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lang w:val="en-US" w:eastAsia="zh-CN"/>
        </w:rPr>
        <w:t>固定资产原值</w:t>
      </w:r>
      <w:r>
        <w:rPr>
          <w:rFonts w:hint="eastAsia" w:ascii="仿宋_GB2312" w:eastAsia="仿宋_GB2312"/>
          <w:sz w:val="32"/>
          <w:szCs w:val="32"/>
          <w:highlight w:val="none"/>
          <w:lang w:val="en-US" w:eastAsia="zh-CN"/>
        </w:rPr>
        <w:t>1788.14万元，房</w:t>
      </w:r>
      <w:r>
        <w:rPr>
          <w:rFonts w:hint="eastAsia" w:ascii="仿宋_GB2312" w:eastAsia="仿宋_GB2312"/>
          <w:sz w:val="32"/>
          <w:szCs w:val="32"/>
          <w:highlight w:val="none"/>
        </w:rPr>
        <w:t>屋3,483.36平方米</w:t>
      </w:r>
      <w:r>
        <w:rPr>
          <w:rFonts w:hint="eastAsia" w:ascii="仿宋_GB2312" w:eastAsia="仿宋_GB2312"/>
          <w:sz w:val="32"/>
          <w:szCs w:val="32"/>
          <w:highlight w:val="none"/>
          <w:lang w:eastAsia="zh-CN"/>
        </w:rPr>
        <w:t>，价值</w:t>
      </w:r>
      <w:r>
        <w:rPr>
          <w:rFonts w:hint="eastAsia" w:ascii="仿宋_GB2312" w:eastAsia="仿宋_GB2312"/>
          <w:sz w:val="32"/>
          <w:szCs w:val="32"/>
          <w:highlight w:val="none"/>
          <w:lang w:val="en-US" w:eastAsia="zh-CN"/>
        </w:rPr>
        <w:t>687.76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车辆43辆，价值</w:t>
      </w:r>
      <w:r>
        <w:rPr>
          <w:rFonts w:hint="eastAsia" w:ascii="仿宋_GB2312" w:eastAsia="仿宋_GB2312"/>
          <w:sz w:val="32"/>
          <w:szCs w:val="32"/>
          <w:highlight w:val="none"/>
          <w:lang w:val="en-US" w:eastAsia="zh-CN"/>
        </w:rPr>
        <w:t>291.87</w:t>
      </w:r>
      <w:r>
        <w:rPr>
          <w:rFonts w:hint="eastAsia" w:ascii="仿宋_GB2312" w:eastAsia="仿宋_GB2312"/>
          <w:sz w:val="32"/>
          <w:szCs w:val="32"/>
          <w:highlight w:val="none"/>
        </w:rPr>
        <w:t>万元，其中：副部（省）级及以上领导用车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辆、主要领导干部用车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辆、机要通信用车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辆、应急保障用车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辆、执法执勤用车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辆、特种专业技术用车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辆、离退休干部用车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w:t>
      </w:r>
      <w:r>
        <w:rPr>
          <w:rFonts w:hint="eastAsia" w:ascii="仿宋_GB2312" w:eastAsia="仿宋_GB2312"/>
          <w:sz w:val="32"/>
          <w:szCs w:val="32"/>
          <w:highlight w:val="none"/>
          <w:lang w:val="en-US" w:eastAsia="zh-CN"/>
        </w:rPr>
        <w:t>43</w:t>
      </w:r>
      <w:r>
        <w:rPr>
          <w:rFonts w:hint="eastAsia" w:ascii="仿宋_GB2312" w:eastAsia="仿宋_GB2312"/>
          <w:sz w:val="32"/>
          <w:szCs w:val="32"/>
          <w:highlight w:val="none"/>
        </w:rPr>
        <w:t>辆，其他用车主要是：</w:t>
      </w:r>
      <w:r>
        <w:rPr>
          <w:rFonts w:hint="eastAsia" w:ascii="仿宋_GB2312" w:eastAsia="仿宋_GB2312"/>
          <w:sz w:val="32"/>
          <w:szCs w:val="32"/>
          <w:highlight w:val="none"/>
          <w:lang w:eastAsia="zh-CN"/>
        </w:rPr>
        <w:t>机关办公用车、</w:t>
      </w:r>
      <w:r>
        <w:rPr>
          <w:rFonts w:hint="eastAsia" w:ascii="仿宋_GB2312" w:eastAsia="仿宋_GB2312"/>
          <w:sz w:val="32"/>
          <w:szCs w:val="32"/>
          <w:highlight w:val="none"/>
          <w:lang w:val="en-US" w:eastAsia="zh-CN"/>
        </w:rPr>
        <w:t>10个</w:t>
      </w:r>
      <w:r>
        <w:rPr>
          <w:rFonts w:hint="eastAsia" w:ascii="仿宋_GB2312" w:eastAsia="仿宋_GB2312"/>
          <w:sz w:val="32"/>
          <w:szCs w:val="32"/>
          <w:highlight w:val="none"/>
          <w:lang w:eastAsia="zh-CN"/>
        </w:rPr>
        <w:t>社区巡逻车、警车、垃圾车、电影车、洒水车等</w:t>
      </w:r>
      <w:r>
        <w:rPr>
          <w:rFonts w:hint="eastAsia" w:ascii="仿宋_GB2312" w:eastAsia="仿宋_GB2312"/>
          <w:sz w:val="32"/>
          <w:szCs w:val="32"/>
          <w:highlight w:val="none"/>
        </w:rPr>
        <w:t>；单价100万元（含）以上设备（不含车辆）</w:t>
      </w:r>
      <w:r>
        <w:rPr>
          <w:rFonts w:hint="eastAsia" w:ascii="仿宋_GB2312" w:eastAsia="仿宋_GB2312"/>
          <w:sz w:val="32"/>
          <w:szCs w:val="32"/>
          <w:highlight w:val="none"/>
          <w:lang w:val="en-US" w:eastAsia="zh-CN"/>
        </w:rPr>
        <w:t>0台（</w:t>
      </w:r>
      <w:r>
        <w:rPr>
          <w:rFonts w:hint="eastAsia" w:ascii="仿宋_GB2312" w:eastAsia="仿宋_GB2312"/>
          <w:sz w:val="32"/>
          <w:szCs w:val="32"/>
          <w:highlight w:val="none"/>
        </w:rPr>
        <w:t>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32" w:name="_Toc11283"/>
      <w:bookmarkStart w:id="33" w:name="_Toc435"/>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lang w:val="en-US" w:eastAsia="zh-CN"/>
        </w:rPr>
        <w:t>一</w:t>
      </w:r>
      <w:r>
        <w:rPr>
          <w:rFonts w:hint="eastAsia" w:ascii="黑体" w:hAnsi="黑体" w:eastAsia="黑体" w:cs="宋体"/>
          <w:bCs/>
          <w:kern w:val="0"/>
          <w:sz w:val="32"/>
          <w:szCs w:val="32"/>
          <w:highlight w:val="none"/>
          <w:lang w:eastAsia="zh-CN"/>
        </w:rPr>
        <w:t>、预算绩效的情况说明</w:t>
      </w:r>
      <w:bookmarkEnd w:id="32"/>
      <w:bookmarkEnd w:id="33"/>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根据预算绩效管理要求，我单位</w:t>
      </w:r>
      <w:r>
        <w:rPr>
          <w:rFonts w:hint="eastAsia" w:ascii="仿宋_GB2312" w:eastAsia="仿宋_GB2312"/>
          <w:sz w:val="32"/>
          <w:szCs w:val="32"/>
          <w:highlight w:val="none"/>
          <w:lang w:val="en-US" w:eastAsia="zh-CN"/>
        </w:rPr>
        <w:t>2022</w:t>
      </w:r>
      <w:r>
        <w:rPr>
          <w:rFonts w:hint="eastAsia" w:ascii="仿宋_GB2312" w:eastAsia="仿宋_GB2312"/>
          <w:sz w:val="32"/>
          <w:szCs w:val="32"/>
          <w:highlight w:val="none"/>
          <w:lang w:eastAsia="zh-CN"/>
        </w:rPr>
        <w:t>年度开展预算绩效评价项目</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个，</w:t>
      </w:r>
      <w:r>
        <w:rPr>
          <w:rFonts w:hint="eastAsia" w:ascii="仿宋_GB2312" w:eastAsia="仿宋_GB2312"/>
          <w:sz w:val="32"/>
          <w:szCs w:val="32"/>
          <w:highlight w:val="none"/>
          <w:lang w:val="en-US" w:eastAsia="zh-CN"/>
        </w:rPr>
        <w:t>全年预算数63.71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全年执行数63.71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预算绩效管理取得的成效：一是确保了单位的正常运转，促进各项工作任务顺利完成。在人员经费支出、公共支出严格执行区委区政府的各项制度；在项目经费的使用上，在保证各项任务顺利完成的同时，严格落实厉行节约的原则；二是加强“三公经费”管理，督促各社区、服务站严格执行财经纪律，降低行政运行成本，确保“三公经费”只减不增；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年“三公经费”的使用严格控制在预算申报的范围内；三是根据考核评分细则，从整体上看，</w:t>
      </w:r>
      <w:r>
        <w:rPr>
          <w:rFonts w:hint="eastAsia" w:ascii="仿宋_GB2312" w:eastAsia="仿宋_GB2312"/>
          <w:sz w:val="32"/>
          <w:szCs w:val="32"/>
          <w:highlight w:val="none"/>
          <w:lang w:val="en-US" w:eastAsia="zh-CN"/>
        </w:rPr>
        <w:t>2022</w:t>
      </w:r>
      <w:r>
        <w:rPr>
          <w:rFonts w:hint="eastAsia" w:ascii="仿宋_GB2312" w:eastAsia="仿宋_GB2312"/>
          <w:sz w:val="32"/>
          <w:szCs w:val="32"/>
          <w:highlight w:val="none"/>
          <w:lang w:eastAsia="zh-CN"/>
        </w:rPr>
        <w:t>年我单位资金运行维护决策正确，资金管理规范，项目管理到位，政策执行有力，有效发挥了财政资金的使用效率。</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发现的问题及原因：一是预算执行率有待提高。预算执行效率还不够高，预算执行力度还要进一步加强；二是财务管理有待创新。财务管理水平和逐年上升的财务要求不匹配，今后需加强培训，提高业务水平；三是资产管理有待加强。对国有资产管理需更加规范，落实管理责任，使用科学管理方法。</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下一步改进措施：一是细化预算编制工作，认真做好预算的编制。进一步加强单位各科室、各社区的预算管理意识，严格按照预算编制的相关制度和要求进行预算编制，尽量压缩变动性的、有控制空间的费用项目，进一步提高预算编制的科学性、严谨性和可控性；二是加强财务管理，严格财务审核。加强单位财务管理，在费用报账支付时，按照预算规定的费用项目和用途进行资金使用审核、列报支付、财务核算，杜绝超支现象的发生；三是完善资产管理，抓好“三公”经费控制。严格编制政府采购年初预算和计划，规范各类资产的购置审批、采购、使用管理、处置和报废、管理岗位职责等制度，加强单位内部的资产管理工作；严格控制“三公”经费的规模和比例，把关“三公”经费支出的审核、审批，杜绝挪用和挤占其他预算资金行为；四是增加预算，控制支出，化解债务。具体</w:t>
      </w:r>
      <w:r>
        <w:rPr>
          <w:rFonts w:hint="eastAsia" w:ascii="仿宋_GB2312" w:eastAsia="仿宋_GB2312"/>
          <w:sz w:val="32"/>
          <w:szCs w:val="32"/>
          <w:highlight w:val="none"/>
        </w:rPr>
        <w:t>项目自评情况附项目支出绩效自评表。</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p>
    <w:tbl>
      <w:tblPr>
        <w:tblStyle w:val="8"/>
        <w:tblpPr w:leftFromText="180" w:rightFromText="180" w:vertAnchor="text" w:tblpXSpec="center" w:tblpY="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4"/>
        <w:gridCol w:w="384"/>
        <w:gridCol w:w="396"/>
        <w:gridCol w:w="621"/>
        <w:gridCol w:w="2663"/>
        <w:gridCol w:w="584"/>
        <w:gridCol w:w="635"/>
        <w:gridCol w:w="552"/>
        <w:gridCol w:w="259"/>
        <w:gridCol w:w="274"/>
        <w:gridCol w:w="249"/>
        <w:gridCol w:w="452"/>
        <w:gridCol w:w="433"/>
        <w:gridCol w:w="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bookmarkStart w:id="34" w:name="_Toc3250"/>
            <w:bookmarkStart w:id="35" w:name="_Toc24143"/>
            <w:r>
              <w:rPr>
                <w:rFonts w:hint="eastAsia" w:ascii="宋体" w:hAnsi="宋体" w:eastAsia="宋体" w:cs="宋体"/>
                <w:b/>
                <w:bCs/>
                <w:i w:val="0"/>
                <w:iCs w:val="0"/>
                <w:color w:val="000000"/>
                <w:kern w:val="0"/>
                <w:sz w:val="32"/>
                <w:szCs w:val="32"/>
                <w:highlight w:val="none"/>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项目名称</w:t>
            </w:r>
          </w:p>
        </w:tc>
        <w:tc>
          <w:tcPr>
            <w:tcW w:w="0" w:type="auto"/>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关于拨付2022年受</w:t>
            </w:r>
            <w:r>
              <w:rPr>
                <w:rFonts w:hint="eastAsia" w:ascii="宋体" w:hAnsi="宋体" w:cs="宋体"/>
                <w:i w:val="0"/>
                <w:iCs w:val="0"/>
                <w:color w:val="000000"/>
                <w:kern w:val="0"/>
                <w:sz w:val="24"/>
                <w:szCs w:val="24"/>
                <w:highlight w:val="none"/>
                <w:u w:val="none"/>
                <w:lang w:val="en-US" w:eastAsia="zh-CN" w:bidi="ar"/>
              </w:rPr>
              <w:t>防疫</w:t>
            </w:r>
            <w:r>
              <w:rPr>
                <w:rFonts w:hint="eastAsia" w:ascii="宋体" w:hAnsi="宋体" w:eastAsia="宋体" w:cs="宋体"/>
                <w:i w:val="0"/>
                <w:iCs w:val="0"/>
                <w:color w:val="000000"/>
                <w:kern w:val="0"/>
                <w:sz w:val="24"/>
                <w:szCs w:val="24"/>
                <w:highlight w:val="none"/>
                <w:u w:val="none"/>
                <w:lang w:val="en-US" w:eastAsia="zh-CN" w:bidi="ar"/>
              </w:rPr>
              <w:t>影响生活困难人员一次性救助补助资金（转移支付）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乌鲁木齐市水磨沟区苇湖梁片区管理委员会</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实施单位</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乌鲁木齐市水磨沟区苇湖梁片区管理委员会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（万元）</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全年执行数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分值</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5.88</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5.88</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其中：当年财政拨款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5.88</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5.88</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上年结转资金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年度总体目标</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预期目标</w:t>
            </w:r>
          </w:p>
        </w:tc>
        <w:tc>
          <w:tcPr>
            <w:tcW w:w="0" w:type="auto"/>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该项目用于救助2022年8月10日以来</w:t>
            </w:r>
            <w:r>
              <w:rPr>
                <w:rFonts w:hint="eastAsia" w:ascii="宋体" w:hAnsi="宋体" w:cs="宋体"/>
                <w:i w:val="0"/>
                <w:iCs w:val="0"/>
                <w:color w:val="000000"/>
                <w:kern w:val="0"/>
                <w:sz w:val="24"/>
                <w:szCs w:val="24"/>
                <w:highlight w:val="none"/>
                <w:u w:val="none"/>
                <w:lang w:val="en-US" w:eastAsia="zh-CN" w:bidi="ar"/>
              </w:rPr>
              <w:t>防疫</w:t>
            </w:r>
            <w:r>
              <w:rPr>
                <w:rFonts w:hint="eastAsia" w:ascii="宋体" w:hAnsi="宋体" w:eastAsia="宋体" w:cs="宋体"/>
                <w:i w:val="0"/>
                <w:iCs w:val="0"/>
                <w:color w:val="000000"/>
                <w:kern w:val="0"/>
                <w:sz w:val="24"/>
                <w:szCs w:val="24"/>
                <w:highlight w:val="none"/>
                <w:u w:val="none"/>
                <w:lang w:val="en-US" w:eastAsia="zh-CN" w:bidi="ar"/>
              </w:rPr>
              <w:t>管控期间生活困难家庭，未参加失业保险灵活就业困难人员，乌鲁木齐市拨付资金对该类困难群众进行补助，每户发放300元，共计发放100人，保证资金发放及时，准确，以缓解生活困难，提高困难群众生活水平，提高</w:t>
            </w:r>
            <w:r>
              <w:rPr>
                <w:rFonts w:hint="eastAsia" w:ascii="宋体" w:hAnsi="宋体" w:cs="宋体"/>
                <w:i w:val="0"/>
                <w:iCs w:val="0"/>
                <w:color w:val="000000"/>
                <w:kern w:val="0"/>
                <w:sz w:val="24"/>
                <w:szCs w:val="24"/>
                <w:highlight w:val="none"/>
                <w:u w:val="none"/>
                <w:lang w:val="en-US" w:eastAsia="zh-CN" w:bidi="ar"/>
              </w:rPr>
              <w:t>防疫</w:t>
            </w:r>
            <w:r>
              <w:rPr>
                <w:rFonts w:hint="eastAsia" w:ascii="宋体" w:hAnsi="宋体" w:eastAsia="宋体" w:cs="宋体"/>
                <w:i w:val="0"/>
                <w:iCs w:val="0"/>
                <w:color w:val="000000"/>
                <w:kern w:val="0"/>
                <w:sz w:val="24"/>
                <w:szCs w:val="24"/>
                <w:highlight w:val="none"/>
                <w:u w:val="none"/>
                <w:lang w:val="en-US" w:eastAsia="zh-CN" w:bidi="ar"/>
              </w:rPr>
              <w:t>防控工作效率。确保困难群众满意度大于等于90%。</w:t>
            </w:r>
          </w:p>
        </w:tc>
        <w:tc>
          <w:tcPr>
            <w:tcW w:w="0" w:type="auto"/>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用于救助2022年8月10日以来</w:t>
            </w:r>
            <w:r>
              <w:rPr>
                <w:rFonts w:hint="eastAsia" w:ascii="宋体" w:hAnsi="宋体" w:cs="宋体"/>
                <w:i w:val="0"/>
                <w:iCs w:val="0"/>
                <w:color w:val="000000"/>
                <w:kern w:val="0"/>
                <w:sz w:val="24"/>
                <w:szCs w:val="24"/>
                <w:highlight w:val="none"/>
                <w:u w:val="none"/>
                <w:lang w:val="en-US" w:eastAsia="zh-CN" w:bidi="ar"/>
              </w:rPr>
              <w:t>防疫</w:t>
            </w:r>
            <w:r>
              <w:rPr>
                <w:rFonts w:hint="eastAsia" w:ascii="宋体" w:hAnsi="宋体" w:eastAsia="宋体" w:cs="宋体"/>
                <w:i w:val="0"/>
                <w:iCs w:val="0"/>
                <w:color w:val="000000"/>
                <w:kern w:val="0"/>
                <w:sz w:val="24"/>
                <w:szCs w:val="24"/>
                <w:highlight w:val="none"/>
                <w:u w:val="none"/>
                <w:lang w:val="en-US" w:eastAsia="zh-CN" w:bidi="ar"/>
              </w:rPr>
              <w:t>管控期间生活困难家庭，未参加失业保险灵活就业困难人员，乌鲁木齐市拨付资金对该类困难群众进行补助，每户发放300元，共计发放196人，资金发放及时，准确，缓解困难家庭生活困难，提高了困难群众生活水平，提高了</w:t>
            </w:r>
            <w:r>
              <w:rPr>
                <w:rFonts w:hint="eastAsia" w:ascii="宋体" w:hAnsi="宋体" w:cs="宋体"/>
                <w:i w:val="0"/>
                <w:iCs w:val="0"/>
                <w:color w:val="000000"/>
                <w:kern w:val="0"/>
                <w:sz w:val="24"/>
                <w:szCs w:val="24"/>
                <w:highlight w:val="none"/>
                <w:u w:val="none"/>
                <w:lang w:val="en-US" w:eastAsia="zh-CN" w:bidi="ar"/>
              </w:rPr>
              <w:t>防疫</w:t>
            </w:r>
            <w:r>
              <w:rPr>
                <w:rFonts w:hint="eastAsia" w:ascii="宋体" w:hAnsi="宋体" w:eastAsia="宋体" w:cs="宋体"/>
                <w:i w:val="0"/>
                <w:iCs w:val="0"/>
                <w:color w:val="000000"/>
                <w:kern w:val="0"/>
                <w:sz w:val="24"/>
                <w:szCs w:val="24"/>
                <w:highlight w:val="none"/>
                <w:u w:val="none"/>
                <w:lang w:val="en-US" w:eastAsia="zh-CN" w:bidi="ar"/>
              </w:rPr>
              <w:t>防控工作效率。困难群众满意度大于等于90%。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二级指标</w:t>
            </w:r>
          </w:p>
        </w:tc>
        <w:tc>
          <w:tcPr>
            <w:tcW w:w="0" w:type="auto"/>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实际完成值</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分值</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得分</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年度绩效指标完成情况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发放受</w:t>
            </w:r>
            <w:r>
              <w:rPr>
                <w:rFonts w:hint="eastAsia" w:ascii="宋体" w:hAnsi="宋体" w:cs="宋体"/>
                <w:i w:val="0"/>
                <w:iCs w:val="0"/>
                <w:color w:val="000000"/>
                <w:kern w:val="0"/>
                <w:sz w:val="24"/>
                <w:szCs w:val="24"/>
                <w:highlight w:val="none"/>
                <w:u w:val="none"/>
                <w:lang w:val="en-US" w:eastAsia="zh-CN" w:bidi="ar"/>
              </w:rPr>
              <w:t>防疫</w:t>
            </w:r>
            <w:r>
              <w:rPr>
                <w:rFonts w:hint="eastAsia" w:ascii="宋体" w:hAnsi="宋体" w:eastAsia="宋体" w:cs="宋体"/>
                <w:i w:val="0"/>
                <w:iCs w:val="0"/>
                <w:color w:val="000000"/>
                <w:kern w:val="0"/>
                <w:sz w:val="24"/>
                <w:szCs w:val="24"/>
                <w:highlight w:val="none"/>
                <w:u w:val="none"/>
                <w:lang w:val="en-US" w:eastAsia="zh-CN" w:bidi="ar"/>
              </w:rPr>
              <w:t>影响困难人员补助人数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100人</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发放补助次数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1次</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发放未参加失业保险灵活就业困难人员补助人数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96人</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补助发放准确率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补助发放及时率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&gt;=95%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每人每次发放补助资金数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&lt;=300元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300元</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经济效益指标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提高困难群众生活水平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有效提高</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完全达到预期效果</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14.25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由于补助资金有限，仅为300元/人,改善困难人员家庭生活水平效果有限，未完全达到预期效果，存在偏差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生态效益指标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增强</w:t>
            </w:r>
            <w:r>
              <w:rPr>
                <w:rFonts w:hint="eastAsia" w:ascii="宋体" w:hAnsi="宋体" w:cs="宋体"/>
                <w:i w:val="0"/>
                <w:iCs w:val="0"/>
                <w:color w:val="000000"/>
                <w:kern w:val="0"/>
                <w:sz w:val="24"/>
                <w:szCs w:val="24"/>
                <w:highlight w:val="none"/>
                <w:u w:val="none"/>
                <w:lang w:val="en-US" w:eastAsia="zh-CN" w:bidi="ar"/>
              </w:rPr>
              <w:t>防疫</w:t>
            </w:r>
            <w:r>
              <w:rPr>
                <w:rFonts w:hint="eastAsia" w:ascii="宋体" w:hAnsi="宋体" w:eastAsia="宋体" w:cs="宋体"/>
                <w:i w:val="0"/>
                <w:iCs w:val="0"/>
                <w:color w:val="000000"/>
                <w:kern w:val="0"/>
                <w:sz w:val="24"/>
                <w:szCs w:val="24"/>
                <w:highlight w:val="none"/>
                <w:u w:val="none"/>
                <w:lang w:val="en-US" w:eastAsia="zh-CN" w:bidi="ar"/>
              </w:rPr>
              <w:t>防控工作效率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有效增强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完全达到预期效果</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14.25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困难群众的补助，对于</w:t>
            </w:r>
            <w:r>
              <w:rPr>
                <w:rFonts w:hint="eastAsia" w:ascii="宋体" w:hAnsi="宋体" w:cs="宋体"/>
                <w:i w:val="0"/>
                <w:iCs w:val="0"/>
                <w:color w:val="000000"/>
                <w:kern w:val="0"/>
                <w:sz w:val="24"/>
                <w:szCs w:val="24"/>
                <w:highlight w:val="none"/>
                <w:u w:val="none"/>
                <w:lang w:val="en-US" w:eastAsia="zh-CN" w:bidi="ar"/>
              </w:rPr>
              <w:t>防疫</w:t>
            </w:r>
            <w:r>
              <w:rPr>
                <w:rFonts w:hint="eastAsia" w:ascii="宋体" w:hAnsi="宋体" w:eastAsia="宋体" w:cs="宋体"/>
                <w:i w:val="0"/>
                <w:iCs w:val="0"/>
                <w:color w:val="000000"/>
                <w:kern w:val="0"/>
                <w:sz w:val="24"/>
                <w:szCs w:val="24"/>
                <w:highlight w:val="none"/>
                <w:u w:val="none"/>
                <w:lang w:val="en-US" w:eastAsia="zh-CN" w:bidi="ar"/>
              </w:rPr>
              <w:t>防控工作的效率提高效果有限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满意度指标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困难群众满意度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&gt;=90%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补助资金有限，困难群众满意度仍待提高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nil"/>
              <w:bottom w:val="single" w:color="000000" w:sz="4" w:space="0"/>
              <w:right w:val="nil"/>
            </w:tcBorders>
            <w:noWrap w:val="0"/>
            <w:vAlign w:val="center"/>
          </w:tcPr>
          <w:p>
            <w:pPr>
              <w:jc w:val="left"/>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总分</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98.10分</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bl>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2"/>
        <w:gridCol w:w="392"/>
        <w:gridCol w:w="392"/>
        <w:gridCol w:w="615"/>
        <w:gridCol w:w="2480"/>
        <w:gridCol w:w="585"/>
        <w:gridCol w:w="745"/>
        <w:gridCol w:w="569"/>
        <w:gridCol w:w="262"/>
        <w:gridCol w:w="275"/>
        <w:gridCol w:w="267"/>
        <w:gridCol w:w="454"/>
        <w:gridCol w:w="436"/>
        <w:gridCol w:w="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000" w:type="pct"/>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5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项目名称</w:t>
            </w:r>
          </w:p>
        </w:tc>
        <w:tc>
          <w:tcPr>
            <w:tcW w:w="4540"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社区经费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5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主管部门</w:t>
            </w:r>
          </w:p>
        </w:tc>
        <w:tc>
          <w:tcPr>
            <w:tcW w:w="2822"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乌鲁木齐市水磨沟区苇湖梁片区管理委员会</w:t>
            </w:r>
          </w:p>
        </w:tc>
        <w:tc>
          <w:tcPr>
            <w:tcW w:w="48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实施单位</w:t>
            </w:r>
          </w:p>
        </w:tc>
        <w:tc>
          <w:tcPr>
            <w:tcW w:w="123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乌鲁木齐市水磨沟区苇湖梁片区管理委员会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59"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（万元）</w:t>
            </w:r>
          </w:p>
        </w:tc>
        <w:tc>
          <w:tcPr>
            <w:tcW w:w="579"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年初预算数</w:t>
            </w:r>
          </w:p>
        </w:tc>
        <w:tc>
          <w:tcPr>
            <w:tcW w:w="75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全年预算数</w:t>
            </w:r>
          </w:p>
        </w:tc>
        <w:tc>
          <w:tcPr>
            <w:tcW w:w="48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全年执行数</w:t>
            </w:r>
          </w:p>
        </w:tc>
        <w:tc>
          <w:tcPr>
            <w:tcW w:w="31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分值</w:t>
            </w:r>
          </w:p>
        </w:tc>
        <w:tc>
          <w:tcPr>
            <w:tcW w:w="53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执行率</w:t>
            </w: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5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57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年度资金总额</w:t>
            </w:r>
          </w:p>
        </w:tc>
        <w:tc>
          <w:tcPr>
            <w:tcW w:w="14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22.64</w:t>
            </w:r>
          </w:p>
        </w:tc>
        <w:tc>
          <w:tcPr>
            <w:tcW w:w="75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3.99</w:t>
            </w:r>
          </w:p>
        </w:tc>
        <w:tc>
          <w:tcPr>
            <w:tcW w:w="48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3.99</w:t>
            </w:r>
          </w:p>
        </w:tc>
        <w:tc>
          <w:tcPr>
            <w:tcW w:w="31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53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100.00%</w:t>
            </w: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5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57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其中：当年财政拨款</w:t>
            </w:r>
          </w:p>
        </w:tc>
        <w:tc>
          <w:tcPr>
            <w:tcW w:w="14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5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8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31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53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5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57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上年结转资金</w:t>
            </w:r>
          </w:p>
        </w:tc>
        <w:tc>
          <w:tcPr>
            <w:tcW w:w="14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21.64</w:t>
            </w:r>
          </w:p>
        </w:tc>
        <w:tc>
          <w:tcPr>
            <w:tcW w:w="75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2.99</w:t>
            </w:r>
          </w:p>
        </w:tc>
        <w:tc>
          <w:tcPr>
            <w:tcW w:w="48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2.99</w:t>
            </w:r>
          </w:p>
        </w:tc>
        <w:tc>
          <w:tcPr>
            <w:tcW w:w="31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53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5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57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其他资金</w:t>
            </w:r>
          </w:p>
        </w:tc>
        <w:tc>
          <w:tcPr>
            <w:tcW w:w="14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75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48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31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53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年度总体目标</w:t>
            </w:r>
          </w:p>
        </w:tc>
        <w:tc>
          <w:tcPr>
            <w:tcW w:w="3052"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预期目标</w:t>
            </w:r>
          </w:p>
        </w:tc>
        <w:tc>
          <w:tcPr>
            <w:tcW w:w="1717"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052"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"预期目标：紧紧围绕社会稳定和长治久安总目标，强化基层阵地建设，提高服务群众的能力和水平，充分发挥基层人员的战斗堡垒作用，提高社区工作人员落实党的各项政策，密切党同人民群众之间的联系。</w:t>
            </w:r>
          </w:p>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阶段性目标：项目是保障10个社区正常工作运转，如办公、水、电、暖、车辆运转、民生支出等工作的正常开展。"</w:t>
            </w:r>
          </w:p>
        </w:tc>
        <w:tc>
          <w:tcPr>
            <w:tcW w:w="1717"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社区经费保障了10个社区正常工作运转，如办公、水、电、暖、车辆运转、民生支出等工作的正常开展，强化了基层阵地建设，提高服务群众的能力和水平，充分发挥基层人员的战斗堡垒作用，提高社区工作人员落实党的各项政策，密切党同人民群众之间的联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2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9" w:type="pct"/>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238"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340"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1483"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323"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435" w:type="pct"/>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highlight w:val="none"/>
                <w:u w:val="none"/>
              </w:rPr>
            </w:pPr>
          </w:p>
        </w:tc>
        <w:tc>
          <w:tcPr>
            <w:tcW w:w="332" w:type="pct"/>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154"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163"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147"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272"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261"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386" w:type="pct"/>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29"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一级指标</w:t>
            </w:r>
          </w:p>
        </w:tc>
        <w:tc>
          <w:tcPr>
            <w:tcW w:w="23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二级指标</w:t>
            </w:r>
          </w:p>
        </w:tc>
        <w:tc>
          <w:tcPr>
            <w:tcW w:w="2147"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三级指标</w:t>
            </w:r>
          </w:p>
        </w:tc>
        <w:tc>
          <w:tcPr>
            <w:tcW w:w="43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年度指标值</w:t>
            </w:r>
          </w:p>
        </w:tc>
        <w:tc>
          <w:tcPr>
            <w:tcW w:w="3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实际完成值</w:t>
            </w:r>
          </w:p>
        </w:tc>
        <w:tc>
          <w:tcPr>
            <w:tcW w:w="318"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分值</w:t>
            </w:r>
          </w:p>
        </w:tc>
        <w:tc>
          <w:tcPr>
            <w:tcW w:w="420"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得分</w:t>
            </w:r>
          </w:p>
        </w:tc>
        <w:tc>
          <w:tcPr>
            <w:tcW w:w="647"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147"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1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420"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64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年度绩效指标完成情况</w:t>
            </w:r>
          </w:p>
        </w:tc>
        <w:tc>
          <w:tcPr>
            <w:tcW w:w="2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产出指标</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数量指标</w:t>
            </w:r>
          </w:p>
        </w:tc>
        <w:tc>
          <w:tcPr>
            <w:tcW w:w="2147"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辖区社区数量</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=10个</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10个</w:t>
            </w:r>
          </w:p>
        </w:tc>
        <w:tc>
          <w:tcPr>
            <w:tcW w:w="31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2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647"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质量指标</w:t>
            </w:r>
          </w:p>
        </w:tc>
        <w:tc>
          <w:tcPr>
            <w:tcW w:w="2147"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资金支付准确率</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31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2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647"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质量指标</w:t>
            </w:r>
          </w:p>
        </w:tc>
        <w:tc>
          <w:tcPr>
            <w:tcW w:w="2147"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社区正常运转率</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&gt;=90%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c>
          <w:tcPr>
            <w:tcW w:w="31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2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647"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时效指标</w:t>
            </w:r>
          </w:p>
        </w:tc>
        <w:tc>
          <w:tcPr>
            <w:tcW w:w="2147"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经费支付及时性</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&gt;=90%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c>
          <w:tcPr>
            <w:tcW w:w="31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2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647"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成本指标</w:t>
            </w:r>
          </w:p>
        </w:tc>
        <w:tc>
          <w:tcPr>
            <w:tcW w:w="2147"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社区经费标准</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&lt;=1000元/个</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3990元/个</w:t>
            </w:r>
          </w:p>
        </w:tc>
        <w:tc>
          <w:tcPr>
            <w:tcW w:w="31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2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64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全年执行数中使用上年结转资金2.99万元，导致社区经费标准超出年初设定的1000元，因此产生偏差。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效益指标</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经济效益指标</w:t>
            </w:r>
          </w:p>
        </w:tc>
        <w:tc>
          <w:tcPr>
            <w:tcW w:w="2147" w:type="pct"/>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highlight w:val="none"/>
                <w:u w:val="non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18"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42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647"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社会效益指标</w:t>
            </w:r>
          </w:p>
        </w:tc>
        <w:tc>
          <w:tcPr>
            <w:tcW w:w="2147"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提高社区综合治理质量，保障社区居民需求</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有效提高和保障</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完全达到预期效果</w:t>
            </w:r>
          </w:p>
        </w:tc>
        <w:tc>
          <w:tcPr>
            <w:tcW w:w="31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42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647"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生态效益指标</w:t>
            </w:r>
          </w:p>
        </w:tc>
        <w:tc>
          <w:tcPr>
            <w:tcW w:w="2147" w:type="pct"/>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highlight w:val="none"/>
                <w:u w:val="non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18"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42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647"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可持续影响指标</w:t>
            </w:r>
          </w:p>
        </w:tc>
        <w:tc>
          <w:tcPr>
            <w:tcW w:w="2147" w:type="pct"/>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highlight w:val="none"/>
                <w:u w:val="non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18"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42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647"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满意度指标</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满意度指标</w:t>
            </w:r>
          </w:p>
        </w:tc>
        <w:tc>
          <w:tcPr>
            <w:tcW w:w="2147"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社区人员满意度</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&gt;=90%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c>
          <w:tcPr>
            <w:tcW w:w="31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2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647"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2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40" w:type="pct"/>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24"/>
                <w:szCs w:val="24"/>
                <w:highlight w:val="none"/>
                <w:u w:val="none"/>
              </w:rPr>
            </w:pPr>
          </w:p>
        </w:tc>
        <w:tc>
          <w:tcPr>
            <w:tcW w:w="1483" w:type="pct"/>
            <w:tcBorders>
              <w:top w:val="single" w:color="000000" w:sz="4" w:space="0"/>
              <w:left w:val="nil"/>
              <w:bottom w:val="single" w:color="000000" w:sz="4" w:space="0"/>
              <w:right w:val="nil"/>
            </w:tcBorders>
            <w:noWrap w:val="0"/>
            <w:vAlign w:val="center"/>
          </w:tcPr>
          <w:p>
            <w:pPr>
              <w:jc w:val="left"/>
              <w:rPr>
                <w:rFonts w:hint="eastAsia" w:ascii="宋体" w:hAnsi="宋体" w:eastAsia="宋体" w:cs="宋体"/>
                <w:i w:val="0"/>
                <w:iCs w:val="0"/>
                <w:color w:val="000000"/>
                <w:sz w:val="24"/>
                <w:szCs w:val="24"/>
                <w:highlight w:val="none"/>
                <w:u w:val="none"/>
              </w:rPr>
            </w:pPr>
          </w:p>
        </w:tc>
        <w:tc>
          <w:tcPr>
            <w:tcW w:w="323" w:type="pct"/>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54" w:type="pct"/>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63" w:type="pct"/>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7" w:type="pct"/>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72" w:type="pct"/>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6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14"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总分</w:t>
            </w:r>
          </w:p>
        </w:tc>
        <w:tc>
          <w:tcPr>
            <w:tcW w:w="31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42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90.00分</w:t>
            </w:r>
          </w:p>
        </w:tc>
        <w:tc>
          <w:tcPr>
            <w:tcW w:w="647"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bl>
    <w:tbl>
      <w:tblPr>
        <w:tblStyle w:val="8"/>
        <w:tblpPr w:leftFromText="180" w:rightFromText="180" w:vertAnchor="text" w:horzAnchor="page" w:tblpX="1882" w:tblpY="598"/>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4"/>
        <w:gridCol w:w="374"/>
        <w:gridCol w:w="374"/>
        <w:gridCol w:w="659"/>
        <w:gridCol w:w="2561"/>
        <w:gridCol w:w="626"/>
        <w:gridCol w:w="612"/>
        <w:gridCol w:w="691"/>
        <w:gridCol w:w="258"/>
        <w:gridCol w:w="269"/>
        <w:gridCol w:w="267"/>
        <w:gridCol w:w="428"/>
        <w:gridCol w:w="416"/>
        <w:gridCol w:w="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000" w:type="pct"/>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3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项目名称</w:t>
            </w:r>
          </w:p>
        </w:tc>
        <w:tc>
          <w:tcPr>
            <w:tcW w:w="4561"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乌财社（2022）167号关于向各相关区下达</w:t>
            </w:r>
            <w:r>
              <w:rPr>
                <w:rFonts w:hint="eastAsia" w:ascii="宋体" w:hAnsi="宋体" w:cs="宋体"/>
                <w:i w:val="0"/>
                <w:iCs w:val="0"/>
                <w:color w:val="000000"/>
                <w:kern w:val="0"/>
                <w:sz w:val="24"/>
                <w:szCs w:val="24"/>
                <w:highlight w:val="none"/>
                <w:u w:val="none"/>
                <w:lang w:val="en-US" w:eastAsia="zh-CN" w:bidi="ar"/>
              </w:rPr>
              <w:t>防疫</w:t>
            </w:r>
            <w:r>
              <w:rPr>
                <w:rFonts w:hint="eastAsia" w:ascii="宋体" w:hAnsi="宋体" w:eastAsia="宋体" w:cs="宋体"/>
                <w:i w:val="0"/>
                <w:iCs w:val="0"/>
                <w:color w:val="000000"/>
                <w:kern w:val="0"/>
                <w:sz w:val="24"/>
                <w:szCs w:val="24"/>
                <w:highlight w:val="none"/>
                <w:u w:val="none"/>
                <w:lang w:val="en-US" w:eastAsia="zh-CN" w:bidi="ar"/>
              </w:rPr>
              <w:t>防控补助资金的通知（转移支付）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3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主管部门</w:t>
            </w:r>
          </w:p>
        </w:tc>
        <w:tc>
          <w:tcPr>
            <w:tcW w:w="2839"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乌鲁木齐市水磨沟区苇湖梁片区管理委员会</w:t>
            </w:r>
          </w:p>
        </w:tc>
        <w:tc>
          <w:tcPr>
            <w:tcW w:w="5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实施单位</w:t>
            </w:r>
          </w:p>
        </w:tc>
        <w:tc>
          <w:tcPr>
            <w:tcW w:w="1166"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乌鲁木齐市水磨沟区苇湖梁片区管理委员会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38"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（万元）</w:t>
            </w:r>
          </w:p>
        </w:tc>
        <w:tc>
          <w:tcPr>
            <w:tcW w:w="59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5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年初预算数</w:t>
            </w:r>
          </w:p>
        </w:tc>
        <w:tc>
          <w:tcPr>
            <w:tcW w:w="70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全年预算数</w:t>
            </w:r>
          </w:p>
        </w:tc>
        <w:tc>
          <w:tcPr>
            <w:tcW w:w="5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全年执行数</w:t>
            </w:r>
          </w:p>
        </w:tc>
        <w:tc>
          <w:tcPr>
            <w:tcW w:w="30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分值</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执行率</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3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59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年度资金总额</w:t>
            </w:r>
          </w:p>
        </w:tc>
        <w:tc>
          <w:tcPr>
            <w:tcW w:w="15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0.00</w:t>
            </w:r>
          </w:p>
        </w:tc>
        <w:tc>
          <w:tcPr>
            <w:tcW w:w="70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53.84</w:t>
            </w:r>
          </w:p>
        </w:tc>
        <w:tc>
          <w:tcPr>
            <w:tcW w:w="5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53.84</w:t>
            </w:r>
          </w:p>
        </w:tc>
        <w:tc>
          <w:tcPr>
            <w:tcW w:w="30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100.00%</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3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59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其中：当年财政拨款</w:t>
            </w:r>
          </w:p>
        </w:tc>
        <w:tc>
          <w:tcPr>
            <w:tcW w:w="15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70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53.84</w:t>
            </w:r>
          </w:p>
        </w:tc>
        <w:tc>
          <w:tcPr>
            <w:tcW w:w="5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53.84</w:t>
            </w:r>
          </w:p>
        </w:tc>
        <w:tc>
          <w:tcPr>
            <w:tcW w:w="30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3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59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上年结转资金</w:t>
            </w:r>
          </w:p>
        </w:tc>
        <w:tc>
          <w:tcPr>
            <w:tcW w:w="15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70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5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30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3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59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其他资金</w:t>
            </w:r>
          </w:p>
        </w:tc>
        <w:tc>
          <w:tcPr>
            <w:tcW w:w="15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70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5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30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年度总体目标</w:t>
            </w:r>
          </w:p>
        </w:tc>
        <w:tc>
          <w:tcPr>
            <w:tcW w:w="3058"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预期目标</w:t>
            </w:r>
          </w:p>
        </w:tc>
        <w:tc>
          <w:tcPr>
            <w:tcW w:w="1722"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058"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该资金项目用于一线防疫工作人员伙食费开支，提高伙食标准，享受人数达到947人，确保资金使用准确，项目实施时间为2022年8月，每人运转经费不大于600元，显著提高辖区各单位防疫工作效率，增强一线防疫人员为民服务意识，调动工作积极性，提高工作人员满意度。</w:t>
            </w:r>
          </w:p>
        </w:tc>
        <w:tc>
          <w:tcPr>
            <w:tcW w:w="1722"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于一线防疫工作人员伙食费开支，提高伙食标准，享受人数达到947人，确保资金使用准确，项目实施时间为2022年8月，每人运转经费不大于600元，显著提高辖区各单位防疫工作效率，增强一线防疫人员为民服务意识，调动工作积极性，提高工作人员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19" w:type="pct"/>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226"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364"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1546"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343"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358" w:type="pct"/>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highlight w:val="none"/>
                <w:u w:val="none"/>
              </w:rPr>
            </w:pPr>
          </w:p>
        </w:tc>
        <w:tc>
          <w:tcPr>
            <w:tcW w:w="404" w:type="pct"/>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150"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159"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144"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256"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247"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359" w:type="pct"/>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9"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1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一级指标</w:t>
            </w:r>
          </w:p>
        </w:tc>
        <w:tc>
          <w:tcPr>
            <w:tcW w:w="22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二级指标</w:t>
            </w:r>
          </w:p>
        </w:tc>
        <w:tc>
          <w:tcPr>
            <w:tcW w:w="2254"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三级指标</w:t>
            </w:r>
          </w:p>
        </w:tc>
        <w:tc>
          <w:tcPr>
            <w:tcW w:w="35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年度指标值</w:t>
            </w:r>
          </w:p>
        </w:tc>
        <w:tc>
          <w:tcPr>
            <w:tcW w:w="40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实际完成值</w:t>
            </w:r>
          </w:p>
        </w:tc>
        <w:tc>
          <w:tcPr>
            <w:tcW w:w="309"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分值</w:t>
            </w:r>
          </w:p>
        </w:tc>
        <w:tc>
          <w:tcPr>
            <w:tcW w:w="401"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得分</w:t>
            </w:r>
          </w:p>
        </w:tc>
        <w:tc>
          <w:tcPr>
            <w:tcW w:w="606"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54"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4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0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401"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60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年度绩效指标完成情况</w:t>
            </w:r>
          </w:p>
        </w:tc>
        <w:tc>
          <w:tcPr>
            <w:tcW w:w="21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产出指标</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数量指标</w:t>
            </w:r>
          </w:p>
        </w:tc>
        <w:tc>
          <w:tcPr>
            <w:tcW w:w="2254"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防疫工作人员数量</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=947人</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947人</w:t>
            </w:r>
          </w:p>
        </w:tc>
        <w:tc>
          <w:tcPr>
            <w:tcW w:w="30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0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606"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质量指标</w:t>
            </w:r>
          </w:p>
        </w:tc>
        <w:tc>
          <w:tcPr>
            <w:tcW w:w="2254"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资金支付准确率</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&gt;=95%</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98%</w:t>
            </w:r>
          </w:p>
        </w:tc>
        <w:tc>
          <w:tcPr>
            <w:tcW w:w="30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0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606"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时效指标</w:t>
            </w:r>
          </w:p>
        </w:tc>
        <w:tc>
          <w:tcPr>
            <w:tcW w:w="2254"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资金支付及时率</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&gt;=90%</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92%</w:t>
            </w:r>
          </w:p>
        </w:tc>
        <w:tc>
          <w:tcPr>
            <w:tcW w:w="30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0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606"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成本指标</w:t>
            </w:r>
          </w:p>
        </w:tc>
        <w:tc>
          <w:tcPr>
            <w:tcW w:w="2254"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人均运转经费数</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&lt;=600元</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568.53元</w:t>
            </w:r>
          </w:p>
        </w:tc>
        <w:tc>
          <w:tcPr>
            <w:tcW w:w="30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40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606"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1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效益指标</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经济效益指标</w:t>
            </w:r>
          </w:p>
        </w:tc>
        <w:tc>
          <w:tcPr>
            <w:tcW w:w="2254" w:type="pct"/>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highlight w:val="none"/>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09"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401"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606"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社会效益指标</w:t>
            </w:r>
          </w:p>
        </w:tc>
        <w:tc>
          <w:tcPr>
            <w:tcW w:w="2254"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提高辖区各单位防疫工作效率</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显著提高</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完全达到预期效果</w:t>
            </w:r>
          </w:p>
        </w:tc>
        <w:tc>
          <w:tcPr>
            <w:tcW w:w="30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40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14.4</w:t>
            </w:r>
          </w:p>
        </w:tc>
        <w:tc>
          <w:tcPr>
            <w:tcW w:w="60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提高</w:t>
            </w:r>
            <w:r>
              <w:rPr>
                <w:rFonts w:hint="eastAsia" w:ascii="宋体" w:hAnsi="宋体" w:cs="宋体"/>
                <w:i w:val="0"/>
                <w:iCs w:val="0"/>
                <w:color w:val="000000"/>
                <w:kern w:val="0"/>
                <w:sz w:val="24"/>
                <w:szCs w:val="24"/>
                <w:highlight w:val="none"/>
                <w:u w:val="none"/>
                <w:lang w:val="en-US" w:eastAsia="zh-CN" w:bidi="ar"/>
              </w:rPr>
              <w:t>防疫</w:t>
            </w:r>
            <w:r>
              <w:rPr>
                <w:rFonts w:hint="eastAsia" w:ascii="宋体" w:hAnsi="宋体" w:eastAsia="宋体" w:cs="宋体"/>
                <w:i w:val="0"/>
                <w:iCs w:val="0"/>
                <w:color w:val="000000"/>
                <w:kern w:val="0"/>
                <w:sz w:val="24"/>
                <w:szCs w:val="24"/>
                <w:highlight w:val="none"/>
                <w:u w:val="none"/>
                <w:lang w:val="en-US" w:eastAsia="zh-CN" w:bidi="ar"/>
              </w:rPr>
              <w:t>防控一线工作人员伙食标准，对于提高防疫工作效率有限，未完全达到预期效果，存在偏差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生态效益指标</w:t>
            </w:r>
          </w:p>
        </w:tc>
        <w:tc>
          <w:tcPr>
            <w:tcW w:w="2254" w:type="pct"/>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highlight w:val="none"/>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09"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401"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606"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可持续影响指标</w:t>
            </w:r>
          </w:p>
        </w:tc>
        <w:tc>
          <w:tcPr>
            <w:tcW w:w="2254"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增强一线防疫人员为民服务意识，调动工作积极性</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有效增强</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完全达到预期效果</w:t>
            </w:r>
          </w:p>
        </w:tc>
        <w:tc>
          <w:tcPr>
            <w:tcW w:w="30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40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14.4</w:t>
            </w:r>
          </w:p>
        </w:tc>
        <w:tc>
          <w:tcPr>
            <w:tcW w:w="60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提高</w:t>
            </w:r>
            <w:r>
              <w:rPr>
                <w:rFonts w:hint="eastAsia" w:ascii="宋体" w:hAnsi="宋体" w:cs="宋体"/>
                <w:i w:val="0"/>
                <w:iCs w:val="0"/>
                <w:color w:val="000000"/>
                <w:kern w:val="0"/>
                <w:sz w:val="24"/>
                <w:szCs w:val="24"/>
                <w:highlight w:val="none"/>
                <w:u w:val="none"/>
                <w:lang w:val="en-US" w:eastAsia="zh-CN" w:bidi="ar"/>
              </w:rPr>
              <w:t>防疫</w:t>
            </w:r>
            <w:r>
              <w:rPr>
                <w:rFonts w:hint="eastAsia" w:ascii="宋体" w:hAnsi="宋体" w:eastAsia="宋体" w:cs="宋体"/>
                <w:i w:val="0"/>
                <w:iCs w:val="0"/>
                <w:color w:val="000000"/>
                <w:kern w:val="0"/>
                <w:sz w:val="24"/>
                <w:szCs w:val="24"/>
                <w:highlight w:val="none"/>
                <w:u w:val="none"/>
                <w:lang w:val="en-US" w:eastAsia="zh-CN" w:bidi="ar"/>
              </w:rPr>
              <w:t>防控一线工作人员伙食标准对于增强工作人员积极性，效果有限，未完全达到效果，存在偏差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满意度指标</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满意度指标</w:t>
            </w:r>
          </w:p>
        </w:tc>
        <w:tc>
          <w:tcPr>
            <w:tcW w:w="2254"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工作人员满意度</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&gt;=90%</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c>
          <w:tcPr>
            <w:tcW w:w="30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0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606"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64" w:type="pct"/>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24"/>
                <w:szCs w:val="24"/>
                <w:highlight w:val="none"/>
                <w:u w:val="none"/>
              </w:rPr>
            </w:pPr>
          </w:p>
        </w:tc>
        <w:tc>
          <w:tcPr>
            <w:tcW w:w="1546" w:type="pct"/>
            <w:tcBorders>
              <w:top w:val="single" w:color="000000" w:sz="4" w:space="0"/>
              <w:left w:val="nil"/>
              <w:bottom w:val="single" w:color="000000" w:sz="4" w:space="0"/>
              <w:right w:val="nil"/>
            </w:tcBorders>
            <w:noWrap w:val="0"/>
            <w:vAlign w:val="center"/>
          </w:tcPr>
          <w:p>
            <w:pPr>
              <w:jc w:val="left"/>
              <w:rPr>
                <w:rFonts w:hint="eastAsia" w:ascii="宋体" w:hAnsi="宋体" w:eastAsia="宋体" w:cs="宋体"/>
                <w:i w:val="0"/>
                <w:iCs w:val="0"/>
                <w:color w:val="000000"/>
                <w:sz w:val="24"/>
                <w:szCs w:val="24"/>
                <w:highlight w:val="none"/>
                <w:u w:val="none"/>
              </w:rPr>
            </w:pPr>
          </w:p>
        </w:tc>
        <w:tc>
          <w:tcPr>
            <w:tcW w:w="343" w:type="pct"/>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50" w:type="pct"/>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59" w:type="pct"/>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4" w:type="pct"/>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56" w:type="pct"/>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5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82"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总分</w:t>
            </w:r>
          </w:p>
        </w:tc>
        <w:tc>
          <w:tcPr>
            <w:tcW w:w="30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40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98.80分</w:t>
            </w:r>
          </w:p>
        </w:tc>
        <w:tc>
          <w:tcPr>
            <w:tcW w:w="606"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bl>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rPr>
        <w:br w:type="page"/>
      </w:r>
      <w:r>
        <w:rPr>
          <w:rFonts w:hint="eastAsia" w:ascii="黑体" w:hAnsi="黑体" w:eastAsia="黑体"/>
          <w:sz w:val="32"/>
          <w:szCs w:val="32"/>
          <w:highlight w:val="none"/>
        </w:rPr>
        <w:t>第三部分 专业名词解释</w:t>
      </w:r>
      <w:bookmarkEnd w:id="34"/>
      <w:bookmarkEnd w:id="35"/>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财政拨款收入：指同级财政当年拨付的资金。</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上级补助收入：指事业单位从主管部门和上级单位取得的非财政补助收入。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事业收入：指事业单位开展专业业务活动及其辅助活动所取得的收入。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附属单位上缴收入：指事业单位附属的独立核算单位按有关规定上缴的收入。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其他收入：指除上述“财政拨款收入”、“事业收入”、“经营收入”、“附属单位上缴收入”等之外取得的收入。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年初</w:t>
      </w:r>
      <w:r>
        <w:rPr>
          <w:rFonts w:hint="eastAsia" w:ascii="仿宋_GB2312" w:eastAsia="仿宋_GB2312"/>
          <w:sz w:val="32"/>
          <w:szCs w:val="32"/>
          <w:highlight w:val="none"/>
        </w:rPr>
        <w:t>结转和结余：指以前年度支出预算因客观条件变化未执行完毕、结转到本年度按有关规定继续使用的资金，既包括财政拨款结转和结余，也包括事业收入、经营收入、其他收入的结转和结余。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对附属单位补助支出：指事业单位发生的用非财政预算资金对附属单位的补助支出。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“三公”经费：指用财政拨款安排的因公出国（境）费、公务用车购置及运行费和公务接待费。其中，因公出国（境）费反映单位公务出国（境）的</w:t>
      </w:r>
      <w:r>
        <w:rPr>
          <w:rFonts w:hint="eastAsia" w:ascii="仿宋_GB2312" w:eastAsia="仿宋_GB2312"/>
          <w:sz w:val="32"/>
          <w:szCs w:val="32"/>
          <w:highlight w:val="none"/>
          <w:lang w:eastAsia="zh-CN"/>
        </w:rPr>
        <w:t>国际旅费、国外城市间交通费、</w:t>
      </w:r>
      <w:r>
        <w:rPr>
          <w:rFonts w:hint="eastAsia" w:ascii="仿宋_GB2312" w:eastAsia="仿宋_GB2312"/>
          <w:sz w:val="32"/>
          <w:szCs w:val="32"/>
          <w:highlight w:val="none"/>
        </w:rPr>
        <w:t>住宿费、伙食费、培训费、</w:t>
      </w:r>
      <w:r>
        <w:rPr>
          <w:rFonts w:hint="eastAsia" w:ascii="仿宋_GB2312" w:eastAsia="仿宋_GB2312"/>
          <w:sz w:val="32"/>
          <w:szCs w:val="32"/>
          <w:highlight w:val="none"/>
          <w:lang w:eastAsia="zh-CN"/>
        </w:rPr>
        <w:t>公</w:t>
      </w:r>
      <w:r>
        <w:rPr>
          <w:rFonts w:hint="eastAsia" w:ascii="仿宋_GB2312" w:eastAsia="仿宋_GB2312"/>
          <w:sz w:val="32"/>
          <w:szCs w:val="32"/>
          <w:highlight w:val="none"/>
        </w:rPr>
        <w:t>杂费等支出；公务用车购置费</w:t>
      </w:r>
      <w:r>
        <w:rPr>
          <w:rFonts w:hint="eastAsia" w:ascii="仿宋_GB2312" w:eastAsia="仿宋_GB2312"/>
          <w:sz w:val="32"/>
          <w:szCs w:val="32"/>
          <w:highlight w:val="none"/>
          <w:lang w:eastAsia="zh-CN"/>
        </w:rPr>
        <w:t>反映公务用车购置支出（含车辆购置税、牌照费）；</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费反映</w:t>
      </w:r>
      <w:r>
        <w:rPr>
          <w:rFonts w:hint="eastAsia" w:ascii="仿宋_GB2312" w:eastAsia="仿宋_GB2312"/>
          <w:sz w:val="32"/>
          <w:szCs w:val="32"/>
          <w:highlight w:val="none"/>
          <w:lang w:eastAsia="zh-CN"/>
        </w:rPr>
        <w:t>单位按规定保留的公务用车燃料费、维修费、</w:t>
      </w:r>
      <w:r>
        <w:rPr>
          <w:rFonts w:hint="eastAsia" w:ascii="仿宋_GB2312" w:eastAsia="仿宋_GB2312"/>
          <w:sz w:val="32"/>
          <w:szCs w:val="32"/>
          <w:highlight w:val="none"/>
        </w:rPr>
        <w:t>过路过桥费、保险费、安全奖励费用等支出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公务接待费反映单位按规定开支的各类公务接待（含外宾接待）</w:t>
      </w:r>
      <w:r>
        <w:rPr>
          <w:rFonts w:hint="eastAsia" w:ascii="仿宋_GB2312" w:eastAsia="仿宋_GB2312"/>
          <w:sz w:val="32"/>
          <w:szCs w:val="32"/>
          <w:highlight w:val="none"/>
          <w:lang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机关运行经费：行政单位和参照公务员法管理的事业单位财政拨款基本支出中的公用经费支出。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36" w:name="_Toc28903"/>
      <w:bookmarkStart w:id="37" w:name="_Toc22784"/>
      <w:r>
        <w:rPr>
          <w:rFonts w:hint="eastAsia" w:ascii="黑体" w:hAnsi="黑体" w:eastAsia="黑体"/>
          <w:sz w:val="32"/>
          <w:szCs w:val="32"/>
          <w:highlight w:val="none"/>
        </w:rPr>
        <w:br w:type="page"/>
      </w:r>
      <w:r>
        <w:rPr>
          <w:rFonts w:hint="eastAsia" w:ascii="黑体" w:hAnsi="黑体" w:eastAsia="黑体"/>
          <w:sz w:val="32"/>
          <w:szCs w:val="32"/>
          <w:highlight w:val="none"/>
        </w:rPr>
        <w:t>第四部分 部门决算报表（见附表）</w:t>
      </w:r>
      <w:bookmarkEnd w:id="36"/>
      <w:bookmarkEnd w:id="3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38" w:name="_Toc2183"/>
      <w:bookmarkStart w:id="39" w:name="_Toc6062"/>
      <w:r>
        <w:rPr>
          <w:rFonts w:hint="eastAsia" w:ascii="黑体" w:hAnsi="黑体" w:eastAsia="黑体" w:cs="宋体"/>
          <w:bCs/>
          <w:kern w:val="0"/>
          <w:sz w:val="32"/>
          <w:szCs w:val="32"/>
          <w:highlight w:val="none"/>
        </w:rPr>
        <w:t>一、《收入支出决算总表》</w:t>
      </w:r>
      <w:bookmarkEnd w:id="38"/>
      <w:bookmarkEnd w:id="3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0" w:name="_Toc24532"/>
      <w:bookmarkStart w:id="41" w:name="_Toc30364"/>
      <w:r>
        <w:rPr>
          <w:rFonts w:hint="eastAsia" w:ascii="黑体" w:hAnsi="黑体" w:eastAsia="黑体" w:cs="宋体"/>
          <w:bCs/>
          <w:kern w:val="0"/>
          <w:sz w:val="32"/>
          <w:szCs w:val="32"/>
          <w:highlight w:val="none"/>
        </w:rPr>
        <w:t>二、《收入决算表》</w:t>
      </w:r>
      <w:bookmarkEnd w:id="40"/>
      <w:bookmarkEnd w:id="4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2" w:name="_Toc21304"/>
      <w:bookmarkStart w:id="43" w:name="_Toc32434"/>
      <w:r>
        <w:rPr>
          <w:rFonts w:hint="eastAsia" w:ascii="黑体" w:hAnsi="黑体" w:eastAsia="黑体" w:cs="宋体"/>
          <w:bCs/>
          <w:kern w:val="0"/>
          <w:sz w:val="32"/>
          <w:szCs w:val="32"/>
          <w:highlight w:val="none"/>
        </w:rPr>
        <w:t>三、《支出决算表》</w:t>
      </w:r>
      <w:bookmarkEnd w:id="42"/>
      <w:bookmarkEnd w:id="4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4" w:name="_Toc14238"/>
      <w:bookmarkStart w:id="45" w:name="_Toc28786"/>
      <w:r>
        <w:rPr>
          <w:rFonts w:hint="eastAsia" w:ascii="黑体" w:hAnsi="黑体" w:eastAsia="黑体" w:cs="宋体"/>
          <w:bCs/>
          <w:kern w:val="0"/>
          <w:sz w:val="32"/>
          <w:szCs w:val="32"/>
          <w:highlight w:val="none"/>
        </w:rPr>
        <w:t>四、《财政拨款收入支出决算总表》</w:t>
      </w:r>
      <w:bookmarkEnd w:id="44"/>
      <w:bookmarkEnd w:id="4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6" w:name="_Toc10347"/>
      <w:bookmarkStart w:id="47" w:name="_Toc14869"/>
      <w:r>
        <w:rPr>
          <w:rFonts w:hint="eastAsia" w:ascii="黑体" w:hAnsi="黑体" w:eastAsia="黑体" w:cs="宋体"/>
          <w:bCs/>
          <w:kern w:val="0"/>
          <w:sz w:val="32"/>
          <w:szCs w:val="32"/>
          <w:highlight w:val="none"/>
        </w:rPr>
        <w:t>五、《一般公共预算财政拨款支出决算表》</w:t>
      </w:r>
      <w:bookmarkEnd w:id="46"/>
      <w:bookmarkEnd w:id="4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8" w:name="_Toc8884"/>
      <w:bookmarkStart w:id="49" w:name="_Toc5626"/>
      <w:r>
        <w:rPr>
          <w:rFonts w:hint="eastAsia" w:ascii="黑体" w:hAnsi="黑体" w:eastAsia="黑体" w:cs="宋体"/>
          <w:bCs/>
          <w:kern w:val="0"/>
          <w:sz w:val="32"/>
          <w:szCs w:val="32"/>
          <w:highlight w:val="none"/>
        </w:rPr>
        <w:t>六、《一般公共预算财政拨款基本支出决算表》</w:t>
      </w:r>
      <w:bookmarkEnd w:id="48"/>
      <w:bookmarkEnd w:id="4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七、</w:t>
      </w:r>
      <w:bookmarkStart w:id="50" w:name="_Toc32663"/>
      <w:bookmarkStart w:id="51" w:name="_Toc29106"/>
      <w:r>
        <w:rPr>
          <w:rFonts w:hint="eastAsia" w:ascii="黑体" w:hAnsi="黑体" w:eastAsia="黑体" w:cs="宋体"/>
          <w:bCs/>
          <w:kern w:val="0"/>
          <w:sz w:val="32"/>
          <w:szCs w:val="32"/>
          <w:highlight w:val="none"/>
        </w:rPr>
        <w:t>《财政拨款“三公”经费支出决算表》</w:t>
      </w:r>
      <w:bookmarkEnd w:id="50"/>
      <w:bookmarkEnd w:id="5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52" w:name="_Toc7643"/>
      <w:bookmarkStart w:id="53" w:name="_Toc5453"/>
      <w:r>
        <w:rPr>
          <w:rFonts w:hint="eastAsia" w:ascii="黑体" w:hAnsi="黑体" w:eastAsia="黑体" w:cs="宋体"/>
          <w:bCs/>
          <w:kern w:val="0"/>
          <w:sz w:val="32"/>
          <w:szCs w:val="32"/>
          <w:highlight w:val="none"/>
        </w:rPr>
        <w:t>八、《政府性基金预算财政拨款收入支出决算表》</w:t>
      </w:r>
      <w:bookmarkEnd w:id="52"/>
      <w:bookmarkEnd w:id="5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rPr>
        <w:t>、《</w:t>
      </w:r>
      <w:r>
        <w:rPr>
          <w:rFonts w:hint="eastAsia" w:ascii="黑体" w:hAnsi="黑体" w:eastAsia="黑体" w:cs="宋体"/>
          <w:bCs/>
          <w:kern w:val="0"/>
          <w:sz w:val="32"/>
          <w:szCs w:val="32"/>
          <w:highlight w:val="none"/>
          <w:lang w:eastAsia="zh-CN"/>
        </w:rPr>
        <w:t>国有资本经营</w:t>
      </w:r>
      <w:r>
        <w:rPr>
          <w:rFonts w:hint="eastAsia" w:ascii="黑体" w:hAnsi="黑体" w:eastAsia="黑体" w:cs="宋体"/>
          <w:bCs/>
          <w:kern w:val="0"/>
          <w:sz w:val="32"/>
          <w:szCs w:val="32"/>
          <w:highlight w:val="none"/>
        </w:rPr>
        <w:t>预算财政拨款收入支出决算表》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xY2JjODJmZGY3YjdjZWVmZGM3N2U0NmM4YzdmMjcifQ=="/>
  </w:docVars>
  <w:rsids>
    <w:rsidRoot w:val="00000000"/>
    <w:rsid w:val="02F73D26"/>
    <w:rsid w:val="034D4FEF"/>
    <w:rsid w:val="03E764F8"/>
    <w:rsid w:val="043E5B56"/>
    <w:rsid w:val="06792773"/>
    <w:rsid w:val="08314CF2"/>
    <w:rsid w:val="09644C54"/>
    <w:rsid w:val="0A7B4867"/>
    <w:rsid w:val="0B851873"/>
    <w:rsid w:val="0B8C3ECC"/>
    <w:rsid w:val="0BA852CC"/>
    <w:rsid w:val="0C7227A7"/>
    <w:rsid w:val="0F1B7B63"/>
    <w:rsid w:val="13C7650B"/>
    <w:rsid w:val="14444FF5"/>
    <w:rsid w:val="15FA088E"/>
    <w:rsid w:val="1BFF6DF6"/>
    <w:rsid w:val="1DAF458D"/>
    <w:rsid w:val="20DD6197"/>
    <w:rsid w:val="23BC04D2"/>
    <w:rsid w:val="258E5A98"/>
    <w:rsid w:val="279402C3"/>
    <w:rsid w:val="27CF2642"/>
    <w:rsid w:val="29C23C21"/>
    <w:rsid w:val="2A053397"/>
    <w:rsid w:val="2B157704"/>
    <w:rsid w:val="2B832B59"/>
    <w:rsid w:val="2CB35427"/>
    <w:rsid w:val="2D1136DF"/>
    <w:rsid w:val="2EB95AD1"/>
    <w:rsid w:val="2F45680A"/>
    <w:rsid w:val="2FD27414"/>
    <w:rsid w:val="31C63837"/>
    <w:rsid w:val="33907ECB"/>
    <w:rsid w:val="365C268B"/>
    <w:rsid w:val="36820344"/>
    <w:rsid w:val="36EA5EE9"/>
    <w:rsid w:val="36F154C9"/>
    <w:rsid w:val="37217B5C"/>
    <w:rsid w:val="3914510A"/>
    <w:rsid w:val="3C371BD0"/>
    <w:rsid w:val="3D5275AC"/>
    <w:rsid w:val="3E7C38CA"/>
    <w:rsid w:val="3FD61700"/>
    <w:rsid w:val="40834692"/>
    <w:rsid w:val="424402BA"/>
    <w:rsid w:val="432A49A1"/>
    <w:rsid w:val="453749EF"/>
    <w:rsid w:val="45555320"/>
    <w:rsid w:val="46901EEE"/>
    <w:rsid w:val="469C74D2"/>
    <w:rsid w:val="4A1470AD"/>
    <w:rsid w:val="4B4C0111"/>
    <w:rsid w:val="4B865413"/>
    <w:rsid w:val="4CB16E35"/>
    <w:rsid w:val="4D403020"/>
    <w:rsid w:val="4D7B7443"/>
    <w:rsid w:val="4FCE7CFE"/>
    <w:rsid w:val="50016325"/>
    <w:rsid w:val="50DB5F45"/>
    <w:rsid w:val="50FB4B23"/>
    <w:rsid w:val="52F92565"/>
    <w:rsid w:val="539268AB"/>
    <w:rsid w:val="55670769"/>
    <w:rsid w:val="562B5EAA"/>
    <w:rsid w:val="56D06A51"/>
    <w:rsid w:val="56FA1BEE"/>
    <w:rsid w:val="583059FA"/>
    <w:rsid w:val="5AC33F35"/>
    <w:rsid w:val="5D8660BC"/>
    <w:rsid w:val="5E174F66"/>
    <w:rsid w:val="5E4107D7"/>
    <w:rsid w:val="5FA17648"/>
    <w:rsid w:val="61A46A97"/>
    <w:rsid w:val="62DD7D21"/>
    <w:rsid w:val="64D771FD"/>
    <w:rsid w:val="65D97752"/>
    <w:rsid w:val="67AD05AA"/>
    <w:rsid w:val="6807348F"/>
    <w:rsid w:val="68606618"/>
    <w:rsid w:val="68DB0208"/>
    <w:rsid w:val="69AD798C"/>
    <w:rsid w:val="6A70715D"/>
    <w:rsid w:val="6B68175F"/>
    <w:rsid w:val="6DA81646"/>
    <w:rsid w:val="6E0F7A08"/>
    <w:rsid w:val="71473612"/>
    <w:rsid w:val="718F7F65"/>
    <w:rsid w:val="739E7864"/>
    <w:rsid w:val="73AB1F81"/>
    <w:rsid w:val="73FB6630"/>
    <w:rsid w:val="74E76DCD"/>
    <w:rsid w:val="76B92C06"/>
    <w:rsid w:val="77ED6F44"/>
    <w:rsid w:val="7B030BB8"/>
    <w:rsid w:val="7D692C90"/>
    <w:rsid w:val="7FAE66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toc 3"/>
    <w:basedOn w:val="1"/>
    <w:next w:val="1"/>
    <w:autoRedefine/>
    <w:qFormat/>
    <w:uiPriority w:val="0"/>
    <w:pPr>
      <w:ind w:left="840" w:leftChars="4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autoRedefine/>
    <w:qFormat/>
    <w:uiPriority w:val="0"/>
  </w:style>
  <w:style w:type="paragraph" w:styleId="7">
    <w:name w:val="toc 2"/>
    <w:basedOn w:val="1"/>
    <w:next w:val="1"/>
    <w:autoRedefine/>
    <w:qFormat/>
    <w:uiPriority w:val="0"/>
    <w:pPr>
      <w:ind w:left="420" w:leftChars="200"/>
    </w:pPr>
  </w:style>
  <w:style w:type="paragraph" w:customStyle="1" w:styleId="10">
    <w:name w:val="WPSOffice手动目录 3"/>
    <w:autoRedefine/>
    <w:qFormat/>
    <w:uiPriority w:val="0"/>
    <w:pPr>
      <w:ind w:leftChars="400"/>
    </w:pPr>
    <w:rPr>
      <w:rFonts w:ascii="Times New Roman" w:hAnsi="Times New Roman" w:eastAsia="宋体" w:cs="Times New Roman"/>
      <w:sz w:val="20"/>
      <w:szCs w:val="20"/>
    </w:rPr>
  </w:style>
  <w:style w:type="paragraph" w:customStyle="1" w:styleId="11">
    <w:name w:val="WPSOffice手动目录 2"/>
    <w:autoRedefine/>
    <w:qFormat/>
    <w:uiPriority w:val="0"/>
    <w:pPr>
      <w:ind w:leftChars="200"/>
    </w:pPr>
    <w:rPr>
      <w:rFonts w:ascii="Times New Roman" w:hAnsi="Times New Roman" w:eastAsia="宋体" w:cs="Times New Roman"/>
      <w:sz w:val="20"/>
      <w:szCs w:val="20"/>
    </w:rPr>
  </w:style>
  <w:style w:type="paragraph" w:customStyle="1" w:styleId="12">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9493</Words>
  <Characters>10423</Characters>
  <Lines>0</Lines>
  <Paragraphs>0</Paragraphs>
  <TotalTime>8</TotalTime>
  <ScaleCrop>false</ScaleCrop>
  <LinksUpToDate>false</LinksUpToDate>
  <CharactersWithSpaces>10458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清越</cp:lastModifiedBy>
  <dcterms:modified xsi:type="dcterms:W3CDTF">2024-02-18T07:43:03Z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155640E74E2D4794AF57E10FD6B5633F</vt:lpwstr>
  </property>
</Properties>
</file>